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FD4" w:rsidRDefault="003146F9" w:rsidP="00E71FD4">
      <w:pPr>
        <w:spacing w:after="0" w:line="257" w:lineRule="auto"/>
        <w:jc w:val="center"/>
        <w:rPr>
          <w:rFonts w:ascii="Times New Roman" w:hAnsi="Times New Roman" w:cs="Times New Roman"/>
          <w:b/>
          <w:bCs/>
          <w:sz w:val="28"/>
          <w:szCs w:val="28"/>
        </w:rPr>
      </w:pPr>
      <w:r w:rsidRPr="00E3728E">
        <w:rPr>
          <w:rFonts w:ascii="Times New Roman" w:hAnsi="Times New Roman" w:cs="Times New Roman"/>
          <w:b/>
          <w:bCs/>
          <w:sz w:val="28"/>
          <w:szCs w:val="28"/>
        </w:rPr>
        <w:t xml:space="preserve">Узагальнені зауваження та пропозиції до </w:t>
      </w:r>
      <w:proofErr w:type="spellStart"/>
      <w:r w:rsidR="002625AB" w:rsidRPr="00E3728E">
        <w:rPr>
          <w:rFonts w:ascii="Times New Roman" w:hAnsi="Times New Roman" w:cs="Times New Roman"/>
          <w:b/>
          <w:bCs/>
          <w:sz w:val="28"/>
          <w:szCs w:val="28"/>
        </w:rPr>
        <w:t>проєкту</w:t>
      </w:r>
      <w:proofErr w:type="spellEnd"/>
      <w:r w:rsidR="002625AB" w:rsidRPr="00E3728E">
        <w:rPr>
          <w:rFonts w:ascii="Times New Roman" w:hAnsi="Times New Roman" w:cs="Times New Roman"/>
          <w:b/>
          <w:bCs/>
          <w:sz w:val="28"/>
          <w:szCs w:val="28"/>
        </w:rPr>
        <w:t xml:space="preserve"> рішення, що має ознаки регуляторного </w:t>
      </w:r>
      <w:proofErr w:type="spellStart"/>
      <w:r w:rsidR="002625AB" w:rsidRPr="00E3728E">
        <w:rPr>
          <w:rFonts w:ascii="Times New Roman" w:hAnsi="Times New Roman" w:cs="Times New Roman"/>
          <w:b/>
          <w:bCs/>
          <w:sz w:val="28"/>
          <w:szCs w:val="28"/>
        </w:rPr>
        <w:t>акта</w:t>
      </w:r>
      <w:proofErr w:type="spellEnd"/>
      <w:r w:rsidR="002625AB" w:rsidRPr="00E3728E">
        <w:rPr>
          <w:rFonts w:ascii="Times New Roman" w:hAnsi="Times New Roman" w:cs="Times New Roman"/>
          <w:b/>
          <w:bCs/>
          <w:sz w:val="28"/>
          <w:szCs w:val="28"/>
        </w:rPr>
        <w:t xml:space="preserve">, – </w:t>
      </w:r>
    </w:p>
    <w:p w:rsidR="00E3728E" w:rsidRDefault="002625AB" w:rsidP="00B212EA">
      <w:pPr>
        <w:spacing w:after="200" w:line="257" w:lineRule="auto"/>
        <w:jc w:val="center"/>
        <w:rPr>
          <w:rFonts w:ascii="Times New Roman" w:eastAsia="Times New Roman" w:hAnsi="Times New Roman" w:cs="Times New Roman"/>
          <w:b/>
          <w:bCs/>
          <w:color w:val="000000"/>
          <w:sz w:val="28"/>
          <w:szCs w:val="28"/>
        </w:rPr>
      </w:pPr>
      <w:r w:rsidRPr="00E3728E">
        <w:rPr>
          <w:rFonts w:ascii="Times New Roman" w:hAnsi="Times New Roman" w:cs="Times New Roman"/>
          <w:b/>
          <w:bCs/>
          <w:sz w:val="28"/>
          <w:szCs w:val="28"/>
        </w:rPr>
        <w:t>постанови</w:t>
      </w:r>
      <w:r w:rsidRPr="00E3728E">
        <w:rPr>
          <w:rFonts w:ascii="Times New Roman" w:eastAsia="Times New Roman" w:hAnsi="Times New Roman" w:cs="Times New Roman"/>
          <w:b/>
          <w:bCs/>
          <w:sz w:val="28"/>
          <w:szCs w:val="28"/>
          <w:lang w:eastAsia="uk-UA"/>
        </w:rPr>
        <w:t xml:space="preserve"> НКРЕКП</w:t>
      </w:r>
      <w:r w:rsidR="0094371F" w:rsidRPr="00E3728E">
        <w:rPr>
          <w:rFonts w:ascii="Times New Roman" w:eastAsia="Times New Roman" w:hAnsi="Times New Roman" w:cs="Times New Roman"/>
          <w:b/>
          <w:bCs/>
          <w:sz w:val="28"/>
          <w:szCs w:val="28"/>
          <w:lang w:eastAsia="uk-UA"/>
        </w:rPr>
        <w:t xml:space="preserve"> </w:t>
      </w:r>
      <w:r w:rsidR="00E3728E" w:rsidRPr="00E3728E">
        <w:rPr>
          <w:rFonts w:ascii="Times New Roman" w:eastAsia="Times New Roman" w:hAnsi="Times New Roman" w:cs="Times New Roman"/>
          <w:b/>
          <w:bCs/>
          <w:color w:val="000000"/>
          <w:sz w:val="28"/>
          <w:szCs w:val="28"/>
        </w:rPr>
        <w:t>«Про затвердження Змін до деяких постанов НКРЕКП</w:t>
      </w:r>
    </w:p>
    <w:tbl>
      <w:tblPr>
        <w:tblStyle w:val="a3"/>
        <w:tblW w:w="15593" w:type="dxa"/>
        <w:tblInd w:w="-5" w:type="dxa"/>
        <w:tblLayout w:type="fixed"/>
        <w:tblLook w:val="04A0" w:firstRow="1" w:lastRow="0" w:firstColumn="1" w:lastColumn="0" w:noHBand="0" w:noVBand="1"/>
      </w:tblPr>
      <w:tblGrid>
        <w:gridCol w:w="5103"/>
        <w:gridCol w:w="6096"/>
        <w:gridCol w:w="4394"/>
      </w:tblGrid>
      <w:tr w:rsidR="00A17A06" w:rsidRPr="00532B7E" w:rsidTr="000003B8">
        <w:trPr>
          <w:trHeight w:val="1507"/>
        </w:trPr>
        <w:tc>
          <w:tcPr>
            <w:tcW w:w="5103" w:type="dxa"/>
            <w:vAlign w:val="center"/>
          </w:tcPr>
          <w:p w:rsidR="00A17A06" w:rsidRPr="00532B7E" w:rsidRDefault="00A17A06" w:rsidP="00816129">
            <w:pPr>
              <w:jc w:val="center"/>
              <w:rPr>
                <w:rFonts w:ascii="Times New Roman" w:hAnsi="Times New Roman" w:cs="Times New Roman"/>
                <w:b/>
                <w:bCs/>
                <w:sz w:val="24"/>
                <w:szCs w:val="24"/>
              </w:rPr>
            </w:pPr>
            <w:r w:rsidRPr="00532B7E">
              <w:rPr>
                <w:rFonts w:ascii="Times New Roman" w:hAnsi="Times New Roman" w:cs="Times New Roman"/>
                <w:b/>
                <w:bCs/>
                <w:sz w:val="24"/>
                <w:szCs w:val="24"/>
              </w:rPr>
              <w:t xml:space="preserve">Редакція </w:t>
            </w:r>
            <w:proofErr w:type="spellStart"/>
            <w:r w:rsidRPr="00532B7E">
              <w:rPr>
                <w:rFonts w:ascii="Times New Roman" w:hAnsi="Times New Roman" w:cs="Times New Roman"/>
                <w:b/>
                <w:bCs/>
                <w:sz w:val="24"/>
                <w:szCs w:val="24"/>
              </w:rPr>
              <w:t>проєкту</w:t>
            </w:r>
            <w:proofErr w:type="spellEnd"/>
            <w:r w:rsidRPr="00532B7E">
              <w:rPr>
                <w:rFonts w:ascii="Times New Roman" w:hAnsi="Times New Roman" w:cs="Times New Roman"/>
                <w:b/>
                <w:bCs/>
                <w:sz w:val="24"/>
                <w:szCs w:val="24"/>
              </w:rPr>
              <w:t xml:space="preserve"> рішення НКРЕКП</w:t>
            </w:r>
          </w:p>
        </w:tc>
        <w:tc>
          <w:tcPr>
            <w:tcW w:w="6096" w:type="dxa"/>
            <w:vAlign w:val="center"/>
          </w:tcPr>
          <w:p w:rsidR="00A17A06" w:rsidRPr="00532B7E" w:rsidRDefault="00A17A06" w:rsidP="001A4E45">
            <w:pPr>
              <w:spacing w:line="240" w:lineRule="auto"/>
              <w:ind w:firstLine="318"/>
              <w:jc w:val="center"/>
              <w:rPr>
                <w:rFonts w:ascii="Times New Roman" w:hAnsi="Times New Roman" w:cs="Times New Roman"/>
                <w:b/>
                <w:bCs/>
                <w:sz w:val="24"/>
                <w:szCs w:val="24"/>
                <w:lang w:val="ru-RU"/>
              </w:rPr>
            </w:pPr>
            <w:r w:rsidRPr="00532B7E">
              <w:rPr>
                <w:rFonts w:ascii="Times New Roman" w:hAnsi="Times New Roman" w:cs="Times New Roman"/>
                <w:b/>
                <w:bCs/>
                <w:sz w:val="24"/>
                <w:szCs w:val="24"/>
              </w:rPr>
              <w:t>Зауваження та пропозиції до проекту рішення НКРЕКП</w:t>
            </w:r>
          </w:p>
        </w:tc>
        <w:tc>
          <w:tcPr>
            <w:tcW w:w="4394" w:type="dxa"/>
            <w:vAlign w:val="center"/>
          </w:tcPr>
          <w:p w:rsidR="00A17A06" w:rsidRPr="00532B7E" w:rsidRDefault="00A17A06" w:rsidP="00A66523">
            <w:pPr>
              <w:spacing w:line="240" w:lineRule="auto"/>
              <w:jc w:val="center"/>
              <w:rPr>
                <w:rFonts w:ascii="Times New Roman" w:hAnsi="Times New Roman" w:cs="Times New Roman"/>
                <w:b/>
                <w:bCs/>
                <w:sz w:val="24"/>
                <w:szCs w:val="24"/>
              </w:rPr>
            </w:pPr>
            <w:r w:rsidRPr="00532B7E">
              <w:rPr>
                <w:rFonts w:ascii="Times New Roman" w:hAnsi="Times New Roman" w:cs="Times New Roman"/>
                <w:b/>
                <w:bCs/>
                <w:sz w:val="24"/>
                <w:szCs w:val="24"/>
              </w:rPr>
              <w:t>Попередня позиція НКРЕКП щодо наданих зауважень та пропозицій з обґрунтуваннями щодо прийняття або відхилення</w:t>
            </w:r>
          </w:p>
        </w:tc>
      </w:tr>
      <w:tr w:rsidR="00A17A06" w:rsidRPr="00532B7E" w:rsidTr="00A17A06">
        <w:trPr>
          <w:trHeight w:val="464"/>
        </w:trPr>
        <w:tc>
          <w:tcPr>
            <w:tcW w:w="15593" w:type="dxa"/>
            <w:gridSpan w:val="3"/>
          </w:tcPr>
          <w:p w:rsidR="00A17A06" w:rsidRPr="00CD27D4" w:rsidRDefault="00A17A06" w:rsidP="00644546">
            <w:pPr>
              <w:spacing w:line="240" w:lineRule="auto"/>
              <w:jc w:val="center"/>
              <w:rPr>
                <w:rFonts w:ascii="Times New Roman" w:eastAsia="Times New Roman" w:hAnsi="Times New Roman" w:cs="Times New Roman"/>
                <w:b/>
                <w:u w:val="single"/>
                <w:lang w:eastAsia="uk-UA"/>
              </w:rPr>
            </w:pPr>
            <w:r w:rsidRPr="00074542">
              <w:rPr>
                <w:rFonts w:ascii="Times New Roman" w:hAnsi="Times New Roman" w:cs="Times New Roman"/>
                <w:i/>
                <w:sz w:val="24"/>
                <w:szCs w:val="24"/>
              </w:rPr>
              <w:t>Постанова Національної комісії, що здійснює державне регулювання у сферах енергетики та комунальних послуг, від 26 квітня 2019 року № 641 «Про затвердження нормативно-правових актів, що регулюють діяльність гарантованого покупця та купівлі електричної енергії за «зеленим» тарифом, придбання послуги за механізмом ринкової премії»</w:t>
            </w:r>
          </w:p>
        </w:tc>
      </w:tr>
      <w:tr w:rsidR="00A17A06" w:rsidRPr="00532B7E" w:rsidTr="00504EFC">
        <w:trPr>
          <w:trHeight w:val="281"/>
        </w:trPr>
        <w:tc>
          <w:tcPr>
            <w:tcW w:w="15593" w:type="dxa"/>
            <w:gridSpan w:val="3"/>
          </w:tcPr>
          <w:p w:rsidR="00A17A06" w:rsidRPr="00074542" w:rsidRDefault="00A17A06" w:rsidP="00644546">
            <w:pPr>
              <w:spacing w:line="240" w:lineRule="auto"/>
              <w:jc w:val="center"/>
              <w:rPr>
                <w:rFonts w:ascii="Times New Roman" w:hAnsi="Times New Roman" w:cs="Times New Roman"/>
                <w:i/>
                <w:sz w:val="24"/>
                <w:szCs w:val="24"/>
              </w:rPr>
            </w:pPr>
            <w:r w:rsidRPr="00074542">
              <w:rPr>
                <w:rFonts w:ascii="Times New Roman" w:hAnsi="Times New Roman" w:cs="Times New Roman"/>
                <w:i/>
                <w:sz w:val="24"/>
                <w:szCs w:val="24"/>
              </w:rPr>
              <w:t>Порядок купівлі гарантованим покупцем електричної енергії, виробленої з альтернативних джерел енергії</w:t>
            </w:r>
          </w:p>
        </w:tc>
      </w:tr>
      <w:tr w:rsidR="00A17A06" w:rsidRPr="00532B7E" w:rsidTr="000003B8">
        <w:tc>
          <w:tcPr>
            <w:tcW w:w="5103" w:type="dxa"/>
          </w:tcPr>
          <w:p w:rsidR="00A17A06" w:rsidRDefault="00A17A06" w:rsidP="00727173">
            <w:pPr>
              <w:ind w:firstLine="313"/>
              <w:jc w:val="both"/>
              <w:rPr>
                <w:rFonts w:ascii="Times New Roman" w:hAnsi="Times New Roman" w:cs="Times New Roman"/>
                <w:sz w:val="24"/>
                <w:szCs w:val="24"/>
              </w:rPr>
            </w:pPr>
            <w:bookmarkStart w:id="0" w:name="_Hlk201676533"/>
            <w:r w:rsidRPr="001F5CAF">
              <w:rPr>
                <w:rFonts w:ascii="Times New Roman" w:hAnsi="Times New Roman" w:cs="Times New Roman"/>
                <w:sz w:val="24"/>
                <w:szCs w:val="24"/>
              </w:rPr>
              <w:t xml:space="preserve">10.13. У випадку </w:t>
            </w:r>
            <w:r w:rsidRPr="00074542">
              <w:rPr>
                <w:rFonts w:ascii="Times New Roman" w:hAnsi="Times New Roman" w:cs="Times New Roman"/>
                <w:b/>
                <w:sz w:val="24"/>
                <w:szCs w:val="24"/>
              </w:rPr>
              <w:t>припинення</w:t>
            </w:r>
            <w:r w:rsidRPr="001F5CAF">
              <w:rPr>
                <w:rFonts w:ascii="Times New Roman" w:hAnsi="Times New Roman" w:cs="Times New Roman"/>
                <w:b/>
                <w:sz w:val="24"/>
                <w:szCs w:val="24"/>
              </w:rPr>
              <w:t xml:space="preserve"> </w:t>
            </w:r>
            <w:r w:rsidRPr="00074542">
              <w:rPr>
                <w:rFonts w:ascii="Times New Roman" w:hAnsi="Times New Roman" w:cs="Times New Roman"/>
                <w:sz w:val="24"/>
                <w:szCs w:val="24"/>
              </w:rPr>
              <w:t xml:space="preserve">дії ліцензії </w:t>
            </w:r>
            <w:r w:rsidRPr="001F5CAF">
              <w:rPr>
                <w:rFonts w:ascii="Times New Roman" w:hAnsi="Times New Roman" w:cs="Times New Roman"/>
                <w:sz w:val="24"/>
                <w:szCs w:val="24"/>
              </w:rPr>
              <w:t xml:space="preserve">на право провадження господарської діяльності з виробництва електричної енергії, дія договору купівлі-продажу електричної енергії за «зеленим» тарифом та договору про участь у балансуючій групі гарантованого покупця припиняється з дати </w:t>
            </w:r>
            <w:r w:rsidRPr="00074542">
              <w:rPr>
                <w:rFonts w:ascii="Times New Roman" w:hAnsi="Times New Roman" w:cs="Times New Roman"/>
                <w:b/>
                <w:sz w:val="24"/>
                <w:szCs w:val="24"/>
              </w:rPr>
              <w:t>припинення</w:t>
            </w:r>
            <w:r w:rsidRPr="001F5CAF">
              <w:rPr>
                <w:rFonts w:ascii="Times New Roman" w:hAnsi="Times New Roman" w:cs="Times New Roman"/>
                <w:b/>
                <w:sz w:val="24"/>
                <w:szCs w:val="24"/>
              </w:rPr>
              <w:t xml:space="preserve"> </w:t>
            </w:r>
            <w:r w:rsidRPr="00074542">
              <w:rPr>
                <w:rFonts w:ascii="Times New Roman" w:hAnsi="Times New Roman" w:cs="Times New Roman"/>
                <w:b/>
                <w:sz w:val="24"/>
                <w:szCs w:val="24"/>
              </w:rPr>
              <w:t>дії</w:t>
            </w:r>
            <w:r w:rsidRPr="00074542">
              <w:rPr>
                <w:rFonts w:ascii="Times New Roman" w:hAnsi="Times New Roman" w:cs="Times New Roman"/>
                <w:sz w:val="24"/>
                <w:szCs w:val="24"/>
              </w:rPr>
              <w:t xml:space="preserve"> </w:t>
            </w:r>
            <w:r w:rsidRPr="001F5CAF">
              <w:rPr>
                <w:rFonts w:ascii="Times New Roman" w:hAnsi="Times New Roman" w:cs="Times New Roman"/>
                <w:sz w:val="24"/>
                <w:szCs w:val="24"/>
              </w:rPr>
              <w:t>ліцензії.</w:t>
            </w:r>
          </w:p>
          <w:bookmarkEnd w:id="0"/>
          <w:p w:rsidR="00A17A06" w:rsidRPr="00CD27D4" w:rsidRDefault="00A17A06" w:rsidP="00727173">
            <w:pPr>
              <w:spacing w:line="240" w:lineRule="auto"/>
              <w:ind w:firstLine="313"/>
              <w:jc w:val="both"/>
              <w:rPr>
                <w:rFonts w:ascii="Times New Roman" w:eastAsiaTheme="majorEastAsia" w:hAnsi="Times New Roman" w:cs="Times New Roman"/>
                <w:iCs/>
                <w:kern w:val="2"/>
              </w:rPr>
            </w:pPr>
            <w:r w:rsidRPr="00DF6986">
              <w:rPr>
                <w:rFonts w:ascii="Times New Roman" w:hAnsi="Times New Roman" w:cs="Times New Roman"/>
                <w:sz w:val="24"/>
                <w:szCs w:val="24"/>
              </w:rPr>
              <w:t xml:space="preserve">У випадку зупинення дії ліцензії на право провадження господарської діяльності з виробництва електричної енергії дія договору купівлі-продажу електричної енергії за </w:t>
            </w:r>
            <w:r>
              <w:rPr>
                <w:rFonts w:ascii="Times New Roman" w:hAnsi="Times New Roman" w:cs="Times New Roman"/>
                <w:sz w:val="24"/>
                <w:szCs w:val="24"/>
              </w:rPr>
              <w:t>«</w:t>
            </w:r>
            <w:r w:rsidRPr="00DF6986">
              <w:rPr>
                <w:rFonts w:ascii="Times New Roman" w:hAnsi="Times New Roman" w:cs="Times New Roman"/>
                <w:sz w:val="24"/>
                <w:szCs w:val="24"/>
              </w:rPr>
              <w:t>зеленим</w:t>
            </w:r>
            <w:r>
              <w:rPr>
                <w:rFonts w:ascii="Times New Roman" w:hAnsi="Times New Roman" w:cs="Times New Roman"/>
                <w:sz w:val="24"/>
                <w:szCs w:val="24"/>
              </w:rPr>
              <w:t>»</w:t>
            </w:r>
            <w:r w:rsidRPr="00DF6986">
              <w:rPr>
                <w:rFonts w:ascii="Times New Roman" w:hAnsi="Times New Roman" w:cs="Times New Roman"/>
                <w:sz w:val="24"/>
                <w:szCs w:val="24"/>
              </w:rPr>
              <w:t xml:space="preserve"> тарифом та договору про участь у балансуючій групі гарантованого покупця призупиняється в частині генеруючих одиниць, щодо яких </w:t>
            </w:r>
            <w:proofErr w:type="spellStart"/>
            <w:r w:rsidRPr="00DF6986">
              <w:rPr>
                <w:rFonts w:ascii="Times New Roman" w:hAnsi="Times New Roman" w:cs="Times New Roman"/>
                <w:sz w:val="24"/>
                <w:szCs w:val="24"/>
              </w:rPr>
              <w:t>зупинено</w:t>
            </w:r>
            <w:proofErr w:type="spellEnd"/>
            <w:r w:rsidRPr="00DF6986">
              <w:rPr>
                <w:rFonts w:ascii="Times New Roman" w:hAnsi="Times New Roman" w:cs="Times New Roman"/>
                <w:sz w:val="24"/>
                <w:szCs w:val="24"/>
              </w:rPr>
              <w:t xml:space="preserve"> дію ліцензії, з дати зупинення дії ліцензії.</w:t>
            </w:r>
          </w:p>
        </w:tc>
        <w:tc>
          <w:tcPr>
            <w:tcW w:w="6096" w:type="dxa"/>
          </w:tcPr>
          <w:p w:rsidR="00A17A06" w:rsidRPr="00612BC7" w:rsidRDefault="00A17A06" w:rsidP="00727173">
            <w:pPr>
              <w:pBdr>
                <w:top w:val="nil"/>
                <w:left w:val="nil"/>
                <w:bottom w:val="nil"/>
                <w:right w:val="nil"/>
                <w:between w:val="nil"/>
              </w:pBdr>
              <w:shd w:val="clear" w:color="auto" w:fill="FFFFFF"/>
              <w:spacing w:line="240" w:lineRule="auto"/>
              <w:ind w:left="-2" w:firstLineChars="128" w:firstLine="283"/>
              <w:jc w:val="both"/>
              <w:rPr>
                <w:rFonts w:ascii="Times New Roman" w:eastAsia="Times New Roman" w:hAnsi="Times New Roman" w:cs="Times New Roman"/>
                <w:b/>
                <w:u w:val="single"/>
              </w:rPr>
            </w:pPr>
            <w:r w:rsidRPr="00612BC7">
              <w:rPr>
                <w:rFonts w:ascii="Times New Roman" w:eastAsia="Times New Roman" w:hAnsi="Times New Roman" w:cs="Times New Roman"/>
                <w:b/>
                <w:u w:val="single"/>
              </w:rPr>
              <w:t>Пропозиції ДП «Гарантований покупець»:</w:t>
            </w:r>
          </w:p>
          <w:p w:rsidR="00A17A06" w:rsidRPr="00612BC7" w:rsidRDefault="00A17A06" w:rsidP="00727173">
            <w:pPr>
              <w:ind w:left="-2" w:firstLineChars="128" w:firstLine="282"/>
              <w:jc w:val="both"/>
              <w:rPr>
                <w:rFonts w:ascii="Times New Roman" w:hAnsi="Times New Roman" w:cs="Times New Roman"/>
              </w:rPr>
            </w:pPr>
            <w:r w:rsidRPr="00AD7541">
              <w:rPr>
                <w:rFonts w:ascii="Times New Roman" w:hAnsi="Times New Roman" w:cs="Times New Roman"/>
              </w:rPr>
              <w:t>10.13. У</w:t>
            </w:r>
            <w:r w:rsidRPr="00612BC7">
              <w:rPr>
                <w:rFonts w:ascii="Times New Roman" w:hAnsi="Times New Roman" w:cs="Times New Roman"/>
              </w:rPr>
              <w:t xml:space="preserve"> випадку припинення дії</w:t>
            </w:r>
            <w:r w:rsidRPr="00612BC7">
              <w:rPr>
                <w:rFonts w:ascii="Times New Roman" w:hAnsi="Times New Roman" w:cs="Times New Roman"/>
                <w:b/>
              </w:rPr>
              <w:t xml:space="preserve"> </w:t>
            </w:r>
            <w:r w:rsidRPr="00612BC7">
              <w:rPr>
                <w:rFonts w:ascii="Times New Roman" w:hAnsi="Times New Roman" w:cs="Times New Roman"/>
              </w:rPr>
              <w:t xml:space="preserve">ліцензії на право провадження господарської діяльності з виробництва електричної енергії, дія договору купівлі-продажу електричної енергії за "зеленим" тарифом та договору про участь у балансуючій групі гарантованого покупця припиняється з дати </w:t>
            </w:r>
            <w:r w:rsidRPr="00612BC7">
              <w:rPr>
                <w:rFonts w:ascii="Times New Roman" w:hAnsi="Times New Roman" w:cs="Times New Roman"/>
                <w:b/>
              </w:rPr>
              <w:t xml:space="preserve">набуття чинності відповідного рішення </w:t>
            </w:r>
            <w:r w:rsidRPr="00612BC7">
              <w:rPr>
                <w:rFonts w:ascii="Times New Roman" w:hAnsi="Times New Roman" w:cs="Times New Roman"/>
                <w:strike/>
              </w:rPr>
              <w:t>припинення дії ліцензії.</w:t>
            </w:r>
          </w:p>
          <w:p w:rsidR="00A17A06" w:rsidRPr="00612BC7" w:rsidRDefault="00A17A06" w:rsidP="00727173">
            <w:pPr>
              <w:ind w:left="-2" w:firstLineChars="128" w:firstLine="282"/>
              <w:jc w:val="both"/>
              <w:rPr>
                <w:rFonts w:ascii="Times New Roman" w:hAnsi="Times New Roman" w:cs="Times New Roman"/>
              </w:rPr>
            </w:pPr>
            <w:r w:rsidRPr="00612BC7">
              <w:rPr>
                <w:rFonts w:ascii="Times New Roman" w:hAnsi="Times New Roman" w:cs="Times New Roman"/>
              </w:rPr>
              <w:t xml:space="preserve">У випадку зупинення дії ліцензії на право провадження господарської діяльності з виробництва електричної енергії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дія договору купівлі-продажу електричної енергії за "зеленим" тарифом та договору про участь у балансуючій групі гарантованого покупця призупиняється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в частині генеруючих одиниць, щодо яких </w:t>
            </w:r>
            <w:proofErr w:type="spellStart"/>
            <w:r w:rsidRPr="00612BC7">
              <w:rPr>
                <w:rFonts w:ascii="Times New Roman" w:hAnsi="Times New Roman" w:cs="Times New Roman"/>
              </w:rPr>
              <w:t>зупинено</w:t>
            </w:r>
            <w:proofErr w:type="spellEnd"/>
            <w:r w:rsidRPr="00612BC7">
              <w:rPr>
                <w:rFonts w:ascii="Times New Roman" w:hAnsi="Times New Roman" w:cs="Times New Roman"/>
              </w:rPr>
              <w:t xml:space="preserve"> дію ліцензії, з дати </w:t>
            </w:r>
            <w:r w:rsidRPr="00612BC7">
              <w:rPr>
                <w:rFonts w:ascii="Times New Roman" w:hAnsi="Times New Roman" w:cs="Times New Roman"/>
                <w:b/>
              </w:rPr>
              <w:t xml:space="preserve">набуття чинності відповідного рішення про </w:t>
            </w:r>
            <w:r w:rsidRPr="00612BC7">
              <w:rPr>
                <w:rFonts w:ascii="Times New Roman" w:hAnsi="Times New Roman" w:cs="Times New Roman"/>
              </w:rPr>
              <w:t>зупинення дії ліцензії.</w:t>
            </w:r>
          </w:p>
          <w:p w:rsidR="00A17A06" w:rsidRPr="00612BC7" w:rsidRDefault="00A17A06" w:rsidP="00727173">
            <w:pPr>
              <w:ind w:left="-2" w:firstLineChars="128" w:firstLine="283"/>
              <w:jc w:val="both"/>
              <w:rPr>
                <w:rFonts w:ascii="Times New Roman" w:hAnsi="Times New Roman" w:cs="Times New Roman"/>
                <w:b/>
              </w:rPr>
            </w:pPr>
            <w:r w:rsidRPr="00612BC7">
              <w:rPr>
                <w:rFonts w:ascii="Times New Roman" w:eastAsia="Calibri" w:hAnsi="Times New Roman" w:cs="Times New Roman"/>
                <w:b/>
              </w:rPr>
              <w:t xml:space="preserve">У випадку припинення дії "зеленого" тарифу повністю або щодо окремої генеруючої одиниці, </w:t>
            </w:r>
            <w:r w:rsidRPr="00612BC7">
              <w:rPr>
                <w:rFonts w:ascii="Times New Roman" w:hAnsi="Times New Roman" w:cs="Times New Roman"/>
                <w:b/>
              </w:rPr>
              <w:t xml:space="preserve">дія договору купівлі-продажу електричної енергії за "зеленим" тарифом та договору про участь у балансуючій групі гарантованого покупця припиняється повністю або щодо відповідної генеруючої одиниці з дати набуття чинності відповідного рішення про припинення дії </w:t>
            </w:r>
            <w:r w:rsidRPr="00612BC7">
              <w:rPr>
                <w:rFonts w:ascii="Times New Roman" w:eastAsia="Calibri" w:hAnsi="Times New Roman" w:cs="Times New Roman"/>
                <w:b/>
              </w:rPr>
              <w:t>"зеленого" тарифу</w:t>
            </w:r>
            <w:r w:rsidRPr="00612BC7">
              <w:rPr>
                <w:rFonts w:ascii="Times New Roman" w:hAnsi="Times New Roman" w:cs="Times New Roman"/>
                <w:b/>
              </w:rPr>
              <w:t>.</w:t>
            </w:r>
          </w:p>
          <w:p w:rsidR="00A17A06" w:rsidRPr="00612BC7" w:rsidRDefault="00A17A06" w:rsidP="00727173">
            <w:pPr>
              <w:ind w:left="-2" w:firstLineChars="128" w:firstLine="283"/>
              <w:jc w:val="both"/>
              <w:rPr>
                <w:rFonts w:ascii="Times New Roman" w:hAnsi="Times New Roman" w:cs="Times New Roman"/>
                <w:b/>
              </w:rPr>
            </w:pPr>
          </w:p>
          <w:p w:rsidR="00A17A06" w:rsidRPr="00612BC7" w:rsidRDefault="00A17A06" w:rsidP="00727173">
            <w:pPr>
              <w:ind w:left="-2" w:firstLineChars="128" w:firstLine="282"/>
              <w:jc w:val="both"/>
              <w:rPr>
                <w:rFonts w:ascii="Times New Roman" w:eastAsia="Times New Roman" w:hAnsi="Times New Roman" w:cs="Times New Roman"/>
                <w:i/>
              </w:rPr>
            </w:pPr>
            <w:r w:rsidRPr="00612BC7">
              <w:rPr>
                <w:rFonts w:ascii="Times New Roman" w:eastAsia="Times New Roman" w:hAnsi="Times New Roman" w:cs="Times New Roman"/>
                <w:i/>
              </w:rPr>
              <w:t>Уточнення дати припинення дії договору.</w:t>
            </w:r>
          </w:p>
          <w:p w:rsidR="00A17A06" w:rsidRPr="00612BC7" w:rsidRDefault="00A17A06" w:rsidP="00727173">
            <w:pPr>
              <w:ind w:left="-2" w:firstLineChars="128" w:firstLine="282"/>
              <w:jc w:val="both"/>
              <w:rPr>
                <w:rFonts w:ascii="Times New Roman" w:eastAsia="Times New Roman" w:hAnsi="Times New Roman" w:cs="Times New Roman"/>
                <w:i/>
              </w:rPr>
            </w:pPr>
            <w:r w:rsidRPr="00612BC7">
              <w:rPr>
                <w:rFonts w:ascii="Times New Roman" w:eastAsia="Times New Roman" w:hAnsi="Times New Roman" w:cs="Times New Roman"/>
                <w:i/>
              </w:rPr>
              <w:lastRenderedPageBreak/>
              <w:t>Уточнення щодо часткового зупинення дії ліцензії.</w:t>
            </w:r>
          </w:p>
          <w:p w:rsidR="00A17A06" w:rsidRPr="00612BC7" w:rsidRDefault="00A17A06" w:rsidP="00727173">
            <w:pPr>
              <w:pBdr>
                <w:top w:val="nil"/>
                <w:left w:val="nil"/>
                <w:bottom w:val="nil"/>
                <w:right w:val="nil"/>
                <w:between w:val="nil"/>
              </w:pBdr>
              <w:shd w:val="clear" w:color="auto" w:fill="FFFFFF"/>
              <w:spacing w:line="240" w:lineRule="auto"/>
              <w:ind w:left="-2" w:firstLineChars="128" w:firstLine="282"/>
              <w:jc w:val="both"/>
              <w:rPr>
                <w:rFonts w:ascii="Times New Roman" w:eastAsia="Times New Roman" w:hAnsi="Times New Roman" w:cs="Times New Roman"/>
                <w:i/>
                <w:u w:val="single"/>
              </w:rPr>
            </w:pPr>
            <w:r w:rsidRPr="00612BC7">
              <w:rPr>
                <w:rFonts w:ascii="Times New Roman" w:eastAsia="Times New Roman" w:hAnsi="Times New Roman" w:cs="Times New Roman"/>
                <w:i/>
              </w:rPr>
              <w:t>Доповнення Порядку умовами припинення дії договорів, на підставі яких продавці за "зеленим" тарифом входять до БГ ГП, у зв'язку із припиненням дії "зеленого" тарифу та втрати статусу "учасник ринку".</w:t>
            </w:r>
          </w:p>
        </w:tc>
        <w:tc>
          <w:tcPr>
            <w:tcW w:w="4394" w:type="dxa"/>
          </w:tcPr>
          <w:p w:rsidR="00A17A06" w:rsidRPr="00CD27D4" w:rsidRDefault="00A17A06" w:rsidP="00A74CF9">
            <w:pPr>
              <w:spacing w:line="240" w:lineRule="auto"/>
              <w:ind w:firstLine="321"/>
              <w:jc w:val="both"/>
              <w:rPr>
                <w:rFonts w:ascii="Times New Roman" w:eastAsia="Times New Roman" w:hAnsi="Times New Roman" w:cs="Times New Roman"/>
                <w:b/>
                <w:u w:val="single"/>
                <w:lang w:eastAsia="uk-UA"/>
              </w:rPr>
            </w:pPr>
            <w:r w:rsidRPr="00CD27D4">
              <w:rPr>
                <w:rFonts w:ascii="Times New Roman" w:eastAsia="Calibri" w:hAnsi="Times New Roman" w:cs="Times New Roman"/>
              </w:rPr>
              <w:lastRenderedPageBreak/>
              <w:t>Потребує додаткового обговорення.</w:t>
            </w:r>
          </w:p>
        </w:tc>
      </w:tr>
      <w:tr w:rsidR="00A17A06" w:rsidRPr="00532B7E" w:rsidTr="000003B8">
        <w:tc>
          <w:tcPr>
            <w:tcW w:w="5103" w:type="dxa"/>
          </w:tcPr>
          <w:p w:rsidR="00A17A06" w:rsidRPr="00F055C1" w:rsidRDefault="00A17A06" w:rsidP="00727173">
            <w:pPr>
              <w:pStyle w:val="rvps2"/>
              <w:shd w:val="clear" w:color="auto" w:fill="FFFFFF"/>
              <w:spacing w:before="0" w:beforeAutospacing="0" w:after="0" w:afterAutospacing="0"/>
              <w:ind w:firstLine="313"/>
              <w:jc w:val="both"/>
            </w:pPr>
            <w:r w:rsidRPr="00F055C1">
              <w:t>13.1. У разі обрання порядку вирішення спорів в арбітражі за Арбітражним регламентом Міжнародної торгової палати (ІСС) з місцем арбітражу в місті Париж (Французька Республіка) за умови, що такий продавець за «зеленим» тарифом або продавець за механізмом ринкової премії</w:t>
            </w:r>
            <w:r w:rsidRPr="00F055C1">
              <w:rPr>
                <w:b/>
              </w:rPr>
              <w:t>, які відповідно до вимог чинного законодавства</w:t>
            </w:r>
            <w:r w:rsidRPr="00F055C1">
              <w:t xml:space="preserve"> є підприємством з іноземними інвестиціями </w:t>
            </w:r>
            <w:r w:rsidRPr="00F055C1">
              <w:rPr>
                <w:strike/>
              </w:rPr>
              <w:t>в розумінні </w:t>
            </w:r>
            <w:r w:rsidRPr="00F055C1">
              <w:rPr>
                <w:rFonts w:eastAsia="Calibri"/>
                <w:strike/>
              </w:rPr>
              <w:t>Господарського кодексу України</w:t>
            </w:r>
            <w:r w:rsidRPr="00F055C1">
              <w:t>, продавець за «зеленим» тарифом або продавець за механізмом ринкової    премії сплачує на користь гарантованого покупця внески для створення спеціального фонду, призначеного для покриття арбітражних витрат гарантованого покупця (далі - внески).</w:t>
            </w:r>
          </w:p>
          <w:p w:rsidR="00A17A06" w:rsidRPr="00F055C1" w:rsidRDefault="00A17A06" w:rsidP="00727173">
            <w:pPr>
              <w:pStyle w:val="rvps2"/>
              <w:shd w:val="clear" w:color="auto" w:fill="FFFFFF"/>
              <w:spacing w:before="0" w:beforeAutospacing="0" w:after="0" w:afterAutospacing="0"/>
              <w:ind w:firstLine="313"/>
              <w:jc w:val="both"/>
            </w:pPr>
            <w:r w:rsidRPr="00F055C1">
              <w:t>Внески сплачуються протягом дії договору купівлі-продажу електричної енергії за «зеленим» тарифом або договору про надання послуги за    механізмом ринкової премії. Незалежно від використання продавцем за «зеленим» тарифом або продавцем за механізмом ринкової премії права на вирішення спорів у міжнародному арбітражі сплачені внески платнику не повертаються.</w:t>
            </w:r>
          </w:p>
          <w:p w:rsidR="00A17A06" w:rsidRPr="00F055C1" w:rsidRDefault="00A17A06" w:rsidP="00727173">
            <w:pPr>
              <w:pStyle w:val="rvps2"/>
              <w:shd w:val="clear" w:color="auto" w:fill="FFFFFF"/>
              <w:spacing w:before="0" w:beforeAutospacing="0" w:after="0" w:afterAutospacing="0"/>
              <w:ind w:firstLine="313"/>
              <w:jc w:val="both"/>
              <w:rPr>
                <w:b/>
              </w:rPr>
            </w:pPr>
            <w:r w:rsidRPr="00F055C1">
              <w:rPr>
                <w:b/>
              </w:rPr>
              <w:t xml:space="preserve">У разі набуття або втрати продавцем за «зеленим» тарифом або продавцем за механізмом ринкової премії статусу підприємства з іноземними інвестиціями такий продавець протягом 5 робочих днів письмово повідомляє про це гарантованого </w:t>
            </w:r>
            <w:r w:rsidRPr="00F055C1">
              <w:rPr>
                <w:b/>
              </w:rPr>
              <w:lastRenderedPageBreak/>
              <w:t>покупця та має право ініціювати зміну порядку вирішення спорів.</w:t>
            </w:r>
          </w:p>
          <w:p w:rsidR="00A17A06" w:rsidRPr="00F055C1" w:rsidRDefault="00A17A06" w:rsidP="00727173">
            <w:pPr>
              <w:pStyle w:val="rvps2"/>
              <w:shd w:val="clear" w:color="auto" w:fill="FFFFFF"/>
              <w:spacing w:before="0" w:beforeAutospacing="0" w:after="0" w:afterAutospacing="0"/>
              <w:ind w:firstLine="313"/>
              <w:jc w:val="both"/>
              <w:rPr>
                <w:b/>
              </w:rPr>
            </w:pPr>
            <w:r w:rsidRPr="00F055C1">
              <w:rPr>
                <w:b/>
              </w:rPr>
              <w:t>Гарантований покупець після отримання від продавця за «зеленим» тарифом або продавця за механізмом ринкової премії повідомлення про зміну порядку вирішення спорів, протягом двох робочих днів вносить відповідні зміни до переліку підприємств, що здійснюють оплату внесків для створення спеціального (цільового) фонду, призначеного для покриття арбітражних витрат гарантованого покупця.</w:t>
            </w:r>
          </w:p>
          <w:p w:rsidR="00A17A06" w:rsidRPr="001F5CAF" w:rsidRDefault="00A17A06" w:rsidP="00727173">
            <w:pPr>
              <w:ind w:firstLine="313"/>
              <w:jc w:val="both"/>
              <w:rPr>
                <w:rFonts w:ascii="Times New Roman" w:hAnsi="Times New Roman" w:cs="Times New Roman"/>
                <w:sz w:val="24"/>
                <w:szCs w:val="24"/>
              </w:rPr>
            </w:pPr>
            <w:r w:rsidRPr="00F055C1">
              <w:rPr>
                <w:rFonts w:ascii="Times New Roman" w:hAnsi="Times New Roman" w:cs="Times New Roman"/>
                <w:b/>
                <w:sz w:val="24"/>
                <w:szCs w:val="24"/>
              </w:rPr>
              <w:t xml:space="preserve">Зобов’язання щодо </w:t>
            </w:r>
            <w:r w:rsidRPr="009C6735">
              <w:rPr>
                <w:rFonts w:ascii="Times New Roman" w:hAnsi="Times New Roman" w:cs="Times New Roman"/>
                <w:b/>
                <w:sz w:val="24"/>
                <w:szCs w:val="24"/>
              </w:rPr>
              <w:t>сплати</w:t>
            </w:r>
            <w:r w:rsidRPr="00F055C1">
              <w:rPr>
                <w:rFonts w:ascii="Times New Roman" w:hAnsi="Times New Roman" w:cs="Times New Roman"/>
                <w:b/>
                <w:sz w:val="24"/>
                <w:szCs w:val="24"/>
              </w:rPr>
              <w:t xml:space="preserve"> внесків для створення спеціального (цільового) фонду, призначеного для покриття арбітражних витрат гарантованого покупця припиняються/розпочинаються з першого числа місяця, що є наступним за місяцем, у якому гарантований покупець отримав від продавця за «зеленим» тарифом або продавця за механізмом ринкової премії повідомлення про зміну порядку вирішення спорів.</w:t>
            </w:r>
          </w:p>
        </w:tc>
        <w:tc>
          <w:tcPr>
            <w:tcW w:w="6096" w:type="dxa"/>
          </w:tcPr>
          <w:p w:rsidR="00A17A06" w:rsidRPr="00612BC7" w:rsidRDefault="00A17A06" w:rsidP="00727173">
            <w:pPr>
              <w:pBdr>
                <w:top w:val="nil"/>
                <w:left w:val="nil"/>
                <w:bottom w:val="nil"/>
                <w:right w:val="nil"/>
                <w:between w:val="nil"/>
              </w:pBdr>
              <w:shd w:val="clear" w:color="auto" w:fill="FFFFFF"/>
              <w:spacing w:line="240" w:lineRule="auto"/>
              <w:ind w:left="-2" w:firstLineChars="128" w:firstLine="283"/>
              <w:jc w:val="both"/>
              <w:rPr>
                <w:rFonts w:ascii="Times New Roman" w:eastAsia="Times New Roman" w:hAnsi="Times New Roman" w:cs="Times New Roman"/>
                <w:b/>
                <w:u w:val="single"/>
              </w:rPr>
            </w:pPr>
            <w:r w:rsidRPr="00612BC7">
              <w:rPr>
                <w:rFonts w:ascii="Times New Roman" w:eastAsia="Times New Roman" w:hAnsi="Times New Roman" w:cs="Times New Roman"/>
                <w:b/>
                <w:u w:val="single"/>
              </w:rPr>
              <w:lastRenderedPageBreak/>
              <w:t>Пропозиції ТОВ «</w:t>
            </w:r>
            <w:proofErr w:type="spellStart"/>
            <w:r w:rsidRPr="00612BC7">
              <w:rPr>
                <w:rFonts w:ascii="Times New Roman" w:eastAsia="Times New Roman" w:hAnsi="Times New Roman" w:cs="Times New Roman"/>
                <w:b/>
                <w:u w:val="single"/>
              </w:rPr>
              <w:t>Грінпроджектсистемс</w:t>
            </w:r>
            <w:proofErr w:type="spellEnd"/>
            <w:r w:rsidRPr="00612BC7">
              <w:rPr>
                <w:rFonts w:ascii="Times New Roman" w:eastAsia="Times New Roman" w:hAnsi="Times New Roman" w:cs="Times New Roman"/>
                <w:b/>
                <w:u w:val="single"/>
              </w:rPr>
              <w:t>»:</w:t>
            </w:r>
          </w:p>
          <w:p w:rsidR="00A17A06" w:rsidRPr="00612BC7" w:rsidRDefault="00A17A06" w:rsidP="00727173">
            <w:pPr>
              <w:pStyle w:val="rvps2"/>
              <w:shd w:val="clear" w:color="auto" w:fill="FFFFFF"/>
              <w:spacing w:before="0" w:beforeAutospacing="0" w:after="0" w:afterAutospacing="0"/>
              <w:ind w:left="-2" w:firstLine="283"/>
              <w:jc w:val="both"/>
            </w:pPr>
            <w:r w:rsidRPr="00AD7541">
              <w:t>13.1.</w:t>
            </w:r>
            <w:r w:rsidRPr="00612BC7">
              <w:t xml:space="preserve"> У разі обрання порядку вирішення спорів в арбітражі за Арбітражним регламентом Міжнародної торгової палати (ІСС) з місцем арбітражу в місті Париж (Французька Республіка) за умови, що такий продавець за «зеленим» тарифом або продавець за механізмом ринкової премії, які відповідно до вимог чинного законодавства є підприємством з іноземними інвестиціями </w:t>
            </w:r>
            <w:r w:rsidRPr="00612BC7">
              <w:rPr>
                <w:strike/>
              </w:rPr>
              <w:t>в розумінні </w:t>
            </w:r>
            <w:r w:rsidRPr="00612BC7">
              <w:rPr>
                <w:rFonts w:eastAsia="Calibri"/>
                <w:strike/>
              </w:rPr>
              <w:t>Господарського кодексу України</w:t>
            </w:r>
            <w:r w:rsidRPr="00612BC7">
              <w:t>, продавець за «зеленим» тарифом або продавець за механізмом ринкової    премії сплачує на користь гарантованого покупця внески для створення спеціального фонду, призначеного для покриття арбітражних витрат гарантованого покупця (далі - внески).</w:t>
            </w:r>
          </w:p>
          <w:p w:rsidR="00A17A06" w:rsidRPr="00612BC7" w:rsidRDefault="00A17A06" w:rsidP="00727173">
            <w:pPr>
              <w:pStyle w:val="rvps2"/>
              <w:shd w:val="clear" w:color="auto" w:fill="FFFFFF"/>
              <w:spacing w:before="0" w:beforeAutospacing="0" w:after="0" w:afterAutospacing="0"/>
              <w:ind w:left="-2" w:firstLine="283"/>
              <w:jc w:val="both"/>
            </w:pPr>
            <w:r w:rsidRPr="00612BC7">
              <w:t>Внески сплачуються протягом дії договору купівлі-продажу електричної енергії за «зеленим» тарифом або договору про надання послуги за    механізмом ринкової премії. Незалежно від використання продавцем за «зеленим» тарифом або продавцем за механізмом ринкової премії права на вирішення спорів у міжнародному арбітражі сплачені внески платнику не повертаються.</w:t>
            </w:r>
          </w:p>
          <w:p w:rsidR="00A17A06" w:rsidRPr="00612BC7" w:rsidRDefault="00A17A06" w:rsidP="00727173">
            <w:pPr>
              <w:pStyle w:val="rvps2"/>
              <w:shd w:val="clear" w:color="auto" w:fill="FFFFFF"/>
              <w:spacing w:before="0" w:beforeAutospacing="0" w:after="0" w:afterAutospacing="0"/>
              <w:ind w:left="-2" w:firstLine="283"/>
              <w:jc w:val="both"/>
            </w:pPr>
            <w:r w:rsidRPr="00612BC7">
              <w:t>У разі набуття або втрати продавцем за «зеленим» тарифом або продавцем за механізмом ринкової премії статусу підприємства з іноземними інвестиціями такий продавець протягом 5 робочих днів письмово повідомляє про це гарантованого покупця та має право ініціювати зміну порядку вирішення спорів.</w:t>
            </w:r>
          </w:p>
          <w:p w:rsidR="00A17A06" w:rsidRPr="00612BC7" w:rsidRDefault="00A17A06" w:rsidP="00727173">
            <w:pPr>
              <w:pStyle w:val="rvps2"/>
              <w:shd w:val="clear" w:color="auto" w:fill="FFFFFF"/>
              <w:spacing w:before="0" w:beforeAutospacing="0" w:after="0" w:afterAutospacing="0"/>
              <w:ind w:left="-2" w:firstLine="283"/>
              <w:jc w:val="both"/>
            </w:pPr>
            <w:r w:rsidRPr="00612BC7">
              <w:t xml:space="preserve">Гарантований покупець після отримання від продавця за «зеленим» тарифом або продавця за механізмом ринкової премії повідомлення про зміну порядку </w:t>
            </w:r>
            <w:r w:rsidRPr="00612BC7">
              <w:lastRenderedPageBreak/>
              <w:t>вирішення спорів, протягом двох робочих днів вносить відповідні зміни до переліку підприємств, що здійснюють оплату внесків для створення спеціального (цільового) фонду, призначеного для покриття арбітражних витрат гарантованого покупця.</w:t>
            </w:r>
          </w:p>
          <w:p w:rsidR="00A17A06" w:rsidRPr="00612BC7" w:rsidRDefault="00A17A06" w:rsidP="00727173">
            <w:pPr>
              <w:spacing w:line="240" w:lineRule="auto"/>
              <w:ind w:left="-2" w:firstLineChars="128" w:firstLine="307"/>
              <w:jc w:val="both"/>
              <w:rPr>
                <w:rFonts w:ascii="Times New Roman" w:hAnsi="Times New Roman" w:cs="Times New Roman"/>
                <w:sz w:val="24"/>
                <w:szCs w:val="24"/>
              </w:rPr>
            </w:pPr>
            <w:r w:rsidRPr="00612BC7">
              <w:rPr>
                <w:rFonts w:ascii="Times New Roman" w:hAnsi="Times New Roman" w:cs="Times New Roman"/>
                <w:sz w:val="24"/>
                <w:szCs w:val="24"/>
              </w:rPr>
              <w:t xml:space="preserve">Зобов’язання щодо сплати внесків для створення спеціального (цільового) фонду, призначеного для покриття арбітражних витрат гарантованого покупця </w:t>
            </w:r>
            <w:r w:rsidRPr="00612BC7">
              <w:rPr>
                <w:rFonts w:ascii="Times New Roman" w:hAnsi="Times New Roman" w:cs="Times New Roman"/>
                <w:b/>
                <w:strike/>
                <w:sz w:val="24"/>
                <w:szCs w:val="24"/>
              </w:rPr>
              <w:t>припиняються</w:t>
            </w:r>
            <w:r w:rsidRPr="00612BC7">
              <w:rPr>
                <w:rFonts w:ascii="Times New Roman" w:hAnsi="Times New Roman" w:cs="Times New Roman"/>
                <w:sz w:val="24"/>
                <w:szCs w:val="24"/>
              </w:rPr>
              <w:t>/розпочинаються з першого числа місяця, що є наступним за місяцем, у якому гарантований покупець отримав від продавця за «зеленим» тарифом або продавця за механізмом ринкової премії повідомлення про зміну порядку вирішення спорів.</w:t>
            </w:r>
          </w:p>
          <w:p w:rsidR="00A17A06" w:rsidRPr="00612BC7" w:rsidRDefault="00A17A06" w:rsidP="00727173">
            <w:pPr>
              <w:spacing w:line="240" w:lineRule="auto"/>
              <w:ind w:left="-2" w:firstLine="283"/>
              <w:jc w:val="both"/>
              <w:rPr>
                <w:rFonts w:ascii="Times New Roman" w:hAnsi="Times New Roman" w:cs="Times New Roman"/>
                <w:b/>
              </w:rPr>
            </w:pPr>
            <w:r w:rsidRPr="00612BC7">
              <w:rPr>
                <w:rFonts w:ascii="Times New Roman" w:hAnsi="Times New Roman" w:cs="Times New Roman"/>
                <w:b/>
              </w:rPr>
              <w:t>Зобов’язання щодо сплати внесків для створення спеціального (цільового) фонду, призначеного для покриття арбітражних витрат гарантованого покупця припиняються з дати втрати продавцем за «зеленим» тарифом або продавцем за механізмом ринкової премії статусу підприємства з іноземними інвестиціями, що підтверджується відомостями з Єдиного державного реєстру юридичних осіб, фізичних осіб-підприємців та громадських формувань.</w:t>
            </w:r>
          </w:p>
          <w:p w:rsidR="00A17A06" w:rsidRPr="00612BC7" w:rsidRDefault="00A17A06" w:rsidP="00727173">
            <w:pPr>
              <w:spacing w:line="240" w:lineRule="auto"/>
              <w:ind w:left="-2" w:firstLine="283"/>
              <w:jc w:val="both"/>
              <w:rPr>
                <w:rFonts w:ascii="Times New Roman" w:hAnsi="Times New Roman" w:cs="Times New Roman"/>
                <w:b/>
              </w:rPr>
            </w:pPr>
          </w:p>
          <w:p w:rsidR="00A17A06" w:rsidRPr="00612BC7" w:rsidRDefault="00A17A06" w:rsidP="00727173">
            <w:pPr>
              <w:spacing w:line="240" w:lineRule="auto"/>
              <w:ind w:left="-2" w:firstLineChars="128" w:firstLine="282"/>
              <w:jc w:val="both"/>
              <w:rPr>
                <w:rFonts w:ascii="Times New Roman" w:hAnsi="Times New Roman" w:cs="Times New Roman"/>
                <w:i/>
              </w:rPr>
            </w:pPr>
            <w:r w:rsidRPr="00612BC7">
              <w:rPr>
                <w:rFonts w:ascii="Times New Roman" w:hAnsi="Times New Roman" w:cs="Times New Roman"/>
                <w:i/>
                <w:shd w:val="clear" w:color="auto" w:fill="FFFFFF"/>
              </w:rPr>
              <w:t xml:space="preserve">Запропоновані пропозиції до проекту рішення НКРЕКП забезпечать чітку відповідність законодавству України момент втрати статусу  </w:t>
            </w:r>
            <w:r w:rsidRPr="00612BC7">
              <w:rPr>
                <w:rFonts w:ascii="Times New Roman" w:hAnsi="Times New Roman" w:cs="Times New Roman"/>
                <w:i/>
              </w:rPr>
              <w:t>підприємства з іноземними інвестиціями, продавця за «зеленим» тарифом або продавця за механізмом ринкової премії, а саме з моменту відповідних змін у Єдиному державному реєстрі юридичних осіб, фізичних осіб-підприємців та громадських формувань, а не з першого числа місяця, що є наступним за місяцем, у якому гарантований покупець отримав від продавця за «зеленим» тарифом або продавця за механізмом ринкової премії повідомлення про зміну порядку вирішення спорів.</w:t>
            </w:r>
          </w:p>
          <w:p w:rsidR="00A17A06" w:rsidRPr="00612BC7" w:rsidRDefault="00A17A06" w:rsidP="00727173">
            <w:pPr>
              <w:spacing w:before="150" w:after="150" w:line="240" w:lineRule="auto"/>
              <w:ind w:left="-2" w:firstLineChars="128" w:firstLine="282"/>
              <w:jc w:val="both"/>
              <w:rPr>
                <w:rFonts w:ascii="Times New Roman" w:hAnsi="Times New Roman" w:cs="Times New Roman"/>
                <w:bCs/>
                <w:i/>
              </w:rPr>
            </w:pPr>
            <w:r w:rsidRPr="00612BC7">
              <w:rPr>
                <w:rFonts w:ascii="Times New Roman" w:hAnsi="Times New Roman" w:cs="Times New Roman"/>
                <w:i/>
                <w:shd w:val="clear" w:color="auto" w:fill="FFFFFF"/>
              </w:rPr>
              <w:t xml:space="preserve">Крім того,  редакція проекту рішення НКРЕКП не вирішує проблематику продавців за «зеленим» тарифом або продавців за механізмом ринкової премії, які втратили </w:t>
            </w:r>
            <w:r w:rsidRPr="00612BC7">
              <w:rPr>
                <w:rFonts w:ascii="Times New Roman" w:hAnsi="Times New Roman" w:cs="Times New Roman"/>
                <w:bCs/>
                <w:i/>
              </w:rPr>
              <w:t xml:space="preserve">статус підприємства з іноземними інвестиціями до дати набуття чинності рішенням НКРЕКП, яким буде затверджено </w:t>
            </w:r>
            <w:r w:rsidRPr="00612BC7">
              <w:rPr>
                <w:rFonts w:ascii="Times New Roman" w:hAnsi="Times New Roman" w:cs="Times New Roman"/>
                <w:bCs/>
                <w:i/>
              </w:rPr>
              <w:lastRenderedPageBreak/>
              <w:t xml:space="preserve">відповідні зміни до даного регуляторного </w:t>
            </w:r>
            <w:proofErr w:type="spellStart"/>
            <w:r w:rsidRPr="00612BC7">
              <w:rPr>
                <w:rFonts w:ascii="Times New Roman" w:hAnsi="Times New Roman" w:cs="Times New Roman"/>
                <w:bCs/>
                <w:i/>
              </w:rPr>
              <w:t>акта</w:t>
            </w:r>
            <w:proofErr w:type="spellEnd"/>
            <w:r w:rsidRPr="00612BC7">
              <w:rPr>
                <w:rFonts w:ascii="Times New Roman" w:hAnsi="Times New Roman" w:cs="Times New Roman"/>
                <w:bCs/>
                <w:i/>
              </w:rPr>
              <w:t>, зокрема, ТОВ «</w:t>
            </w:r>
            <w:proofErr w:type="spellStart"/>
            <w:r w:rsidRPr="00612BC7">
              <w:rPr>
                <w:rFonts w:ascii="Times New Roman" w:hAnsi="Times New Roman" w:cs="Times New Roman"/>
                <w:bCs/>
                <w:i/>
              </w:rPr>
              <w:t>Грінпроджектсистемс</w:t>
            </w:r>
            <w:proofErr w:type="spellEnd"/>
            <w:r w:rsidRPr="00612BC7">
              <w:rPr>
                <w:rFonts w:ascii="Times New Roman" w:hAnsi="Times New Roman" w:cs="Times New Roman"/>
                <w:bCs/>
                <w:i/>
              </w:rPr>
              <w:t>» втратило зазначений статус в 2021 році.</w:t>
            </w:r>
          </w:p>
        </w:tc>
        <w:tc>
          <w:tcPr>
            <w:tcW w:w="4394" w:type="dxa"/>
          </w:tcPr>
          <w:p w:rsidR="00A17A06" w:rsidRPr="00CD27D4" w:rsidRDefault="00A17A06" w:rsidP="00A74CF9">
            <w:pPr>
              <w:spacing w:line="240" w:lineRule="auto"/>
              <w:ind w:firstLine="321"/>
              <w:jc w:val="both"/>
              <w:rPr>
                <w:rFonts w:ascii="Times New Roman" w:eastAsia="Calibri" w:hAnsi="Times New Roman" w:cs="Times New Roman"/>
              </w:rPr>
            </w:pPr>
            <w:r w:rsidRPr="00CD27D4">
              <w:rPr>
                <w:rFonts w:ascii="Times New Roman" w:eastAsia="Calibri" w:hAnsi="Times New Roman" w:cs="Times New Roman"/>
              </w:rPr>
              <w:lastRenderedPageBreak/>
              <w:t>Потребує додаткового обговорення.</w:t>
            </w:r>
          </w:p>
        </w:tc>
      </w:tr>
      <w:tr w:rsidR="00A17A06" w:rsidRPr="00532B7E" w:rsidTr="00463CE8">
        <w:trPr>
          <w:trHeight w:val="310"/>
        </w:trPr>
        <w:tc>
          <w:tcPr>
            <w:tcW w:w="15593" w:type="dxa"/>
            <w:gridSpan w:val="3"/>
          </w:tcPr>
          <w:p w:rsidR="00A17A06" w:rsidRPr="00612BC7" w:rsidRDefault="00A17A06" w:rsidP="00727173">
            <w:pPr>
              <w:spacing w:line="240" w:lineRule="auto"/>
              <w:ind w:left="-2" w:firstLine="283"/>
              <w:jc w:val="center"/>
              <w:rPr>
                <w:rFonts w:ascii="Times New Roman" w:eastAsia="Times New Roman" w:hAnsi="Times New Roman" w:cs="Times New Roman"/>
                <w:b/>
                <w:u w:val="single"/>
                <w:lang w:eastAsia="uk-UA"/>
              </w:rPr>
            </w:pPr>
            <w:r w:rsidRPr="00612BC7">
              <w:rPr>
                <w:rFonts w:ascii="Times New Roman" w:hAnsi="Times New Roman" w:cs="Times New Roman"/>
                <w:i/>
                <w:sz w:val="24"/>
                <w:szCs w:val="24"/>
              </w:rPr>
              <w:lastRenderedPageBreak/>
              <w:t>Типовий договір про купівлю-продаж електричної енергії за «зеленим» тарифом</w:t>
            </w:r>
          </w:p>
        </w:tc>
      </w:tr>
      <w:tr w:rsidR="00A17A06" w:rsidRPr="00532B7E" w:rsidTr="000003B8">
        <w:trPr>
          <w:trHeight w:val="310"/>
        </w:trPr>
        <w:tc>
          <w:tcPr>
            <w:tcW w:w="5103" w:type="dxa"/>
          </w:tcPr>
          <w:p w:rsidR="00A17A06" w:rsidRPr="00597D19" w:rsidRDefault="00A17A06" w:rsidP="00727173">
            <w:pPr>
              <w:pStyle w:val="tj"/>
              <w:spacing w:before="0" w:beforeAutospacing="0" w:after="0" w:afterAutospacing="0"/>
              <w:ind w:firstLine="313"/>
              <w:jc w:val="both"/>
              <w:rPr>
                <w:color w:val="000000"/>
                <w:sz w:val="22"/>
                <w:szCs w:val="22"/>
                <w:lang w:val="uk-UA"/>
              </w:rPr>
            </w:pPr>
            <w:r w:rsidRPr="00597D19">
              <w:rPr>
                <w:color w:val="000000"/>
                <w:sz w:val="22"/>
                <w:szCs w:val="22"/>
                <w:lang w:val="uk-UA"/>
              </w:rPr>
              <w:t xml:space="preserve">7.9. У випадку </w:t>
            </w:r>
            <w:r w:rsidRPr="00597D19">
              <w:rPr>
                <w:b/>
                <w:sz w:val="22"/>
                <w:szCs w:val="22"/>
                <w:lang w:val="uk-UA"/>
              </w:rPr>
              <w:t xml:space="preserve">припинення </w:t>
            </w:r>
            <w:r w:rsidRPr="00597D19">
              <w:rPr>
                <w:color w:val="000000"/>
                <w:sz w:val="22"/>
                <w:szCs w:val="22"/>
                <w:lang w:val="uk-UA"/>
              </w:rPr>
              <w:t xml:space="preserve">дії ліцензії продавця на право провадження господарської діяльності з виробництва електричної енергії дія цього Договору припиняється з дати </w:t>
            </w:r>
            <w:r w:rsidRPr="00597D19">
              <w:rPr>
                <w:b/>
                <w:sz w:val="22"/>
                <w:szCs w:val="22"/>
                <w:lang w:val="uk-UA"/>
              </w:rPr>
              <w:t>припинення дії</w:t>
            </w:r>
            <w:r w:rsidRPr="00597D19">
              <w:rPr>
                <w:color w:val="000000"/>
                <w:sz w:val="22"/>
                <w:szCs w:val="22"/>
                <w:lang w:val="uk-UA"/>
              </w:rPr>
              <w:t xml:space="preserve"> ліцензії.</w:t>
            </w:r>
          </w:p>
          <w:p w:rsidR="00A17A06" w:rsidRPr="00597D19" w:rsidRDefault="00A17A06" w:rsidP="00727173">
            <w:pPr>
              <w:spacing w:line="240" w:lineRule="auto"/>
              <w:ind w:firstLine="313"/>
              <w:jc w:val="both"/>
              <w:rPr>
                <w:rFonts w:ascii="Times New Roman" w:eastAsiaTheme="majorEastAsia" w:hAnsi="Times New Roman" w:cs="Times New Roman"/>
                <w:iCs/>
                <w:kern w:val="2"/>
              </w:rPr>
            </w:pPr>
            <w:r w:rsidRPr="00597D19">
              <w:rPr>
                <w:rFonts w:ascii="Times New Roman" w:hAnsi="Times New Roman" w:cs="Times New Roman"/>
                <w:color w:val="000000"/>
              </w:rPr>
              <w:t xml:space="preserve">У випадку зупинення дії ліцензії на право провадження господарської діяльності з виробництва електричної енергії, дія цього Договору призупиняється в частині генеруючих одиниць, щодо яких </w:t>
            </w:r>
            <w:proofErr w:type="spellStart"/>
            <w:r w:rsidRPr="00597D19">
              <w:rPr>
                <w:rFonts w:ascii="Times New Roman" w:hAnsi="Times New Roman" w:cs="Times New Roman"/>
                <w:color w:val="000000"/>
              </w:rPr>
              <w:t>зупинено</w:t>
            </w:r>
            <w:proofErr w:type="spellEnd"/>
            <w:r w:rsidRPr="00597D19">
              <w:rPr>
                <w:rFonts w:ascii="Times New Roman" w:hAnsi="Times New Roman" w:cs="Times New Roman"/>
                <w:color w:val="000000"/>
              </w:rPr>
              <w:t xml:space="preserve"> дію ліцензії, на термін такого зупинення.</w:t>
            </w:r>
          </w:p>
        </w:tc>
        <w:tc>
          <w:tcPr>
            <w:tcW w:w="6096" w:type="dxa"/>
          </w:tcPr>
          <w:p w:rsidR="00A17A06" w:rsidRPr="00612BC7" w:rsidRDefault="00A17A06" w:rsidP="00727173">
            <w:pPr>
              <w:pBdr>
                <w:top w:val="nil"/>
                <w:left w:val="nil"/>
                <w:bottom w:val="nil"/>
                <w:right w:val="nil"/>
                <w:between w:val="nil"/>
              </w:pBdr>
              <w:shd w:val="clear" w:color="auto" w:fill="FFFFFF"/>
              <w:spacing w:line="240" w:lineRule="auto"/>
              <w:ind w:left="-2" w:firstLineChars="128" w:firstLine="283"/>
              <w:jc w:val="both"/>
              <w:rPr>
                <w:rFonts w:ascii="Times New Roman" w:eastAsia="Times New Roman" w:hAnsi="Times New Roman" w:cs="Times New Roman"/>
                <w:b/>
                <w:u w:val="single"/>
              </w:rPr>
            </w:pPr>
            <w:r w:rsidRPr="00612BC7">
              <w:rPr>
                <w:rFonts w:ascii="Times New Roman" w:eastAsia="Times New Roman" w:hAnsi="Times New Roman" w:cs="Times New Roman"/>
                <w:b/>
                <w:u w:val="single"/>
              </w:rPr>
              <w:t>Пропозиції ДП «Гарантований покупець»:</w:t>
            </w:r>
          </w:p>
          <w:p w:rsidR="00A17A06" w:rsidRPr="00612BC7" w:rsidRDefault="00A17A06" w:rsidP="00727173">
            <w:pPr>
              <w:ind w:left="-2" w:firstLineChars="128" w:firstLine="282"/>
              <w:jc w:val="both"/>
              <w:rPr>
                <w:rFonts w:ascii="Times New Roman" w:hAnsi="Times New Roman" w:cs="Times New Roman"/>
              </w:rPr>
            </w:pPr>
            <w:r w:rsidRPr="00AD7541">
              <w:rPr>
                <w:rFonts w:ascii="Times New Roman" w:hAnsi="Times New Roman" w:cs="Times New Roman"/>
              </w:rPr>
              <w:t>7.9. У</w:t>
            </w:r>
            <w:r w:rsidRPr="00612BC7">
              <w:rPr>
                <w:rFonts w:ascii="Times New Roman" w:hAnsi="Times New Roman" w:cs="Times New Roman"/>
              </w:rPr>
              <w:t xml:space="preserve"> випадку припинення дії ліцензії продавця на право провадження господарської діяльності з виробництва електричної енергії, дія цього Договору з дати </w:t>
            </w:r>
            <w:r w:rsidRPr="00612BC7">
              <w:rPr>
                <w:rFonts w:ascii="Times New Roman" w:hAnsi="Times New Roman" w:cs="Times New Roman"/>
                <w:b/>
              </w:rPr>
              <w:t xml:space="preserve">набуття чинності відповідного рішення </w:t>
            </w:r>
            <w:r w:rsidRPr="00612BC7">
              <w:rPr>
                <w:rFonts w:ascii="Times New Roman" w:hAnsi="Times New Roman" w:cs="Times New Roman"/>
                <w:strike/>
              </w:rPr>
              <w:t>припинення дії ліцензії</w:t>
            </w:r>
            <w:r w:rsidRPr="00612BC7">
              <w:rPr>
                <w:rFonts w:ascii="Times New Roman" w:hAnsi="Times New Roman" w:cs="Times New Roman"/>
              </w:rPr>
              <w:t>.</w:t>
            </w:r>
          </w:p>
          <w:p w:rsidR="00A17A06" w:rsidRPr="00612BC7" w:rsidRDefault="00A17A06" w:rsidP="00727173">
            <w:pPr>
              <w:spacing w:line="240" w:lineRule="auto"/>
              <w:ind w:left="-2" w:firstLineChars="128" w:firstLine="282"/>
              <w:jc w:val="both"/>
              <w:rPr>
                <w:rFonts w:ascii="Times New Roman" w:hAnsi="Times New Roman" w:cs="Times New Roman"/>
              </w:rPr>
            </w:pPr>
            <w:r w:rsidRPr="00612BC7">
              <w:rPr>
                <w:rFonts w:ascii="Times New Roman" w:hAnsi="Times New Roman" w:cs="Times New Roman"/>
              </w:rPr>
              <w:t xml:space="preserve">У випадку зупинення дії ліцензії на право провадження господарської діяльності з виробництва електричної енергії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дія цього Договору призупиняється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в частині генеруючих одиниць, щодо яких </w:t>
            </w:r>
            <w:proofErr w:type="spellStart"/>
            <w:r w:rsidRPr="00612BC7">
              <w:rPr>
                <w:rFonts w:ascii="Times New Roman" w:hAnsi="Times New Roman" w:cs="Times New Roman"/>
              </w:rPr>
              <w:t>зупинено</w:t>
            </w:r>
            <w:proofErr w:type="spellEnd"/>
            <w:r w:rsidRPr="00612BC7">
              <w:rPr>
                <w:rFonts w:ascii="Times New Roman" w:hAnsi="Times New Roman" w:cs="Times New Roman"/>
              </w:rPr>
              <w:t xml:space="preserve"> дію ліцензії, </w:t>
            </w:r>
            <w:r w:rsidRPr="00612BC7">
              <w:rPr>
                <w:rFonts w:ascii="Times New Roman" w:hAnsi="Times New Roman" w:cs="Times New Roman"/>
                <w:b/>
              </w:rPr>
              <w:t>з дати набуття чинності відповідного рішення про зупинення дії ліцензії</w:t>
            </w:r>
            <w:r w:rsidRPr="00612BC7">
              <w:rPr>
                <w:rFonts w:ascii="Times New Roman" w:hAnsi="Times New Roman" w:cs="Times New Roman"/>
              </w:rPr>
              <w:t xml:space="preserve"> на термін такого зупинення.</w:t>
            </w:r>
          </w:p>
          <w:p w:rsidR="00A17A06" w:rsidRPr="00612BC7" w:rsidRDefault="00A17A06" w:rsidP="00727173">
            <w:pPr>
              <w:spacing w:line="240" w:lineRule="auto"/>
              <w:ind w:left="-2" w:firstLineChars="128" w:firstLine="283"/>
              <w:jc w:val="both"/>
              <w:rPr>
                <w:rFonts w:ascii="Times New Roman" w:eastAsia="Times New Roman" w:hAnsi="Times New Roman" w:cs="Times New Roman"/>
                <w:b/>
                <w:u w:val="single"/>
                <w:lang w:eastAsia="uk-UA"/>
              </w:rPr>
            </w:pPr>
          </w:p>
          <w:p w:rsidR="00A17A06" w:rsidRPr="00612BC7" w:rsidRDefault="00A17A06" w:rsidP="00727173">
            <w:pPr>
              <w:ind w:left="-2" w:firstLineChars="128" w:firstLine="282"/>
              <w:jc w:val="both"/>
              <w:rPr>
                <w:rFonts w:ascii="Times New Roman" w:eastAsia="Times New Roman" w:hAnsi="Times New Roman" w:cs="Times New Roman"/>
                <w:i/>
              </w:rPr>
            </w:pPr>
            <w:r w:rsidRPr="00612BC7">
              <w:rPr>
                <w:rFonts w:ascii="Times New Roman" w:eastAsia="Times New Roman" w:hAnsi="Times New Roman" w:cs="Times New Roman"/>
                <w:i/>
              </w:rPr>
              <w:t>Уточнення дати припинення дії договору.</w:t>
            </w:r>
          </w:p>
          <w:p w:rsidR="00A17A06" w:rsidRPr="00612BC7" w:rsidRDefault="00A17A06" w:rsidP="00727173">
            <w:pPr>
              <w:spacing w:line="240" w:lineRule="auto"/>
              <w:ind w:left="-2" w:firstLineChars="128" w:firstLine="282"/>
              <w:jc w:val="both"/>
              <w:rPr>
                <w:rFonts w:ascii="Times New Roman" w:hAnsi="Times New Roman" w:cs="Times New Roman"/>
                <w:i/>
                <w:sz w:val="24"/>
                <w:szCs w:val="24"/>
              </w:rPr>
            </w:pPr>
            <w:r w:rsidRPr="00612BC7">
              <w:rPr>
                <w:rFonts w:ascii="Times New Roman" w:hAnsi="Times New Roman" w:cs="Times New Roman"/>
                <w:i/>
              </w:rPr>
              <w:t>Уточнення щодо часткового зупинення ліцензії.</w:t>
            </w:r>
          </w:p>
        </w:tc>
        <w:tc>
          <w:tcPr>
            <w:tcW w:w="4394" w:type="dxa"/>
          </w:tcPr>
          <w:p w:rsidR="00A17A06" w:rsidRPr="007A38DE" w:rsidRDefault="00A17A06" w:rsidP="00661E93">
            <w:pPr>
              <w:spacing w:line="240" w:lineRule="auto"/>
              <w:ind w:firstLine="319"/>
              <w:jc w:val="both"/>
              <w:rPr>
                <w:rFonts w:ascii="Times New Roman" w:hAnsi="Times New Roman" w:cs="Times New Roman"/>
                <w:i/>
                <w:sz w:val="24"/>
                <w:szCs w:val="24"/>
              </w:rPr>
            </w:pPr>
            <w:r w:rsidRPr="00CD27D4">
              <w:rPr>
                <w:rFonts w:ascii="Times New Roman" w:eastAsia="Calibri" w:hAnsi="Times New Roman" w:cs="Times New Roman"/>
              </w:rPr>
              <w:t>Потребує додаткового обговорення.</w:t>
            </w:r>
          </w:p>
        </w:tc>
      </w:tr>
      <w:tr w:rsidR="00A17A06" w:rsidRPr="00532B7E" w:rsidTr="00B32598">
        <w:tc>
          <w:tcPr>
            <w:tcW w:w="15593" w:type="dxa"/>
            <w:gridSpan w:val="3"/>
          </w:tcPr>
          <w:p w:rsidR="00A17A06" w:rsidRPr="00612BC7" w:rsidRDefault="00A17A06" w:rsidP="00727173">
            <w:pPr>
              <w:pStyle w:val="ac"/>
              <w:spacing w:after="0"/>
              <w:ind w:left="-2" w:firstLine="283"/>
              <w:jc w:val="center"/>
              <w:rPr>
                <w:rFonts w:ascii="Times New Roman" w:hAnsi="Times New Roman" w:cs="Times New Roman"/>
                <w:i/>
                <w:lang w:eastAsia="ru-RU"/>
              </w:rPr>
            </w:pPr>
            <w:r w:rsidRPr="00612BC7">
              <w:rPr>
                <w:rFonts w:ascii="Times New Roman" w:hAnsi="Times New Roman" w:cs="Times New Roman"/>
                <w:i/>
              </w:rPr>
              <w:t>Типовий договір про участь у балансуючій групі гарантованого покупця</w:t>
            </w:r>
          </w:p>
        </w:tc>
      </w:tr>
      <w:tr w:rsidR="00A17A06" w:rsidRPr="00532B7E" w:rsidTr="000003B8">
        <w:trPr>
          <w:trHeight w:val="1440"/>
        </w:trPr>
        <w:tc>
          <w:tcPr>
            <w:tcW w:w="5103" w:type="dxa"/>
          </w:tcPr>
          <w:p w:rsidR="00A17A06" w:rsidRPr="00597D19" w:rsidRDefault="00A17A06" w:rsidP="00727173">
            <w:pPr>
              <w:ind w:firstLine="313"/>
              <w:jc w:val="both"/>
              <w:rPr>
                <w:rFonts w:ascii="Times New Roman" w:hAnsi="Times New Roman" w:cs="Times New Roman"/>
              </w:rPr>
            </w:pPr>
            <w:bookmarkStart w:id="1" w:name="_Hlk201670713"/>
            <w:r w:rsidRPr="00597D19">
              <w:rPr>
                <w:rFonts w:ascii="Times New Roman" w:hAnsi="Times New Roman" w:cs="Times New Roman"/>
              </w:rPr>
              <w:t xml:space="preserve">11.4. У випадку </w:t>
            </w:r>
            <w:r w:rsidRPr="00597D19">
              <w:rPr>
                <w:rFonts w:ascii="Times New Roman" w:hAnsi="Times New Roman" w:cs="Times New Roman"/>
                <w:b/>
              </w:rPr>
              <w:t xml:space="preserve">припинення </w:t>
            </w:r>
            <w:r w:rsidRPr="00597D19">
              <w:rPr>
                <w:rFonts w:ascii="Times New Roman" w:hAnsi="Times New Roman" w:cs="Times New Roman"/>
              </w:rPr>
              <w:t xml:space="preserve">дії ліцензії Учасника на право провадження господарської діяльності з виробництва електричної енергії дія цього Договору припиняється з дати </w:t>
            </w:r>
            <w:r w:rsidRPr="00597D19">
              <w:rPr>
                <w:rFonts w:ascii="Times New Roman" w:hAnsi="Times New Roman" w:cs="Times New Roman"/>
                <w:b/>
              </w:rPr>
              <w:t xml:space="preserve">припинення дії </w:t>
            </w:r>
            <w:r w:rsidRPr="00597D19">
              <w:rPr>
                <w:rFonts w:ascii="Times New Roman" w:hAnsi="Times New Roman" w:cs="Times New Roman"/>
              </w:rPr>
              <w:t>ліцензії.</w:t>
            </w:r>
          </w:p>
          <w:bookmarkEnd w:id="1"/>
          <w:p w:rsidR="00A17A06" w:rsidRPr="00597D19" w:rsidRDefault="00A17A06" w:rsidP="00727173">
            <w:pPr>
              <w:pStyle w:val="rvps2"/>
              <w:spacing w:before="0" w:beforeAutospacing="0" w:after="0" w:afterAutospacing="0"/>
              <w:ind w:left="34" w:firstLine="313"/>
              <w:jc w:val="both"/>
              <w:rPr>
                <w:sz w:val="22"/>
                <w:szCs w:val="22"/>
                <w:lang w:eastAsia="en-US"/>
              </w:rPr>
            </w:pPr>
            <w:r w:rsidRPr="00597D19">
              <w:rPr>
                <w:sz w:val="22"/>
                <w:szCs w:val="22"/>
              </w:rPr>
              <w:t xml:space="preserve">У випадку зупинення дії ліцензії Учасника на право провадження господарської діяльності з виробництва електричної енергії дія цього Договору призупиняється в частині генеруючих установок Учасника, для яких </w:t>
            </w:r>
            <w:proofErr w:type="spellStart"/>
            <w:r w:rsidRPr="00597D19">
              <w:rPr>
                <w:sz w:val="22"/>
                <w:szCs w:val="22"/>
              </w:rPr>
              <w:t>зупинено</w:t>
            </w:r>
            <w:proofErr w:type="spellEnd"/>
            <w:r w:rsidRPr="00597D19">
              <w:rPr>
                <w:sz w:val="22"/>
                <w:szCs w:val="22"/>
              </w:rPr>
              <w:t xml:space="preserve"> дію ліцензії, на термін такого зупинення.</w:t>
            </w:r>
          </w:p>
        </w:tc>
        <w:tc>
          <w:tcPr>
            <w:tcW w:w="6096" w:type="dxa"/>
          </w:tcPr>
          <w:p w:rsidR="00A17A06" w:rsidRPr="00612BC7" w:rsidRDefault="00A17A06" w:rsidP="00727173">
            <w:pPr>
              <w:pBdr>
                <w:top w:val="nil"/>
                <w:left w:val="nil"/>
                <w:bottom w:val="nil"/>
                <w:right w:val="nil"/>
                <w:between w:val="nil"/>
              </w:pBdr>
              <w:shd w:val="clear" w:color="auto" w:fill="FFFFFF"/>
              <w:spacing w:line="240" w:lineRule="auto"/>
              <w:ind w:left="-2" w:firstLineChars="128" w:firstLine="283"/>
              <w:jc w:val="both"/>
              <w:rPr>
                <w:rFonts w:ascii="Times New Roman" w:eastAsia="Times New Roman" w:hAnsi="Times New Roman" w:cs="Times New Roman"/>
                <w:b/>
                <w:u w:val="single"/>
              </w:rPr>
            </w:pPr>
            <w:r w:rsidRPr="00612BC7">
              <w:rPr>
                <w:rFonts w:ascii="Times New Roman" w:eastAsia="Times New Roman" w:hAnsi="Times New Roman" w:cs="Times New Roman"/>
                <w:b/>
                <w:u w:val="single"/>
              </w:rPr>
              <w:t>Пропозиції ДП «Гарантований покупець»:</w:t>
            </w:r>
          </w:p>
          <w:p w:rsidR="00A17A06" w:rsidRPr="00612BC7" w:rsidRDefault="00A17A06" w:rsidP="00727173">
            <w:pPr>
              <w:ind w:left="-2" w:firstLine="283"/>
              <w:jc w:val="both"/>
              <w:rPr>
                <w:rFonts w:ascii="Times New Roman" w:hAnsi="Times New Roman" w:cs="Times New Roman"/>
              </w:rPr>
            </w:pPr>
            <w:r w:rsidRPr="00AD7541">
              <w:rPr>
                <w:rFonts w:ascii="Times New Roman" w:hAnsi="Times New Roman" w:cs="Times New Roman"/>
              </w:rPr>
              <w:t>11.4.</w:t>
            </w:r>
            <w:r w:rsidRPr="00612BC7">
              <w:rPr>
                <w:rFonts w:ascii="Times New Roman" w:hAnsi="Times New Roman" w:cs="Times New Roman"/>
              </w:rPr>
              <w:t xml:space="preserve"> У випадку припинення дії ліцензії Учасника на право провадження господарської діяльності з виробництва електричної енергії, дія цього Договору припиняється з дати </w:t>
            </w:r>
            <w:r w:rsidRPr="00612BC7">
              <w:rPr>
                <w:rFonts w:ascii="Times New Roman" w:hAnsi="Times New Roman" w:cs="Times New Roman"/>
                <w:b/>
              </w:rPr>
              <w:t xml:space="preserve">набуття чинності відповідного рішення </w:t>
            </w:r>
            <w:r w:rsidRPr="00612BC7">
              <w:rPr>
                <w:rFonts w:ascii="Times New Roman" w:hAnsi="Times New Roman" w:cs="Times New Roman"/>
                <w:strike/>
              </w:rPr>
              <w:t>припинення дії ліцензії</w:t>
            </w:r>
            <w:r w:rsidRPr="00612BC7">
              <w:rPr>
                <w:rFonts w:ascii="Times New Roman" w:hAnsi="Times New Roman" w:cs="Times New Roman"/>
              </w:rPr>
              <w:t>.</w:t>
            </w:r>
          </w:p>
          <w:p w:rsidR="00A17A06" w:rsidRPr="00612BC7" w:rsidRDefault="00A17A06" w:rsidP="00727173">
            <w:pPr>
              <w:pBdr>
                <w:top w:val="nil"/>
                <w:left w:val="nil"/>
                <w:bottom w:val="nil"/>
                <w:right w:val="nil"/>
                <w:between w:val="nil"/>
              </w:pBdr>
              <w:shd w:val="clear" w:color="auto" w:fill="FFFFFF"/>
              <w:spacing w:line="240" w:lineRule="auto"/>
              <w:ind w:left="-2" w:firstLine="283"/>
              <w:jc w:val="both"/>
              <w:rPr>
                <w:rFonts w:ascii="Times New Roman" w:hAnsi="Times New Roman" w:cs="Times New Roman"/>
              </w:rPr>
            </w:pPr>
            <w:r w:rsidRPr="00612BC7">
              <w:rPr>
                <w:rFonts w:ascii="Times New Roman" w:hAnsi="Times New Roman" w:cs="Times New Roman"/>
              </w:rPr>
              <w:t xml:space="preserve">У випадку зупинення дії ліцензії Учасника на право провадження господарської діяльності з виробництва електричної енергії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дія цього Договору призупиняється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в частині генеруючих </w:t>
            </w:r>
            <w:r w:rsidRPr="00612BC7">
              <w:rPr>
                <w:rFonts w:ascii="Times New Roman" w:hAnsi="Times New Roman" w:cs="Times New Roman"/>
                <w:strike/>
              </w:rPr>
              <w:t>установок</w:t>
            </w:r>
            <w:r w:rsidRPr="00612BC7">
              <w:rPr>
                <w:rFonts w:ascii="Times New Roman" w:hAnsi="Times New Roman" w:cs="Times New Roman"/>
              </w:rPr>
              <w:t xml:space="preserve"> </w:t>
            </w:r>
            <w:r w:rsidRPr="00612BC7">
              <w:rPr>
                <w:rFonts w:ascii="Times New Roman" w:hAnsi="Times New Roman" w:cs="Times New Roman"/>
                <w:b/>
              </w:rPr>
              <w:t>одиниць</w:t>
            </w:r>
            <w:r w:rsidRPr="00612BC7">
              <w:rPr>
                <w:rFonts w:ascii="Times New Roman" w:hAnsi="Times New Roman" w:cs="Times New Roman"/>
              </w:rPr>
              <w:t xml:space="preserve"> Учасника, для яких </w:t>
            </w:r>
            <w:proofErr w:type="spellStart"/>
            <w:r w:rsidRPr="00612BC7">
              <w:rPr>
                <w:rFonts w:ascii="Times New Roman" w:hAnsi="Times New Roman" w:cs="Times New Roman"/>
              </w:rPr>
              <w:t>зупинено</w:t>
            </w:r>
            <w:proofErr w:type="spellEnd"/>
            <w:r w:rsidRPr="00612BC7">
              <w:rPr>
                <w:rFonts w:ascii="Times New Roman" w:hAnsi="Times New Roman" w:cs="Times New Roman"/>
              </w:rPr>
              <w:t xml:space="preserve"> дію ліцензії, </w:t>
            </w:r>
            <w:r w:rsidRPr="00612BC7">
              <w:rPr>
                <w:rFonts w:ascii="Times New Roman" w:hAnsi="Times New Roman" w:cs="Times New Roman"/>
                <w:b/>
              </w:rPr>
              <w:t>з дати набуття чинності відповідного рішення про зупинення дії ліцензії</w:t>
            </w:r>
            <w:r w:rsidRPr="00612BC7">
              <w:rPr>
                <w:rFonts w:ascii="Times New Roman" w:hAnsi="Times New Roman" w:cs="Times New Roman"/>
              </w:rPr>
              <w:t xml:space="preserve"> на термін такого зупинення.</w:t>
            </w:r>
          </w:p>
          <w:p w:rsidR="00A17A06" w:rsidRPr="00612BC7" w:rsidRDefault="00A17A06" w:rsidP="00727173">
            <w:pPr>
              <w:pBdr>
                <w:top w:val="nil"/>
                <w:left w:val="nil"/>
                <w:bottom w:val="nil"/>
                <w:right w:val="nil"/>
                <w:between w:val="nil"/>
              </w:pBdr>
              <w:shd w:val="clear" w:color="auto" w:fill="FFFFFF"/>
              <w:spacing w:line="240" w:lineRule="auto"/>
              <w:ind w:left="-2" w:firstLine="283"/>
              <w:jc w:val="both"/>
              <w:rPr>
                <w:rFonts w:ascii="Times New Roman" w:eastAsia="Times New Roman" w:hAnsi="Times New Roman" w:cs="Times New Roman"/>
                <w:b/>
                <w:u w:val="single"/>
              </w:rPr>
            </w:pPr>
          </w:p>
          <w:p w:rsidR="00A17A06" w:rsidRPr="00612BC7" w:rsidRDefault="00A17A06" w:rsidP="00727173">
            <w:pPr>
              <w:ind w:left="-2" w:firstLine="283"/>
              <w:jc w:val="both"/>
              <w:rPr>
                <w:rFonts w:ascii="Times New Roman" w:eastAsia="Times New Roman" w:hAnsi="Times New Roman" w:cs="Times New Roman"/>
                <w:i/>
              </w:rPr>
            </w:pPr>
            <w:r w:rsidRPr="00612BC7">
              <w:rPr>
                <w:rFonts w:ascii="Times New Roman" w:eastAsia="Times New Roman" w:hAnsi="Times New Roman" w:cs="Times New Roman"/>
                <w:i/>
              </w:rPr>
              <w:t>Уточнення дати припинення дії договору.</w:t>
            </w:r>
          </w:p>
          <w:p w:rsidR="00A17A06" w:rsidRPr="00612BC7" w:rsidRDefault="00A17A06" w:rsidP="00727173">
            <w:pPr>
              <w:pStyle w:val="tj"/>
              <w:spacing w:before="0" w:beforeAutospacing="0" w:after="0" w:afterAutospacing="0"/>
              <w:ind w:left="-2" w:firstLine="283"/>
              <w:jc w:val="both"/>
              <w:rPr>
                <w:i/>
                <w:sz w:val="22"/>
                <w:szCs w:val="22"/>
                <w:lang w:val="uk-UA"/>
              </w:rPr>
            </w:pPr>
            <w:proofErr w:type="spellStart"/>
            <w:r w:rsidRPr="00612BC7">
              <w:rPr>
                <w:i/>
                <w:sz w:val="22"/>
                <w:szCs w:val="22"/>
              </w:rPr>
              <w:t>Уточнення</w:t>
            </w:r>
            <w:proofErr w:type="spellEnd"/>
            <w:r w:rsidRPr="00612BC7">
              <w:rPr>
                <w:i/>
                <w:sz w:val="22"/>
                <w:szCs w:val="22"/>
              </w:rPr>
              <w:t xml:space="preserve"> </w:t>
            </w:r>
            <w:proofErr w:type="spellStart"/>
            <w:r w:rsidRPr="00612BC7">
              <w:rPr>
                <w:i/>
                <w:sz w:val="22"/>
                <w:szCs w:val="22"/>
              </w:rPr>
              <w:t>щодо</w:t>
            </w:r>
            <w:proofErr w:type="spellEnd"/>
            <w:r w:rsidRPr="00612BC7">
              <w:rPr>
                <w:i/>
                <w:sz w:val="22"/>
                <w:szCs w:val="22"/>
              </w:rPr>
              <w:t xml:space="preserve"> </w:t>
            </w:r>
            <w:proofErr w:type="spellStart"/>
            <w:r w:rsidRPr="00612BC7">
              <w:rPr>
                <w:i/>
                <w:sz w:val="22"/>
                <w:szCs w:val="22"/>
              </w:rPr>
              <w:t>часткового</w:t>
            </w:r>
            <w:proofErr w:type="spellEnd"/>
            <w:r w:rsidRPr="00612BC7">
              <w:rPr>
                <w:i/>
                <w:sz w:val="22"/>
                <w:szCs w:val="22"/>
              </w:rPr>
              <w:t xml:space="preserve"> </w:t>
            </w:r>
            <w:proofErr w:type="spellStart"/>
            <w:r w:rsidRPr="00612BC7">
              <w:rPr>
                <w:i/>
                <w:sz w:val="22"/>
                <w:szCs w:val="22"/>
              </w:rPr>
              <w:t>зупинення</w:t>
            </w:r>
            <w:proofErr w:type="spellEnd"/>
            <w:r w:rsidRPr="00612BC7">
              <w:rPr>
                <w:i/>
                <w:sz w:val="22"/>
                <w:szCs w:val="22"/>
              </w:rPr>
              <w:t xml:space="preserve"> </w:t>
            </w:r>
            <w:proofErr w:type="spellStart"/>
            <w:r w:rsidRPr="00612BC7">
              <w:rPr>
                <w:i/>
                <w:sz w:val="22"/>
                <w:szCs w:val="22"/>
              </w:rPr>
              <w:t>ліцензії</w:t>
            </w:r>
            <w:proofErr w:type="spellEnd"/>
            <w:r w:rsidRPr="00612BC7">
              <w:rPr>
                <w:i/>
                <w:sz w:val="22"/>
                <w:szCs w:val="22"/>
                <w:lang w:val="uk-UA"/>
              </w:rPr>
              <w:t>.</w:t>
            </w:r>
          </w:p>
        </w:tc>
        <w:tc>
          <w:tcPr>
            <w:tcW w:w="4394" w:type="dxa"/>
          </w:tcPr>
          <w:p w:rsidR="00A17A06" w:rsidRPr="00CD27D4" w:rsidRDefault="00A17A06" w:rsidP="00B60C7B">
            <w:pPr>
              <w:spacing w:line="240" w:lineRule="auto"/>
              <w:ind w:firstLine="319"/>
              <w:jc w:val="both"/>
              <w:rPr>
                <w:rFonts w:ascii="Times New Roman" w:eastAsia="Calibri" w:hAnsi="Times New Roman" w:cs="Times New Roman"/>
              </w:rPr>
            </w:pPr>
            <w:r w:rsidRPr="00CD27D4">
              <w:rPr>
                <w:rFonts w:ascii="Times New Roman" w:eastAsia="Calibri" w:hAnsi="Times New Roman" w:cs="Times New Roman"/>
              </w:rPr>
              <w:t>Потребує додаткового обговорення.</w:t>
            </w:r>
          </w:p>
        </w:tc>
      </w:tr>
      <w:tr w:rsidR="00A17A06" w:rsidRPr="00532B7E" w:rsidTr="00176031">
        <w:trPr>
          <w:trHeight w:val="377"/>
        </w:trPr>
        <w:tc>
          <w:tcPr>
            <w:tcW w:w="15593" w:type="dxa"/>
            <w:gridSpan w:val="3"/>
          </w:tcPr>
          <w:p w:rsidR="00A17A06" w:rsidRPr="00612BC7" w:rsidRDefault="00A17A06" w:rsidP="00727173">
            <w:pPr>
              <w:spacing w:line="240" w:lineRule="auto"/>
              <w:ind w:left="-2" w:firstLine="283"/>
              <w:jc w:val="center"/>
              <w:rPr>
                <w:rFonts w:ascii="Times New Roman" w:eastAsia="Calibri" w:hAnsi="Times New Roman" w:cs="Times New Roman"/>
              </w:rPr>
            </w:pPr>
            <w:r w:rsidRPr="00612BC7">
              <w:rPr>
                <w:rFonts w:ascii="Times New Roman" w:hAnsi="Times New Roman" w:cs="Times New Roman"/>
                <w:i/>
              </w:rPr>
              <w:t>Типовий договір про надання послуги із забезпечення підтримки виробництва електричної енергії з альтернативних джерел за механізмом ринкової премії</w:t>
            </w:r>
          </w:p>
        </w:tc>
      </w:tr>
      <w:tr w:rsidR="00A17A06" w:rsidRPr="00532B7E" w:rsidTr="000003B8">
        <w:trPr>
          <w:trHeight w:val="2396"/>
        </w:trPr>
        <w:tc>
          <w:tcPr>
            <w:tcW w:w="5103" w:type="dxa"/>
          </w:tcPr>
          <w:p w:rsidR="00A17A06" w:rsidRPr="00597D19" w:rsidRDefault="00A17A06" w:rsidP="00727173">
            <w:pPr>
              <w:ind w:firstLine="313"/>
              <w:jc w:val="both"/>
              <w:rPr>
                <w:rFonts w:ascii="Times New Roman" w:hAnsi="Times New Roman" w:cs="Times New Roman"/>
              </w:rPr>
            </w:pPr>
            <w:bookmarkStart w:id="2" w:name="_Hlk201670765"/>
            <w:r w:rsidRPr="00597D19">
              <w:rPr>
                <w:rFonts w:ascii="Times New Roman" w:hAnsi="Times New Roman" w:cs="Times New Roman"/>
              </w:rPr>
              <w:lastRenderedPageBreak/>
              <w:t xml:space="preserve">10.5. У випадку </w:t>
            </w:r>
            <w:r w:rsidRPr="00597D19">
              <w:rPr>
                <w:rFonts w:ascii="Times New Roman" w:hAnsi="Times New Roman" w:cs="Times New Roman"/>
                <w:b/>
              </w:rPr>
              <w:t xml:space="preserve">припинення </w:t>
            </w:r>
            <w:r w:rsidRPr="00597D19">
              <w:rPr>
                <w:rFonts w:ascii="Times New Roman" w:hAnsi="Times New Roman" w:cs="Times New Roman"/>
              </w:rPr>
              <w:t>дії</w:t>
            </w:r>
            <w:r w:rsidRPr="00597D19">
              <w:rPr>
                <w:rFonts w:ascii="Times New Roman" w:hAnsi="Times New Roman" w:cs="Times New Roman"/>
                <w:b/>
              </w:rPr>
              <w:t xml:space="preserve"> </w:t>
            </w:r>
            <w:r w:rsidRPr="00597D19">
              <w:rPr>
                <w:rFonts w:ascii="Times New Roman" w:hAnsi="Times New Roman" w:cs="Times New Roman"/>
              </w:rPr>
              <w:t xml:space="preserve">ліцензії на право провадження господарської діяльності з виробництва електричної енергії продавця за механізмом ринкової премії дія цього Договору припиняється з дати </w:t>
            </w:r>
            <w:r w:rsidRPr="00597D19">
              <w:rPr>
                <w:rFonts w:ascii="Times New Roman" w:hAnsi="Times New Roman" w:cs="Times New Roman"/>
                <w:b/>
              </w:rPr>
              <w:t xml:space="preserve">припинення дії </w:t>
            </w:r>
            <w:r w:rsidRPr="00597D19">
              <w:rPr>
                <w:rFonts w:ascii="Times New Roman" w:hAnsi="Times New Roman" w:cs="Times New Roman"/>
              </w:rPr>
              <w:t>ліцензії.</w:t>
            </w:r>
          </w:p>
          <w:bookmarkEnd w:id="2"/>
          <w:p w:rsidR="00A17A06" w:rsidRPr="00597D19" w:rsidRDefault="00A17A06" w:rsidP="00727173">
            <w:pPr>
              <w:ind w:firstLine="313"/>
              <w:jc w:val="both"/>
              <w:rPr>
                <w:rFonts w:ascii="Times New Roman" w:hAnsi="Times New Roman" w:cs="Times New Roman"/>
              </w:rPr>
            </w:pPr>
            <w:r w:rsidRPr="00597D19">
              <w:rPr>
                <w:rFonts w:ascii="Times New Roman" w:hAnsi="Times New Roman" w:cs="Times New Roman"/>
              </w:rPr>
              <w:t xml:space="preserve">У випадку зупинення дії ліцензії на право провадження господарської діяльності з виробництва електричної енергії продавця за механізмом ринкової премії дія цього Договору призупиняється в частині генеруючих установок, щодо яких </w:t>
            </w:r>
            <w:proofErr w:type="spellStart"/>
            <w:r w:rsidRPr="00597D19">
              <w:rPr>
                <w:rFonts w:ascii="Times New Roman" w:hAnsi="Times New Roman" w:cs="Times New Roman"/>
              </w:rPr>
              <w:t>зупинено</w:t>
            </w:r>
            <w:proofErr w:type="spellEnd"/>
            <w:r w:rsidRPr="00597D19">
              <w:rPr>
                <w:rFonts w:ascii="Times New Roman" w:hAnsi="Times New Roman" w:cs="Times New Roman"/>
              </w:rPr>
              <w:t xml:space="preserve"> дію ліцензії, на термін такого зупинення.</w:t>
            </w:r>
          </w:p>
          <w:p w:rsidR="00A17A06" w:rsidRPr="00597D19" w:rsidRDefault="00A17A06" w:rsidP="00727173">
            <w:pPr>
              <w:ind w:firstLine="313"/>
              <w:jc w:val="both"/>
              <w:rPr>
                <w:rFonts w:ascii="Times New Roman" w:hAnsi="Times New Roman" w:cs="Times New Roman"/>
              </w:rPr>
            </w:pPr>
            <w:r w:rsidRPr="00597D19">
              <w:rPr>
                <w:rFonts w:ascii="Times New Roman" w:hAnsi="Times New Roman" w:cs="Times New Roman"/>
              </w:rPr>
              <w:t>У випадку припинення дії «зеленого» тарифу продавця за механізмом ринкової премії дія цього Договору припиняється з дати припинення «зеленого» тарифу.</w:t>
            </w:r>
          </w:p>
        </w:tc>
        <w:tc>
          <w:tcPr>
            <w:tcW w:w="6096" w:type="dxa"/>
          </w:tcPr>
          <w:p w:rsidR="00A17A06" w:rsidRPr="00612BC7" w:rsidRDefault="00A17A06" w:rsidP="00727173">
            <w:pPr>
              <w:pBdr>
                <w:top w:val="nil"/>
                <w:left w:val="nil"/>
                <w:bottom w:val="nil"/>
                <w:right w:val="nil"/>
                <w:between w:val="nil"/>
              </w:pBdr>
              <w:shd w:val="clear" w:color="auto" w:fill="FFFFFF"/>
              <w:spacing w:line="240" w:lineRule="auto"/>
              <w:ind w:left="-2" w:firstLineChars="128" w:firstLine="283"/>
              <w:jc w:val="both"/>
              <w:rPr>
                <w:rFonts w:ascii="Times New Roman" w:eastAsia="Times New Roman" w:hAnsi="Times New Roman" w:cs="Times New Roman"/>
                <w:b/>
                <w:u w:val="single"/>
              </w:rPr>
            </w:pPr>
            <w:r w:rsidRPr="00612BC7">
              <w:rPr>
                <w:rFonts w:ascii="Times New Roman" w:eastAsia="Times New Roman" w:hAnsi="Times New Roman" w:cs="Times New Roman"/>
                <w:b/>
                <w:u w:val="single"/>
              </w:rPr>
              <w:t>Пропозиції ДП «Гарантований покупець»:</w:t>
            </w:r>
          </w:p>
          <w:p w:rsidR="00A17A06" w:rsidRPr="00612BC7" w:rsidRDefault="00A17A06" w:rsidP="00727173">
            <w:pPr>
              <w:ind w:left="-2" w:firstLine="283"/>
              <w:jc w:val="both"/>
              <w:rPr>
                <w:rFonts w:ascii="Times New Roman" w:hAnsi="Times New Roman" w:cs="Times New Roman"/>
                <w:lang w:val="x-none"/>
              </w:rPr>
            </w:pPr>
            <w:r w:rsidRPr="00AD7541">
              <w:rPr>
                <w:rFonts w:ascii="Times New Roman" w:hAnsi="Times New Roman" w:cs="Times New Roman"/>
                <w:lang w:val="x-none"/>
              </w:rPr>
              <w:t>10.5.</w:t>
            </w:r>
            <w:r w:rsidRPr="00612BC7">
              <w:rPr>
                <w:rFonts w:ascii="Times New Roman" w:hAnsi="Times New Roman" w:cs="Times New Roman"/>
                <w:lang w:val="x-none"/>
              </w:rPr>
              <w:t xml:space="preserve"> У випадку </w:t>
            </w:r>
            <w:r w:rsidRPr="00612BC7">
              <w:rPr>
                <w:rFonts w:ascii="Times New Roman" w:hAnsi="Times New Roman" w:cs="Times New Roman"/>
              </w:rPr>
              <w:t xml:space="preserve">припинення </w:t>
            </w:r>
            <w:r w:rsidRPr="00612BC7">
              <w:rPr>
                <w:rFonts w:ascii="Times New Roman" w:hAnsi="Times New Roman" w:cs="Times New Roman"/>
                <w:lang w:val="x-none"/>
              </w:rPr>
              <w:t>дії ліцензії на право провадження господарської діяльності з виробництва електричної енергії продавця за механізмом ринкової премії</w:t>
            </w:r>
            <w:r w:rsidRPr="00612BC7">
              <w:rPr>
                <w:rFonts w:ascii="Times New Roman" w:hAnsi="Times New Roman" w:cs="Times New Roman"/>
              </w:rPr>
              <w:t xml:space="preserve"> </w:t>
            </w:r>
            <w:r w:rsidRPr="00612BC7">
              <w:rPr>
                <w:rFonts w:ascii="Times New Roman" w:hAnsi="Times New Roman" w:cs="Times New Roman"/>
                <w:lang w:val="x-none"/>
              </w:rPr>
              <w:t xml:space="preserve">дія цього Договору припиняється </w:t>
            </w:r>
            <w:r w:rsidRPr="00612BC7">
              <w:rPr>
                <w:rFonts w:ascii="Times New Roman" w:hAnsi="Times New Roman" w:cs="Times New Roman"/>
              </w:rPr>
              <w:t xml:space="preserve">з дати </w:t>
            </w:r>
            <w:r w:rsidRPr="00612BC7">
              <w:rPr>
                <w:rFonts w:ascii="Times New Roman" w:hAnsi="Times New Roman" w:cs="Times New Roman"/>
                <w:b/>
              </w:rPr>
              <w:t xml:space="preserve">набуття чинності відповідного рішення </w:t>
            </w:r>
            <w:r w:rsidRPr="00612BC7">
              <w:rPr>
                <w:rFonts w:ascii="Times New Roman" w:hAnsi="Times New Roman" w:cs="Times New Roman"/>
                <w:strike/>
              </w:rPr>
              <w:t>припинення дії ліцензії</w:t>
            </w:r>
            <w:r w:rsidRPr="00612BC7">
              <w:rPr>
                <w:rFonts w:ascii="Times New Roman" w:hAnsi="Times New Roman" w:cs="Times New Roman"/>
              </w:rPr>
              <w:t>.</w:t>
            </w:r>
          </w:p>
          <w:p w:rsidR="00A17A06" w:rsidRPr="00612BC7" w:rsidRDefault="00A17A06" w:rsidP="00727173">
            <w:pPr>
              <w:ind w:left="-2" w:firstLine="283"/>
              <w:jc w:val="both"/>
              <w:rPr>
                <w:rFonts w:ascii="Times New Roman" w:hAnsi="Times New Roman" w:cs="Times New Roman"/>
                <w:lang w:val="x-none"/>
              </w:rPr>
            </w:pPr>
            <w:r w:rsidRPr="00612BC7">
              <w:rPr>
                <w:rFonts w:ascii="Times New Roman" w:hAnsi="Times New Roman" w:cs="Times New Roman"/>
                <w:lang w:val="x-none"/>
              </w:rPr>
              <w:t>У випадку зупинення дії ліцензії на право провадження господарської діяльності з виробництва електричної енергії продавця за механізмом ринкової премії</w:t>
            </w:r>
            <w:r w:rsidRPr="00612BC7">
              <w:rPr>
                <w:rFonts w:ascii="Times New Roman" w:hAnsi="Times New Roman" w:cs="Times New Roman"/>
              </w:rPr>
              <w:t xml:space="preserve"> </w:t>
            </w:r>
            <w:r w:rsidRPr="00612BC7">
              <w:rPr>
                <w:rFonts w:ascii="Times New Roman" w:hAnsi="Times New Roman" w:cs="Times New Roman"/>
                <w:b/>
              </w:rPr>
              <w:t>повністю або частково</w:t>
            </w:r>
            <w:r w:rsidRPr="00612BC7">
              <w:rPr>
                <w:rFonts w:ascii="Times New Roman" w:hAnsi="Times New Roman" w:cs="Times New Roman"/>
                <w:lang w:val="x-none"/>
              </w:rPr>
              <w:t xml:space="preserve"> дія цього Договору призупиняється </w:t>
            </w:r>
            <w:r w:rsidRPr="00612BC7">
              <w:rPr>
                <w:rFonts w:ascii="Times New Roman" w:hAnsi="Times New Roman" w:cs="Times New Roman"/>
                <w:b/>
              </w:rPr>
              <w:t>повністю або частково</w:t>
            </w:r>
            <w:r w:rsidRPr="00612BC7">
              <w:rPr>
                <w:rFonts w:ascii="Times New Roman" w:hAnsi="Times New Roman" w:cs="Times New Roman"/>
              </w:rPr>
              <w:t xml:space="preserve"> в частині генеруючих </w:t>
            </w:r>
            <w:r w:rsidRPr="00612BC7">
              <w:rPr>
                <w:rFonts w:ascii="Times New Roman" w:hAnsi="Times New Roman" w:cs="Times New Roman"/>
                <w:strike/>
              </w:rPr>
              <w:t>установок</w:t>
            </w:r>
            <w:r w:rsidRPr="00612BC7">
              <w:rPr>
                <w:rFonts w:ascii="Times New Roman" w:hAnsi="Times New Roman" w:cs="Times New Roman"/>
              </w:rPr>
              <w:t xml:space="preserve"> </w:t>
            </w:r>
            <w:r w:rsidRPr="00612BC7">
              <w:rPr>
                <w:rFonts w:ascii="Times New Roman" w:hAnsi="Times New Roman" w:cs="Times New Roman"/>
                <w:b/>
              </w:rPr>
              <w:t>одиниць</w:t>
            </w:r>
            <w:r w:rsidRPr="00612BC7">
              <w:rPr>
                <w:rFonts w:ascii="Times New Roman" w:hAnsi="Times New Roman" w:cs="Times New Roman"/>
                <w:lang w:val="x-none"/>
              </w:rPr>
              <w:t xml:space="preserve">, щодо яких </w:t>
            </w:r>
            <w:proofErr w:type="spellStart"/>
            <w:r w:rsidRPr="00612BC7">
              <w:rPr>
                <w:rFonts w:ascii="Times New Roman" w:hAnsi="Times New Roman" w:cs="Times New Roman"/>
                <w:lang w:val="x-none"/>
              </w:rPr>
              <w:t>зупинено</w:t>
            </w:r>
            <w:proofErr w:type="spellEnd"/>
            <w:r w:rsidRPr="00612BC7">
              <w:rPr>
                <w:rFonts w:ascii="Times New Roman" w:hAnsi="Times New Roman" w:cs="Times New Roman"/>
                <w:lang w:val="x-none"/>
              </w:rPr>
              <w:t xml:space="preserve"> дію ліцензії, </w:t>
            </w:r>
            <w:r w:rsidRPr="00612BC7">
              <w:rPr>
                <w:rFonts w:ascii="Times New Roman" w:hAnsi="Times New Roman" w:cs="Times New Roman"/>
                <w:b/>
              </w:rPr>
              <w:t>з дати набуття чинності відповідного рішення про зупинення дії ліцензії</w:t>
            </w:r>
            <w:r w:rsidRPr="00612BC7">
              <w:rPr>
                <w:rFonts w:ascii="Times New Roman" w:hAnsi="Times New Roman" w:cs="Times New Roman"/>
                <w:lang w:val="x-none"/>
              </w:rPr>
              <w:t xml:space="preserve"> на термін такого зупинення.</w:t>
            </w:r>
          </w:p>
          <w:p w:rsidR="00A17A06" w:rsidRDefault="00A17A06" w:rsidP="00727173">
            <w:pPr>
              <w:pBdr>
                <w:top w:val="nil"/>
                <w:left w:val="nil"/>
                <w:bottom w:val="nil"/>
                <w:right w:val="nil"/>
                <w:between w:val="nil"/>
              </w:pBdr>
              <w:shd w:val="clear" w:color="auto" w:fill="FFFFFF"/>
              <w:spacing w:line="240" w:lineRule="auto"/>
              <w:ind w:left="-2" w:firstLine="283"/>
              <w:jc w:val="both"/>
              <w:rPr>
                <w:rFonts w:ascii="Times New Roman" w:hAnsi="Times New Roman" w:cs="Times New Roman"/>
                <w:lang w:val="x-none"/>
              </w:rPr>
            </w:pPr>
            <w:r w:rsidRPr="00612BC7">
              <w:rPr>
                <w:rFonts w:ascii="Times New Roman" w:hAnsi="Times New Roman" w:cs="Times New Roman"/>
                <w:lang w:val="x-none"/>
              </w:rPr>
              <w:t>У випадку припинення дії "зеленого" тарифу продавця за механізмом ринкової премії</w:t>
            </w:r>
            <w:r w:rsidRPr="00612BC7">
              <w:rPr>
                <w:rFonts w:ascii="Times New Roman" w:hAnsi="Times New Roman" w:cs="Times New Roman"/>
              </w:rPr>
              <w:t xml:space="preserve"> </w:t>
            </w:r>
            <w:r w:rsidRPr="00612BC7">
              <w:rPr>
                <w:rFonts w:ascii="Times New Roman" w:eastAsia="Calibri" w:hAnsi="Times New Roman" w:cs="Times New Roman"/>
                <w:b/>
              </w:rPr>
              <w:t>повністю або щодо окремої генеруючої одиниці</w:t>
            </w:r>
            <w:r w:rsidRPr="00612BC7">
              <w:rPr>
                <w:rFonts w:ascii="Times New Roman" w:hAnsi="Times New Roman" w:cs="Times New Roman"/>
                <w:lang w:val="x-none"/>
              </w:rPr>
              <w:t xml:space="preserve"> дія цього Договору припиняється</w:t>
            </w:r>
            <w:r w:rsidRPr="00612BC7">
              <w:rPr>
                <w:rFonts w:ascii="Times New Roman" w:hAnsi="Times New Roman" w:cs="Times New Roman"/>
              </w:rPr>
              <w:t xml:space="preserve"> </w:t>
            </w:r>
            <w:r w:rsidRPr="00612BC7">
              <w:rPr>
                <w:rFonts w:ascii="Times New Roman" w:hAnsi="Times New Roman" w:cs="Times New Roman"/>
                <w:b/>
              </w:rPr>
              <w:t>повністю або щодо відповідної генеруючої одиниці</w:t>
            </w:r>
            <w:r w:rsidRPr="00612BC7">
              <w:rPr>
                <w:rFonts w:ascii="Times New Roman" w:hAnsi="Times New Roman" w:cs="Times New Roman"/>
                <w:lang w:val="x-none"/>
              </w:rPr>
              <w:t xml:space="preserve"> з дати</w:t>
            </w:r>
            <w:r w:rsidRPr="00612BC7">
              <w:rPr>
                <w:rFonts w:ascii="Times New Roman" w:hAnsi="Times New Roman" w:cs="Times New Roman"/>
              </w:rPr>
              <w:t xml:space="preserve"> </w:t>
            </w:r>
            <w:r w:rsidRPr="00612BC7">
              <w:rPr>
                <w:rFonts w:ascii="Times New Roman" w:hAnsi="Times New Roman" w:cs="Times New Roman"/>
                <w:b/>
              </w:rPr>
              <w:t>набуття чинності відповідного рішення про</w:t>
            </w:r>
            <w:r w:rsidRPr="00612BC7">
              <w:rPr>
                <w:rFonts w:ascii="Times New Roman" w:hAnsi="Times New Roman" w:cs="Times New Roman"/>
                <w:lang w:val="x-none"/>
              </w:rPr>
              <w:t xml:space="preserve"> припинення </w:t>
            </w:r>
            <w:r w:rsidRPr="00612BC7">
              <w:rPr>
                <w:rFonts w:ascii="Times New Roman" w:hAnsi="Times New Roman" w:cs="Times New Roman"/>
                <w:b/>
              </w:rPr>
              <w:t>дії</w:t>
            </w:r>
            <w:r w:rsidRPr="00612BC7">
              <w:rPr>
                <w:rFonts w:ascii="Times New Roman" w:hAnsi="Times New Roman" w:cs="Times New Roman"/>
                <w:lang w:val="x-none"/>
              </w:rPr>
              <w:t xml:space="preserve"> "зеленого" тарифу.</w:t>
            </w:r>
          </w:p>
          <w:p w:rsidR="000003B8" w:rsidRDefault="000003B8" w:rsidP="00727173">
            <w:pPr>
              <w:pBdr>
                <w:top w:val="nil"/>
                <w:left w:val="nil"/>
                <w:bottom w:val="nil"/>
                <w:right w:val="nil"/>
                <w:between w:val="nil"/>
              </w:pBdr>
              <w:shd w:val="clear" w:color="auto" w:fill="FFFFFF"/>
              <w:spacing w:line="240" w:lineRule="auto"/>
              <w:ind w:left="-2" w:firstLine="283"/>
              <w:jc w:val="both"/>
              <w:rPr>
                <w:rFonts w:ascii="Times New Roman" w:hAnsi="Times New Roman" w:cs="Times New Roman"/>
                <w:lang w:val="x-none"/>
              </w:rPr>
            </w:pPr>
          </w:p>
          <w:p w:rsidR="000003B8" w:rsidRPr="00612BC7" w:rsidRDefault="000003B8" w:rsidP="000003B8">
            <w:pPr>
              <w:ind w:left="-2" w:firstLine="283"/>
              <w:jc w:val="both"/>
              <w:rPr>
                <w:rFonts w:ascii="Times New Roman" w:eastAsia="Times New Roman" w:hAnsi="Times New Roman" w:cs="Times New Roman"/>
                <w:i/>
              </w:rPr>
            </w:pPr>
            <w:r w:rsidRPr="00612BC7">
              <w:rPr>
                <w:rFonts w:ascii="Times New Roman" w:eastAsia="Times New Roman" w:hAnsi="Times New Roman" w:cs="Times New Roman"/>
                <w:i/>
              </w:rPr>
              <w:t>Уточнення дати припинення дії договору.</w:t>
            </w:r>
          </w:p>
          <w:p w:rsidR="00A17A06" w:rsidRPr="00612BC7" w:rsidRDefault="000003B8" w:rsidP="00727173">
            <w:pPr>
              <w:pBdr>
                <w:top w:val="nil"/>
                <w:left w:val="nil"/>
                <w:bottom w:val="nil"/>
                <w:right w:val="nil"/>
                <w:between w:val="nil"/>
              </w:pBdr>
              <w:shd w:val="clear" w:color="auto" w:fill="FFFFFF"/>
              <w:spacing w:line="240" w:lineRule="auto"/>
              <w:ind w:left="-2" w:firstLine="283"/>
              <w:jc w:val="both"/>
              <w:rPr>
                <w:rFonts w:ascii="Times New Roman" w:eastAsia="Times New Roman" w:hAnsi="Times New Roman" w:cs="Times New Roman"/>
                <w:b/>
                <w:u w:val="single"/>
              </w:rPr>
            </w:pPr>
            <w:r w:rsidRPr="00612BC7">
              <w:rPr>
                <w:i/>
              </w:rPr>
              <w:t>Уточнення щодо часткового зупинення ліцензії.</w:t>
            </w:r>
          </w:p>
          <w:p w:rsidR="00A17A06" w:rsidRPr="00612BC7" w:rsidRDefault="00A17A06" w:rsidP="00727173">
            <w:pPr>
              <w:pStyle w:val="tj"/>
              <w:spacing w:before="0" w:beforeAutospacing="0" w:after="0" w:afterAutospacing="0"/>
              <w:ind w:left="-2" w:firstLine="283"/>
              <w:jc w:val="both"/>
              <w:rPr>
                <w:i/>
                <w:sz w:val="22"/>
                <w:szCs w:val="22"/>
              </w:rPr>
            </w:pPr>
            <w:proofErr w:type="spellStart"/>
            <w:r w:rsidRPr="00612BC7">
              <w:rPr>
                <w:i/>
                <w:sz w:val="22"/>
                <w:szCs w:val="22"/>
              </w:rPr>
              <w:t>Уточнення</w:t>
            </w:r>
            <w:proofErr w:type="spellEnd"/>
            <w:r w:rsidRPr="00612BC7">
              <w:rPr>
                <w:i/>
                <w:sz w:val="22"/>
                <w:szCs w:val="22"/>
              </w:rPr>
              <w:t xml:space="preserve"> </w:t>
            </w:r>
            <w:proofErr w:type="spellStart"/>
            <w:r w:rsidRPr="00612BC7">
              <w:rPr>
                <w:i/>
                <w:sz w:val="22"/>
                <w:szCs w:val="22"/>
              </w:rPr>
              <w:t>щодо</w:t>
            </w:r>
            <w:proofErr w:type="spellEnd"/>
            <w:r w:rsidRPr="00612BC7">
              <w:rPr>
                <w:i/>
                <w:sz w:val="22"/>
                <w:szCs w:val="22"/>
              </w:rPr>
              <w:t xml:space="preserve"> </w:t>
            </w:r>
            <w:proofErr w:type="spellStart"/>
            <w:r w:rsidRPr="00612BC7">
              <w:rPr>
                <w:i/>
                <w:sz w:val="22"/>
                <w:szCs w:val="22"/>
              </w:rPr>
              <w:t>часткового</w:t>
            </w:r>
            <w:proofErr w:type="spellEnd"/>
            <w:r w:rsidRPr="00612BC7">
              <w:rPr>
                <w:i/>
                <w:sz w:val="22"/>
                <w:szCs w:val="22"/>
              </w:rPr>
              <w:t xml:space="preserve"> </w:t>
            </w:r>
            <w:proofErr w:type="spellStart"/>
            <w:r w:rsidRPr="00612BC7">
              <w:rPr>
                <w:i/>
                <w:sz w:val="22"/>
                <w:szCs w:val="22"/>
              </w:rPr>
              <w:t>припинення</w:t>
            </w:r>
            <w:proofErr w:type="spellEnd"/>
            <w:r w:rsidRPr="00612BC7">
              <w:rPr>
                <w:i/>
                <w:sz w:val="22"/>
                <w:szCs w:val="22"/>
              </w:rPr>
              <w:t xml:space="preserve"> </w:t>
            </w:r>
            <w:proofErr w:type="spellStart"/>
            <w:r w:rsidRPr="00612BC7">
              <w:rPr>
                <w:i/>
                <w:sz w:val="22"/>
                <w:szCs w:val="22"/>
              </w:rPr>
              <w:t>дії</w:t>
            </w:r>
            <w:proofErr w:type="spellEnd"/>
            <w:r w:rsidRPr="00612BC7">
              <w:rPr>
                <w:i/>
                <w:sz w:val="22"/>
                <w:szCs w:val="22"/>
              </w:rPr>
              <w:t xml:space="preserve"> "зеленого" тарифу</w:t>
            </w:r>
            <w:r w:rsidR="000003B8">
              <w:rPr>
                <w:i/>
                <w:sz w:val="22"/>
                <w:szCs w:val="22"/>
                <w:lang w:val="uk-UA"/>
              </w:rPr>
              <w:t>.</w:t>
            </w:r>
            <w:bookmarkStart w:id="3" w:name="_GoBack"/>
            <w:bookmarkEnd w:id="3"/>
            <w:r w:rsidRPr="00612BC7">
              <w:rPr>
                <w:i/>
                <w:sz w:val="22"/>
                <w:szCs w:val="22"/>
              </w:rPr>
              <w:t xml:space="preserve"> </w:t>
            </w:r>
          </w:p>
        </w:tc>
        <w:tc>
          <w:tcPr>
            <w:tcW w:w="4394" w:type="dxa"/>
          </w:tcPr>
          <w:p w:rsidR="00A17A06" w:rsidRPr="00CD27D4" w:rsidRDefault="00A17A06" w:rsidP="00B60C7B">
            <w:pPr>
              <w:spacing w:line="240" w:lineRule="auto"/>
              <w:ind w:firstLine="319"/>
              <w:jc w:val="both"/>
              <w:rPr>
                <w:rFonts w:ascii="Times New Roman" w:eastAsia="Calibri" w:hAnsi="Times New Roman" w:cs="Times New Roman"/>
              </w:rPr>
            </w:pPr>
            <w:r w:rsidRPr="00CD27D4">
              <w:rPr>
                <w:rFonts w:ascii="Times New Roman" w:eastAsia="Calibri" w:hAnsi="Times New Roman" w:cs="Times New Roman"/>
              </w:rPr>
              <w:t>Потребує додаткового обговорення.</w:t>
            </w:r>
          </w:p>
        </w:tc>
      </w:tr>
      <w:tr w:rsidR="00A17A06" w:rsidRPr="00532B7E" w:rsidTr="008812BE">
        <w:trPr>
          <w:trHeight w:val="290"/>
        </w:trPr>
        <w:tc>
          <w:tcPr>
            <w:tcW w:w="15593" w:type="dxa"/>
            <w:gridSpan w:val="3"/>
          </w:tcPr>
          <w:p w:rsidR="00A17A06" w:rsidRPr="00612BC7" w:rsidRDefault="00A17A06" w:rsidP="00727173">
            <w:pPr>
              <w:spacing w:line="240" w:lineRule="auto"/>
              <w:ind w:left="-2" w:firstLine="283"/>
              <w:jc w:val="center"/>
              <w:rPr>
                <w:rFonts w:ascii="Times New Roman" w:eastAsia="Calibri" w:hAnsi="Times New Roman" w:cs="Times New Roman"/>
              </w:rPr>
            </w:pPr>
            <w:r w:rsidRPr="00612BC7">
              <w:rPr>
                <w:rFonts w:ascii="Times New Roman" w:hAnsi="Times New Roman" w:cs="Times New Roman"/>
                <w:i/>
                <w:sz w:val="24"/>
                <w:szCs w:val="24"/>
              </w:rPr>
              <w:t>Додаток 1 до Правил ринку</w:t>
            </w:r>
          </w:p>
        </w:tc>
      </w:tr>
      <w:tr w:rsidR="00A17A06" w:rsidRPr="00532B7E" w:rsidTr="000003B8">
        <w:trPr>
          <w:trHeight w:val="290"/>
        </w:trPr>
        <w:tc>
          <w:tcPr>
            <w:tcW w:w="5103" w:type="dxa"/>
          </w:tcPr>
          <w:p w:rsidR="00A17A06" w:rsidRPr="00765AD7" w:rsidRDefault="00A17A06" w:rsidP="00727173">
            <w:pPr>
              <w:tabs>
                <w:tab w:val="left" w:pos="993"/>
              </w:tabs>
              <w:ind w:firstLine="313"/>
              <w:jc w:val="both"/>
              <w:rPr>
                <w:rFonts w:ascii="Times New Roman" w:hAnsi="Times New Roman" w:cs="Times New Roman"/>
                <w:shd w:val="clear" w:color="auto" w:fill="FFFFFF"/>
              </w:rPr>
            </w:pPr>
            <w:r w:rsidRPr="00765AD7">
              <w:rPr>
                <w:rFonts w:ascii="Times New Roman" w:hAnsi="Times New Roman" w:cs="Times New Roman"/>
                <w:shd w:val="clear" w:color="auto" w:fill="FFFFFF"/>
              </w:rPr>
              <w:t>9.4. Розірвання цього Договору в односторонньому порядку відбувається, якщо:</w:t>
            </w:r>
          </w:p>
          <w:p w:rsidR="00A17A06" w:rsidRPr="00765AD7" w:rsidRDefault="00A17A06" w:rsidP="00727173">
            <w:pPr>
              <w:tabs>
                <w:tab w:val="left" w:pos="993"/>
              </w:tabs>
              <w:ind w:firstLine="313"/>
              <w:jc w:val="both"/>
              <w:rPr>
                <w:rFonts w:ascii="Times New Roman" w:hAnsi="Times New Roman" w:cs="Times New Roman"/>
                <w:shd w:val="clear" w:color="auto" w:fill="FFFFFF"/>
              </w:rPr>
            </w:pPr>
            <w:r w:rsidRPr="00765AD7">
              <w:rPr>
                <w:rFonts w:ascii="Times New Roman" w:hAnsi="Times New Roman" w:cs="Times New Roman"/>
                <w:shd w:val="clear" w:color="auto" w:fill="FFFFFF"/>
              </w:rPr>
              <w:t xml:space="preserve">1) </w:t>
            </w:r>
            <w:r w:rsidRPr="00765AD7">
              <w:rPr>
                <w:rFonts w:ascii="Times New Roman" w:hAnsi="Times New Roman" w:cs="Times New Roman"/>
                <w:b/>
                <w:bCs/>
                <w:shd w:val="clear" w:color="auto" w:fill="FFFFFF"/>
              </w:rPr>
              <w:t>припинено дію ліцензії</w:t>
            </w:r>
            <w:r w:rsidRPr="00765AD7">
              <w:rPr>
                <w:rFonts w:ascii="Times New Roman" w:hAnsi="Times New Roman" w:cs="Times New Roman"/>
                <w:shd w:val="clear" w:color="auto" w:fill="FFFFFF"/>
              </w:rPr>
              <w:t xml:space="preserve"> учасника ринку (з дати набрання чинності відповідним рішенням);</w:t>
            </w:r>
          </w:p>
          <w:p w:rsidR="00A17A06" w:rsidRPr="004700B9" w:rsidRDefault="00A17A06" w:rsidP="00727173">
            <w:pPr>
              <w:autoSpaceDE w:val="0"/>
              <w:autoSpaceDN w:val="0"/>
              <w:adjustRightInd w:val="0"/>
              <w:spacing w:after="120"/>
              <w:ind w:firstLine="313"/>
              <w:jc w:val="both"/>
              <w:rPr>
                <w:rFonts w:ascii="Times New Roman" w:hAnsi="Times New Roman" w:cs="Times New Roman"/>
                <w:color w:val="000000"/>
                <w:lang w:eastAsia="uk-UA"/>
              </w:rPr>
            </w:pPr>
            <w:r w:rsidRPr="004700B9">
              <w:rPr>
                <w:rFonts w:ascii="Times New Roman" w:hAnsi="Times New Roman" w:cs="Times New Roman"/>
                <w:color w:val="000000"/>
                <w:lang w:eastAsia="uk-UA"/>
              </w:rPr>
              <w:t>2) припинено державну реєстрацію суб’єкта господарювання, що є Стороною цього Договору;</w:t>
            </w:r>
          </w:p>
          <w:p w:rsidR="00A17A06" w:rsidRPr="004700B9" w:rsidRDefault="00A17A06" w:rsidP="00727173">
            <w:pPr>
              <w:autoSpaceDE w:val="0"/>
              <w:autoSpaceDN w:val="0"/>
              <w:adjustRightInd w:val="0"/>
              <w:ind w:firstLine="313"/>
              <w:jc w:val="both"/>
              <w:rPr>
                <w:rFonts w:ascii="Times New Roman" w:hAnsi="Times New Roman" w:cs="Times New Roman"/>
                <w:color w:val="000000"/>
                <w:lang w:eastAsia="uk-UA"/>
              </w:rPr>
            </w:pPr>
            <w:r w:rsidRPr="004700B9">
              <w:rPr>
                <w:rFonts w:ascii="Times New Roman" w:hAnsi="Times New Roman" w:cs="Times New Roman"/>
                <w:color w:val="000000"/>
                <w:lang w:eastAsia="uk-UA"/>
              </w:rPr>
              <w:t>3) учасника ринку виключено з реєстру учасників оптового енергетичного ринку (з дати набрання чинності відповідним рішенням).</w:t>
            </w:r>
          </w:p>
          <w:p w:rsidR="00A17A06" w:rsidRPr="004700B9" w:rsidRDefault="00A17A06" w:rsidP="00727173">
            <w:pPr>
              <w:pStyle w:val="ae"/>
              <w:spacing w:before="0" w:beforeAutospacing="0"/>
              <w:ind w:firstLine="313"/>
              <w:jc w:val="both"/>
              <w:rPr>
                <w:sz w:val="22"/>
                <w:szCs w:val="22"/>
              </w:rPr>
            </w:pPr>
            <w:r w:rsidRPr="004700B9">
              <w:rPr>
                <w:color w:val="000000"/>
                <w:sz w:val="22"/>
                <w:szCs w:val="22"/>
              </w:rPr>
              <w:lastRenderedPageBreak/>
              <w:t>В іншому випадку цей Договір припиняється з дати набрання законної сили рішенням суду про розірвання цього Договору.</w:t>
            </w:r>
          </w:p>
          <w:p w:rsidR="00A17A06" w:rsidRPr="00765AD7" w:rsidRDefault="00A17A06" w:rsidP="00727173">
            <w:pPr>
              <w:spacing w:line="240" w:lineRule="auto"/>
              <w:ind w:firstLine="313"/>
              <w:jc w:val="both"/>
              <w:rPr>
                <w:rFonts w:ascii="Times New Roman" w:hAnsi="Times New Roman" w:cs="Times New Roman"/>
                <w:i/>
              </w:rPr>
            </w:pPr>
          </w:p>
        </w:tc>
        <w:tc>
          <w:tcPr>
            <w:tcW w:w="6096" w:type="dxa"/>
          </w:tcPr>
          <w:p w:rsidR="00A17A06" w:rsidRPr="00612BC7" w:rsidRDefault="00A17A06" w:rsidP="00727173">
            <w:pPr>
              <w:pBdr>
                <w:top w:val="nil"/>
                <w:left w:val="nil"/>
                <w:bottom w:val="nil"/>
                <w:right w:val="nil"/>
                <w:between w:val="nil"/>
              </w:pBdr>
              <w:shd w:val="clear" w:color="auto" w:fill="FFFFFF"/>
              <w:spacing w:line="240" w:lineRule="auto"/>
              <w:ind w:left="-2" w:firstLineChars="128" w:firstLine="283"/>
              <w:jc w:val="both"/>
              <w:rPr>
                <w:rFonts w:ascii="Times New Roman" w:eastAsia="Times New Roman" w:hAnsi="Times New Roman" w:cs="Times New Roman"/>
                <w:b/>
                <w:u w:val="single"/>
              </w:rPr>
            </w:pPr>
            <w:r w:rsidRPr="00612BC7">
              <w:rPr>
                <w:rFonts w:ascii="Times New Roman" w:eastAsia="Times New Roman" w:hAnsi="Times New Roman" w:cs="Times New Roman"/>
                <w:b/>
                <w:u w:val="single"/>
              </w:rPr>
              <w:lastRenderedPageBreak/>
              <w:t>Пропозиції НЕК «Укренерго»:</w:t>
            </w:r>
          </w:p>
          <w:p w:rsidR="00A17A06" w:rsidRPr="00612BC7" w:rsidRDefault="00A17A06" w:rsidP="00727173">
            <w:pPr>
              <w:ind w:left="-2" w:firstLine="283"/>
              <w:jc w:val="both"/>
              <w:rPr>
                <w:rFonts w:ascii="Times New Roman" w:hAnsi="Times New Roman" w:cs="Times New Roman"/>
              </w:rPr>
            </w:pPr>
            <w:r w:rsidRPr="00AD7541">
              <w:rPr>
                <w:rFonts w:ascii="Times New Roman" w:hAnsi="Times New Roman" w:cs="Times New Roman"/>
              </w:rPr>
              <w:t>9.4.</w:t>
            </w:r>
            <w:r w:rsidRPr="00612BC7">
              <w:rPr>
                <w:rFonts w:ascii="Times New Roman" w:hAnsi="Times New Roman" w:cs="Times New Roman"/>
              </w:rPr>
              <w:t xml:space="preserve"> Розірвання цього Договору в односторонньому порядку відбувається</w:t>
            </w:r>
            <w:r w:rsidRPr="00612BC7">
              <w:rPr>
                <w:rFonts w:ascii="Times New Roman" w:hAnsi="Times New Roman" w:cs="Times New Roman"/>
                <w:b/>
                <w:bCs/>
                <w:shd w:val="clear" w:color="auto" w:fill="FFFFFF"/>
              </w:rPr>
              <w:t xml:space="preserve"> шляхом направлення повідомлення про розірвання</w:t>
            </w:r>
            <w:r w:rsidRPr="00612BC7">
              <w:rPr>
                <w:rFonts w:ascii="Times New Roman" w:hAnsi="Times New Roman" w:cs="Times New Roman"/>
              </w:rPr>
              <w:t>, якщо:</w:t>
            </w:r>
          </w:p>
          <w:p w:rsidR="00A17A06" w:rsidRPr="00612BC7" w:rsidRDefault="00A17A06" w:rsidP="00727173">
            <w:pPr>
              <w:ind w:left="-2" w:firstLine="283"/>
              <w:jc w:val="both"/>
              <w:rPr>
                <w:rFonts w:ascii="Times New Roman" w:hAnsi="Times New Roman" w:cs="Times New Roman"/>
              </w:rPr>
            </w:pPr>
            <w:r w:rsidRPr="00612BC7">
              <w:rPr>
                <w:rFonts w:ascii="Times New Roman" w:hAnsi="Times New Roman" w:cs="Times New Roman"/>
              </w:rPr>
              <w:t>1) припинено дію ліцензії учасника ринку (з дати набрання чинності відповідним рішенням);</w:t>
            </w:r>
          </w:p>
          <w:p w:rsidR="00A17A06" w:rsidRPr="00612BC7" w:rsidRDefault="00A17A06" w:rsidP="00727173">
            <w:pPr>
              <w:ind w:left="-2" w:firstLine="283"/>
              <w:jc w:val="both"/>
              <w:rPr>
                <w:rFonts w:ascii="Times New Roman" w:hAnsi="Times New Roman" w:cs="Times New Roman"/>
              </w:rPr>
            </w:pPr>
            <w:r w:rsidRPr="00612BC7">
              <w:rPr>
                <w:rFonts w:ascii="Times New Roman" w:hAnsi="Times New Roman" w:cs="Times New Roman"/>
              </w:rPr>
              <w:t>2) припинено державну реєстрацію суб'єкта господарювання, що є Стороною цього Договору;</w:t>
            </w:r>
          </w:p>
          <w:p w:rsidR="00A17A06" w:rsidRPr="00612BC7" w:rsidRDefault="00A17A06" w:rsidP="00727173">
            <w:pPr>
              <w:ind w:left="-2" w:firstLine="283"/>
              <w:jc w:val="both"/>
              <w:rPr>
                <w:rFonts w:ascii="Times New Roman" w:hAnsi="Times New Roman" w:cs="Times New Roman"/>
              </w:rPr>
            </w:pPr>
            <w:r w:rsidRPr="00612BC7">
              <w:rPr>
                <w:rFonts w:ascii="Times New Roman" w:hAnsi="Times New Roman" w:cs="Times New Roman"/>
              </w:rPr>
              <w:t>3) учасника ринку виключено з реєстру учасників оптового енергетичного ринку (з дати набрання чинності відповідним рішенням).</w:t>
            </w:r>
          </w:p>
          <w:p w:rsidR="00A17A06" w:rsidRPr="00612BC7" w:rsidRDefault="00A17A06" w:rsidP="00727173">
            <w:pPr>
              <w:ind w:left="-2" w:firstLine="283"/>
              <w:jc w:val="both"/>
              <w:rPr>
                <w:rFonts w:ascii="Times New Roman" w:hAnsi="Times New Roman" w:cs="Times New Roman"/>
              </w:rPr>
            </w:pPr>
            <w:r w:rsidRPr="00612BC7">
              <w:rPr>
                <w:rFonts w:ascii="Times New Roman" w:hAnsi="Times New Roman" w:cs="Times New Roman"/>
              </w:rPr>
              <w:lastRenderedPageBreak/>
              <w:t>В іншому випадку цей Договір припиняється з дати набрання законної сили рішенням суду про розірвання цього Договору.</w:t>
            </w:r>
          </w:p>
          <w:p w:rsidR="00A17A06" w:rsidRPr="00612BC7" w:rsidRDefault="00A17A06" w:rsidP="00727173">
            <w:pPr>
              <w:spacing w:line="240" w:lineRule="auto"/>
              <w:ind w:left="-2" w:firstLine="283"/>
              <w:jc w:val="both"/>
              <w:rPr>
                <w:rFonts w:ascii="Times New Roman" w:hAnsi="Times New Roman" w:cs="Times New Roman"/>
                <w:b/>
                <w:bCs/>
                <w:shd w:val="clear" w:color="auto" w:fill="FFFFFF"/>
              </w:rPr>
            </w:pPr>
            <w:r w:rsidRPr="00612BC7">
              <w:rPr>
                <w:rFonts w:ascii="Times New Roman" w:hAnsi="Times New Roman" w:cs="Times New Roman"/>
                <w:b/>
                <w:bCs/>
                <w:shd w:val="clear" w:color="auto" w:fill="FFFFFF"/>
              </w:rPr>
              <w:t>ОСП не направляє повідомлення про розірвання договору у випадках припинення юридичної особи в результаті ліквідації. У такому разі датою розірвання договору вважається дата внесення відповідного запису до Єдиного державного реєстру юридичних осіб, фізичних осіб - підприємців та громадських формувань про припинення юридичної особи.</w:t>
            </w:r>
          </w:p>
          <w:p w:rsidR="00A17A06" w:rsidRPr="00612BC7" w:rsidRDefault="00A17A06" w:rsidP="00727173">
            <w:pPr>
              <w:spacing w:line="240" w:lineRule="auto"/>
              <w:ind w:left="-2" w:firstLine="283"/>
              <w:jc w:val="both"/>
              <w:rPr>
                <w:rFonts w:ascii="Times New Roman" w:hAnsi="Times New Roman" w:cs="Times New Roman"/>
                <w:i/>
              </w:rPr>
            </w:pPr>
            <w:r w:rsidRPr="00612BC7">
              <w:rPr>
                <w:rFonts w:ascii="Times New Roman" w:hAnsi="Times New Roman" w:cs="Times New Roman"/>
                <w:i/>
                <w:iCs/>
                <w:shd w:val="clear" w:color="auto" w:fill="FFFFFF"/>
              </w:rPr>
              <w:t>Оскільки є неможливим застосування процедури одностороннього розірвання до суб'єктів господарювання, що були ліквідовані та втратили статус юридичної особи, потребуємо уточнення умов договору в частині визначення можливості вважати договір розірваним з дати внесення відповідного запису в реєстр ЄДРПОУ</w:t>
            </w:r>
          </w:p>
        </w:tc>
        <w:tc>
          <w:tcPr>
            <w:tcW w:w="4394" w:type="dxa"/>
          </w:tcPr>
          <w:p w:rsidR="00A17A06" w:rsidRDefault="00A17A06" w:rsidP="00B60C7B">
            <w:pPr>
              <w:spacing w:line="240" w:lineRule="auto"/>
              <w:ind w:firstLine="319"/>
              <w:jc w:val="both"/>
              <w:rPr>
                <w:rFonts w:ascii="Times New Roman" w:hAnsi="Times New Roman" w:cs="Times New Roman"/>
                <w:i/>
                <w:sz w:val="24"/>
                <w:szCs w:val="24"/>
              </w:rPr>
            </w:pPr>
            <w:r w:rsidRPr="00CD27D4">
              <w:rPr>
                <w:rFonts w:ascii="Times New Roman" w:eastAsia="Calibri" w:hAnsi="Times New Roman" w:cs="Times New Roman"/>
              </w:rPr>
              <w:lastRenderedPageBreak/>
              <w:t>Потребує додаткового обговорення.</w:t>
            </w:r>
          </w:p>
        </w:tc>
      </w:tr>
    </w:tbl>
    <w:p w:rsidR="006B7C9E" w:rsidRPr="00532B7E" w:rsidRDefault="006B7C9E"/>
    <w:sectPr w:rsidR="006B7C9E" w:rsidRPr="00532B7E" w:rsidSect="00B60C7B">
      <w:headerReference w:type="default" r:id="rId8"/>
      <w:pgSz w:w="16838" w:h="11906" w:orient="landscape" w:code="9"/>
      <w:pgMar w:top="851" w:right="567" w:bottom="568" w:left="56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B0E" w:rsidRDefault="00E23B0E" w:rsidP="001C0BEA">
      <w:pPr>
        <w:spacing w:after="0" w:line="240" w:lineRule="auto"/>
      </w:pPr>
      <w:r>
        <w:separator/>
      </w:r>
    </w:p>
  </w:endnote>
  <w:endnote w:type="continuationSeparator" w:id="0">
    <w:p w:rsidR="00E23B0E" w:rsidRDefault="00E23B0E" w:rsidP="001C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B0E" w:rsidRDefault="00E23B0E" w:rsidP="001C0BEA">
      <w:pPr>
        <w:spacing w:after="0" w:line="240" w:lineRule="auto"/>
      </w:pPr>
      <w:r>
        <w:separator/>
      </w:r>
    </w:p>
  </w:footnote>
  <w:footnote w:type="continuationSeparator" w:id="0">
    <w:p w:rsidR="00E23B0E" w:rsidRDefault="00E23B0E" w:rsidP="001C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00054"/>
      <w:docPartObj>
        <w:docPartGallery w:val="Page Numbers (Top of Page)"/>
        <w:docPartUnique/>
      </w:docPartObj>
    </w:sdtPr>
    <w:sdtEndPr/>
    <w:sdtContent>
      <w:p w:rsidR="00F21536" w:rsidRDefault="00F21536">
        <w:pPr>
          <w:pStyle w:val="a8"/>
          <w:jc w:val="center"/>
        </w:pPr>
        <w:r>
          <w:fldChar w:fldCharType="begin"/>
        </w:r>
        <w:r>
          <w:instrText>PAGE   \* MERGEFORMAT</w:instrText>
        </w:r>
        <w:r>
          <w:fldChar w:fldCharType="separate"/>
        </w:r>
        <w:r>
          <w:t>2</w:t>
        </w:r>
        <w:r>
          <w:fldChar w:fldCharType="end"/>
        </w:r>
      </w:p>
    </w:sdtContent>
  </w:sdt>
  <w:p w:rsidR="00F21536" w:rsidRDefault="00F215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D42"/>
    <w:multiLevelType w:val="hybridMultilevel"/>
    <w:tmpl w:val="1E8C5492"/>
    <w:lvl w:ilvl="0" w:tplc="04220011">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1D964D2B"/>
    <w:multiLevelType w:val="hybridMultilevel"/>
    <w:tmpl w:val="85B0157A"/>
    <w:lvl w:ilvl="0" w:tplc="3072DB40">
      <w:start w:val="1"/>
      <w:numFmt w:val="decimal"/>
      <w:lvlText w:val="%1)"/>
      <w:lvlJc w:val="left"/>
      <w:pPr>
        <w:ind w:left="426" w:hanging="360"/>
      </w:pPr>
      <w:rPr>
        <w:rFonts w:hint="default"/>
        <w:color w:val="538135" w:themeColor="accent6" w:themeShade="BF"/>
      </w:rPr>
    </w:lvl>
    <w:lvl w:ilvl="1" w:tplc="04220019" w:tentative="1">
      <w:start w:val="1"/>
      <w:numFmt w:val="lowerLetter"/>
      <w:lvlText w:val="%2."/>
      <w:lvlJc w:val="left"/>
      <w:pPr>
        <w:ind w:left="1146" w:hanging="360"/>
      </w:pPr>
    </w:lvl>
    <w:lvl w:ilvl="2" w:tplc="0422001B" w:tentative="1">
      <w:start w:val="1"/>
      <w:numFmt w:val="lowerRoman"/>
      <w:lvlText w:val="%3."/>
      <w:lvlJc w:val="right"/>
      <w:pPr>
        <w:ind w:left="1866" w:hanging="180"/>
      </w:pPr>
    </w:lvl>
    <w:lvl w:ilvl="3" w:tplc="0422000F" w:tentative="1">
      <w:start w:val="1"/>
      <w:numFmt w:val="decimal"/>
      <w:lvlText w:val="%4."/>
      <w:lvlJc w:val="left"/>
      <w:pPr>
        <w:ind w:left="2586" w:hanging="360"/>
      </w:pPr>
    </w:lvl>
    <w:lvl w:ilvl="4" w:tplc="04220019" w:tentative="1">
      <w:start w:val="1"/>
      <w:numFmt w:val="lowerLetter"/>
      <w:lvlText w:val="%5."/>
      <w:lvlJc w:val="left"/>
      <w:pPr>
        <w:ind w:left="3306" w:hanging="360"/>
      </w:pPr>
    </w:lvl>
    <w:lvl w:ilvl="5" w:tplc="0422001B" w:tentative="1">
      <w:start w:val="1"/>
      <w:numFmt w:val="lowerRoman"/>
      <w:lvlText w:val="%6."/>
      <w:lvlJc w:val="right"/>
      <w:pPr>
        <w:ind w:left="4026" w:hanging="180"/>
      </w:pPr>
    </w:lvl>
    <w:lvl w:ilvl="6" w:tplc="0422000F" w:tentative="1">
      <w:start w:val="1"/>
      <w:numFmt w:val="decimal"/>
      <w:lvlText w:val="%7."/>
      <w:lvlJc w:val="left"/>
      <w:pPr>
        <w:ind w:left="4746" w:hanging="360"/>
      </w:pPr>
    </w:lvl>
    <w:lvl w:ilvl="7" w:tplc="04220019" w:tentative="1">
      <w:start w:val="1"/>
      <w:numFmt w:val="lowerLetter"/>
      <w:lvlText w:val="%8."/>
      <w:lvlJc w:val="left"/>
      <w:pPr>
        <w:ind w:left="5466" w:hanging="360"/>
      </w:pPr>
    </w:lvl>
    <w:lvl w:ilvl="8" w:tplc="0422001B" w:tentative="1">
      <w:start w:val="1"/>
      <w:numFmt w:val="lowerRoman"/>
      <w:lvlText w:val="%9."/>
      <w:lvlJc w:val="right"/>
      <w:pPr>
        <w:ind w:left="6186" w:hanging="180"/>
      </w:pPr>
    </w:lvl>
  </w:abstractNum>
  <w:abstractNum w:abstractNumId="2" w15:restartNumberingAfterBreak="0">
    <w:nsid w:val="3C8154A3"/>
    <w:multiLevelType w:val="multilevel"/>
    <w:tmpl w:val="78CCB65A"/>
    <w:lvl w:ilvl="0">
      <w:start w:val="1"/>
      <w:numFmt w:val="decimal"/>
      <w:lvlText w:val="%1."/>
      <w:lvlJc w:val="left"/>
      <w:pPr>
        <w:ind w:left="1070"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467B2BB3"/>
    <w:multiLevelType w:val="hybridMultilevel"/>
    <w:tmpl w:val="1E8C5492"/>
    <w:lvl w:ilvl="0" w:tplc="04220011">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0511457"/>
    <w:multiLevelType w:val="hybridMultilevel"/>
    <w:tmpl w:val="1E8C5492"/>
    <w:lvl w:ilvl="0" w:tplc="04220011">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D2"/>
    <w:rsid w:val="000003B8"/>
    <w:rsid w:val="00015067"/>
    <w:rsid w:val="000231C8"/>
    <w:rsid w:val="000435F8"/>
    <w:rsid w:val="00044238"/>
    <w:rsid w:val="0008335F"/>
    <w:rsid w:val="00087981"/>
    <w:rsid w:val="000939DF"/>
    <w:rsid w:val="000948C6"/>
    <w:rsid w:val="000A3432"/>
    <w:rsid w:val="000C68B3"/>
    <w:rsid w:val="000E311B"/>
    <w:rsid w:val="000F3106"/>
    <w:rsid w:val="000F3FFF"/>
    <w:rsid w:val="001112EA"/>
    <w:rsid w:val="001334F0"/>
    <w:rsid w:val="00157B1D"/>
    <w:rsid w:val="001906F5"/>
    <w:rsid w:val="001925B1"/>
    <w:rsid w:val="00194E34"/>
    <w:rsid w:val="001A4E45"/>
    <w:rsid w:val="001A6501"/>
    <w:rsid w:val="001B6C74"/>
    <w:rsid w:val="001C0BEA"/>
    <w:rsid w:val="001F0B43"/>
    <w:rsid w:val="00200F13"/>
    <w:rsid w:val="00210A2A"/>
    <w:rsid w:val="00213FC4"/>
    <w:rsid w:val="00234E9B"/>
    <w:rsid w:val="00260CD6"/>
    <w:rsid w:val="002625AB"/>
    <w:rsid w:val="00273A29"/>
    <w:rsid w:val="002A7AB5"/>
    <w:rsid w:val="002B36F3"/>
    <w:rsid w:val="002F1D48"/>
    <w:rsid w:val="002F4015"/>
    <w:rsid w:val="0030532A"/>
    <w:rsid w:val="003133F5"/>
    <w:rsid w:val="003146F9"/>
    <w:rsid w:val="00315A08"/>
    <w:rsid w:val="003258CF"/>
    <w:rsid w:val="00343309"/>
    <w:rsid w:val="003559B9"/>
    <w:rsid w:val="00357D07"/>
    <w:rsid w:val="00377582"/>
    <w:rsid w:val="003D774D"/>
    <w:rsid w:val="00415022"/>
    <w:rsid w:val="004434B6"/>
    <w:rsid w:val="00447363"/>
    <w:rsid w:val="0045668D"/>
    <w:rsid w:val="00466583"/>
    <w:rsid w:val="004700B9"/>
    <w:rsid w:val="00486CF0"/>
    <w:rsid w:val="00493789"/>
    <w:rsid w:val="004978C3"/>
    <w:rsid w:val="004B20AE"/>
    <w:rsid w:val="004B3147"/>
    <w:rsid w:val="004F4EC7"/>
    <w:rsid w:val="00504EFC"/>
    <w:rsid w:val="00510640"/>
    <w:rsid w:val="00532B7E"/>
    <w:rsid w:val="00551074"/>
    <w:rsid w:val="00575148"/>
    <w:rsid w:val="00597D19"/>
    <w:rsid w:val="005B55C9"/>
    <w:rsid w:val="005B7B49"/>
    <w:rsid w:val="005C4569"/>
    <w:rsid w:val="005D3431"/>
    <w:rsid w:val="005F12A8"/>
    <w:rsid w:val="0060079D"/>
    <w:rsid w:val="006057B8"/>
    <w:rsid w:val="00612BC7"/>
    <w:rsid w:val="00617870"/>
    <w:rsid w:val="00644546"/>
    <w:rsid w:val="00644EBB"/>
    <w:rsid w:val="00653B6F"/>
    <w:rsid w:val="0065438E"/>
    <w:rsid w:val="00661E93"/>
    <w:rsid w:val="00667EB4"/>
    <w:rsid w:val="006B7C9E"/>
    <w:rsid w:val="006E6D21"/>
    <w:rsid w:val="006F6752"/>
    <w:rsid w:val="00726E35"/>
    <w:rsid w:val="00727173"/>
    <w:rsid w:val="007312F2"/>
    <w:rsid w:val="00762B6A"/>
    <w:rsid w:val="00765AD7"/>
    <w:rsid w:val="00790FDB"/>
    <w:rsid w:val="007A3926"/>
    <w:rsid w:val="007B0D2C"/>
    <w:rsid w:val="007B63A4"/>
    <w:rsid w:val="007D4AD4"/>
    <w:rsid w:val="007E6F0B"/>
    <w:rsid w:val="00816129"/>
    <w:rsid w:val="008240D2"/>
    <w:rsid w:val="00825BFB"/>
    <w:rsid w:val="00834A41"/>
    <w:rsid w:val="00837377"/>
    <w:rsid w:val="00837C45"/>
    <w:rsid w:val="0085022A"/>
    <w:rsid w:val="008A1BC6"/>
    <w:rsid w:val="008B2BD2"/>
    <w:rsid w:val="008B396F"/>
    <w:rsid w:val="008D7234"/>
    <w:rsid w:val="008F1906"/>
    <w:rsid w:val="00900A4A"/>
    <w:rsid w:val="009010A7"/>
    <w:rsid w:val="009027B3"/>
    <w:rsid w:val="00921084"/>
    <w:rsid w:val="009318AC"/>
    <w:rsid w:val="0093702B"/>
    <w:rsid w:val="00937474"/>
    <w:rsid w:val="0094371F"/>
    <w:rsid w:val="0095511C"/>
    <w:rsid w:val="009569D7"/>
    <w:rsid w:val="009621BC"/>
    <w:rsid w:val="009666D8"/>
    <w:rsid w:val="009C4B1D"/>
    <w:rsid w:val="009D166C"/>
    <w:rsid w:val="009E1F4D"/>
    <w:rsid w:val="009E49E7"/>
    <w:rsid w:val="009E6C8F"/>
    <w:rsid w:val="00A00F84"/>
    <w:rsid w:val="00A1057B"/>
    <w:rsid w:val="00A15671"/>
    <w:rsid w:val="00A17A06"/>
    <w:rsid w:val="00A619C9"/>
    <w:rsid w:val="00A66523"/>
    <w:rsid w:val="00A74CF9"/>
    <w:rsid w:val="00AC2983"/>
    <w:rsid w:val="00AC409E"/>
    <w:rsid w:val="00AD7541"/>
    <w:rsid w:val="00AD7FE2"/>
    <w:rsid w:val="00B023A2"/>
    <w:rsid w:val="00B067FA"/>
    <w:rsid w:val="00B212EA"/>
    <w:rsid w:val="00B22038"/>
    <w:rsid w:val="00B40813"/>
    <w:rsid w:val="00B60C7B"/>
    <w:rsid w:val="00B62B0D"/>
    <w:rsid w:val="00B74936"/>
    <w:rsid w:val="00B77368"/>
    <w:rsid w:val="00B82B5B"/>
    <w:rsid w:val="00B94ABA"/>
    <w:rsid w:val="00B955DF"/>
    <w:rsid w:val="00B95BBD"/>
    <w:rsid w:val="00BE1BA2"/>
    <w:rsid w:val="00BF3901"/>
    <w:rsid w:val="00C40A7F"/>
    <w:rsid w:val="00C76C0D"/>
    <w:rsid w:val="00CA4304"/>
    <w:rsid w:val="00CC364C"/>
    <w:rsid w:val="00CD27D4"/>
    <w:rsid w:val="00CE1DAC"/>
    <w:rsid w:val="00CE548A"/>
    <w:rsid w:val="00CF1CA8"/>
    <w:rsid w:val="00D02D1E"/>
    <w:rsid w:val="00D12C99"/>
    <w:rsid w:val="00D426B9"/>
    <w:rsid w:val="00D45DE2"/>
    <w:rsid w:val="00D5797C"/>
    <w:rsid w:val="00D57D31"/>
    <w:rsid w:val="00D60AC8"/>
    <w:rsid w:val="00D611D8"/>
    <w:rsid w:val="00D83ABE"/>
    <w:rsid w:val="00D91C8E"/>
    <w:rsid w:val="00D92C3B"/>
    <w:rsid w:val="00DA2D2F"/>
    <w:rsid w:val="00DA4B6E"/>
    <w:rsid w:val="00DB60E2"/>
    <w:rsid w:val="00DC17DF"/>
    <w:rsid w:val="00DF3081"/>
    <w:rsid w:val="00E0389F"/>
    <w:rsid w:val="00E23B0E"/>
    <w:rsid w:val="00E3728E"/>
    <w:rsid w:val="00E57119"/>
    <w:rsid w:val="00E71FD4"/>
    <w:rsid w:val="00E8601D"/>
    <w:rsid w:val="00E92A4E"/>
    <w:rsid w:val="00EB31BC"/>
    <w:rsid w:val="00ED1BA1"/>
    <w:rsid w:val="00EF107F"/>
    <w:rsid w:val="00F21536"/>
    <w:rsid w:val="00F32153"/>
    <w:rsid w:val="00F41B8C"/>
    <w:rsid w:val="00F55114"/>
    <w:rsid w:val="00F562B6"/>
    <w:rsid w:val="00F87C33"/>
    <w:rsid w:val="00F9308B"/>
    <w:rsid w:val="00F94422"/>
    <w:rsid w:val="00F9588F"/>
    <w:rsid w:val="00FB2608"/>
    <w:rsid w:val="00FC39CB"/>
    <w:rsid w:val="00FC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FA05"/>
  <w15:chartTrackingRefBased/>
  <w15:docId w15:val="{1FE01185-C7C3-49C5-9710-DC696122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3B8"/>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7C9E"/>
    <w:rPr>
      <w:color w:val="0000FF"/>
      <w:u w:val="single"/>
    </w:rPr>
  </w:style>
  <w:style w:type="paragraph" w:customStyle="1" w:styleId="rvps2">
    <w:name w:val="rvps2"/>
    <w:basedOn w:val="a"/>
    <w:qFormat/>
    <w:rsid w:val="009D16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9D16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j">
    <w:name w:val="tj"/>
    <w:basedOn w:val="a"/>
    <w:rsid w:val="001A65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1A65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ard-blue-color">
    <w:name w:val="hard-blue-color"/>
    <w:basedOn w:val="a0"/>
    <w:rsid w:val="001A6501"/>
  </w:style>
  <w:style w:type="paragraph" w:styleId="a5">
    <w:name w:val="List Paragraph"/>
    <w:basedOn w:val="a"/>
    <w:uiPriority w:val="34"/>
    <w:qFormat/>
    <w:rsid w:val="001A6501"/>
    <w:pPr>
      <w:spacing w:line="259" w:lineRule="auto"/>
      <w:ind w:left="720"/>
      <w:contextualSpacing/>
    </w:pPr>
    <w:rPr>
      <w:lang w:val="ru-RU"/>
    </w:rPr>
  </w:style>
  <w:style w:type="paragraph" w:styleId="a6">
    <w:name w:val="Balloon Text"/>
    <w:basedOn w:val="a"/>
    <w:link w:val="a7"/>
    <w:uiPriority w:val="99"/>
    <w:semiHidden/>
    <w:unhideWhenUsed/>
    <w:rsid w:val="003133F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133F5"/>
    <w:rPr>
      <w:rFonts w:ascii="Segoe UI" w:hAnsi="Segoe UI" w:cs="Segoe UI"/>
      <w:sz w:val="18"/>
      <w:szCs w:val="18"/>
      <w:lang w:val="uk-UA"/>
    </w:rPr>
  </w:style>
  <w:style w:type="paragraph" w:styleId="a8">
    <w:name w:val="header"/>
    <w:basedOn w:val="a"/>
    <w:link w:val="a9"/>
    <w:uiPriority w:val="99"/>
    <w:unhideWhenUsed/>
    <w:rsid w:val="001C0BE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C0BEA"/>
    <w:rPr>
      <w:lang w:val="uk-UA"/>
    </w:rPr>
  </w:style>
  <w:style w:type="paragraph" w:styleId="aa">
    <w:name w:val="footer"/>
    <w:basedOn w:val="a"/>
    <w:link w:val="ab"/>
    <w:uiPriority w:val="99"/>
    <w:unhideWhenUsed/>
    <w:rsid w:val="001C0BE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C0BEA"/>
    <w:rPr>
      <w:lang w:val="uk-UA"/>
    </w:rPr>
  </w:style>
  <w:style w:type="character" w:customStyle="1" w:styleId="fontstyle01">
    <w:name w:val="fontstyle01"/>
    <w:basedOn w:val="a0"/>
    <w:rsid w:val="009E6C8F"/>
    <w:rPr>
      <w:rFonts w:ascii="Calibri-Italic" w:hAnsi="Calibri-Italic" w:hint="default"/>
      <w:b w:val="0"/>
      <w:bCs w:val="0"/>
      <w:i/>
      <w:iCs/>
      <w:color w:val="000000"/>
      <w:sz w:val="16"/>
      <w:szCs w:val="16"/>
    </w:rPr>
  </w:style>
  <w:style w:type="paragraph" w:styleId="ac">
    <w:name w:val="Body Text Indent"/>
    <w:basedOn w:val="a"/>
    <w:link w:val="ad"/>
    <w:uiPriority w:val="99"/>
    <w:unhideWhenUsed/>
    <w:rsid w:val="00667EB4"/>
    <w:pPr>
      <w:spacing w:after="120" w:line="259" w:lineRule="auto"/>
      <w:ind w:left="283"/>
    </w:pPr>
    <w:rPr>
      <w:rFonts w:ascii="Calibri" w:eastAsia="Calibri" w:hAnsi="Calibri" w:cs="Calibri"/>
      <w:lang w:eastAsia="uk-UA"/>
    </w:rPr>
  </w:style>
  <w:style w:type="character" w:customStyle="1" w:styleId="ad">
    <w:name w:val="Основний текст з відступом Знак"/>
    <w:basedOn w:val="a0"/>
    <w:link w:val="ac"/>
    <w:uiPriority w:val="99"/>
    <w:rsid w:val="00667EB4"/>
    <w:rPr>
      <w:rFonts w:ascii="Calibri" w:eastAsia="Calibri" w:hAnsi="Calibri" w:cs="Calibri"/>
      <w:lang w:val="uk-UA" w:eastAsia="uk-UA"/>
    </w:rPr>
  </w:style>
  <w:style w:type="paragraph" w:styleId="ae">
    <w:name w:val="Normal (Web)"/>
    <w:basedOn w:val="a"/>
    <w:unhideWhenUsed/>
    <w:rsid w:val="00834A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arkedcontent">
    <w:name w:val="markedcontent"/>
    <w:basedOn w:val="a0"/>
    <w:rsid w:val="0083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58336">
      <w:bodyDiv w:val="1"/>
      <w:marLeft w:val="0"/>
      <w:marRight w:val="0"/>
      <w:marTop w:val="0"/>
      <w:marBottom w:val="0"/>
      <w:divBdr>
        <w:top w:val="none" w:sz="0" w:space="0" w:color="auto"/>
        <w:left w:val="none" w:sz="0" w:space="0" w:color="auto"/>
        <w:bottom w:val="none" w:sz="0" w:space="0" w:color="auto"/>
        <w:right w:val="none" w:sz="0" w:space="0" w:color="auto"/>
      </w:divBdr>
      <w:divsChild>
        <w:div w:id="146481557">
          <w:marLeft w:val="0"/>
          <w:marRight w:val="0"/>
          <w:marTop w:val="0"/>
          <w:marBottom w:val="0"/>
          <w:divBdr>
            <w:top w:val="none" w:sz="0" w:space="0" w:color="auto"/>
            <w:left w:val="none" w:sz="0" w:space="0" w:color="auto"/>
            <w:bottom w:val="none" w:sz="0" w:space="0" w:color="auto"/>
            <w:right w:val="none" w:sz="0" w:space="0" w:color="auto"/>
          </w:divBdr>
        </w:div>
        <w:div w:id="1520730029">
          <w:marLeft w:val="0"/>
          <w:marRight w:val="0"/>
          <w:marTop w:val="0"/>
          <w:marBottom w:val="0"/>
          <w:divBdr>
            <w:top w:val="none" w:sz="0" w:space="0" w:color="auto"/>
            <w:left w:val="none" w:sz="0" w:space="0" w:color="auto"/>
            <w:bottom w:val="none" w:sz="0" w:space="0" w:color="auto"/>
            <w:right w:val="none" w:sz="0" w:space="0" w:color="auto"/>
          </w:divBdr>
        </w:div>
        <w:div w:id="1080060777">
          <w:marLeft w:val="0"/>
          <w:marRight w:val="0"/>
          <w:marTop w:val="0"/>
          <w:marBottom w:val="0"/>
          <w:divBdr>
            <w:top w:val="none" w:sz="0" w:space="0" w:color="auto"/>
            <w:left w:val="none" w:sz="0" w:space="0" w:color="auto"/>
            <w:bottom w:val="none" w:sz="0" w:space="0" w:color="auto"/>
            <w:right w:val="none" w:sz="0" w:space="0" w:color="auto"/>
          </w:divBdr>
        </w:div>
        <w:div w:id="1179003137">
          <w:marLeft w:val="0"/>
          <w:marRight w:val="0"/>
          <w:marTop w:val="0"/>
          <w:marBottom w:val="0"/>
          <w:divBdr>
            <w:top w:val="none" w:sz="0" w:space="0" w:color="auto"/>
            <w:left w:val="none" w:sz="0" w:space="0" w:color="auto"/>
            <w:bottom w:val="none" w:sz="0" w:space="0" w:color="auto"/>
            <w:right w:val="none" w:sz="0" w:space="0" w:color="auto"/>
          </w:divBdr>
        </w:div>
        <w:div w:id="637036411">
          <w:marLeft w:val="0"/>
          <w:marRight w:val="0"/>
          <w:marTop w:val="0"/>
          <w:marBottom w:val="0"/>
          <w:divBdr>
            <w:top w:val="none" w:sz="0" w:space="0" w:color="auto"/>
            <w:left w:val="none" w:sz="0" w:space="0" w:color="auto"/>
            <w:bottom w:val="none" w:sz="0" w:space="0" w:color="auto"/>
            <w:right w:val="none" w:sz="0" w:space="0" w:color="auto"/>
          </w:divBdr>
        </w:div>
        <w:div w:id="313994271">
          <w:marLeft w:val="0"/>
          <w:marRight w:val="0"/>
          <w:marTop w:val="0"/>
          <w:marBottom w:val="0"/>
          <w:divBdr>
            <w:top w:val="none" w:sz="0" w:space="0" w:color="auto"/>
            <w:left w:val="none" w:sz="0" w:space="0" w:color="auto"/>
            <w:bottom w:val="none" w:sz="0" w:space="0" w:color="auto"/>
            <w:right w:val="none" w:sz="0" w:space="0" w:color="auto"/>
          </w:divBdr>
        </w:div>
        <w:div w:id="868683047">
          <w:marLeft w:val="0"/>
          <w:marRight w:val="0"/>
          <w:marTop w:val="0"/>
          <w:marBottom w:val="0"/>
          <w:divBdr>
            <w:top w:val="none" w:sz="0" w:space="0" w:color="auto"/>
            <w:left w:val="none" w:sz="0" w:space="0" w:color="auto"/>
            <w:bottom w:val="none" w:sz="0" w:space="0" w:color="auto"/>
            <w:right w:val="none" w:sz="0" w:space="0" w:color="auto"/>
          </w:divBdr>
        </w:div>
        <w:div w:id="691304718">
          <w:marLeft w:val="0"/>
          <w:marRight w:val="0"/>
          <w:marTop w:val="0"/>
          <w:marBottom w:val="0"/>
          <w:divBdr>
            <w:top w:val="none" w:sz="0" w:space="0" w:color="auto"/>
            <w:left w:val="none" w:sz="0" w:space="0" w:color="auto"/>
            <w:bottom w:val="none" w:sz="0" w:space="0" w:color="auto"/>
            <w:right w:val="none" w:sz="0" w:space="0" w:color="auto"/>
          </w:divBdr>
        </w:div>
        <w:div w:id="1257439956">
          <w:marLeft w:val="0"/>
          <w:marRight w:val="0"/>
          <w:marTop w:val="0"/>
          <w:marBottom w:val="0"/>
          <w:divBdr>
            <w:top w:val="none" w:sz="0" w:space="0" w:color="auto"/>
            <w:left w:val="none" w:sz="0" w:space="0" w:color="auto"/>
            <w:bottom w:val="none" w:sz="0" w:space="0" w:color="auto"/>
            <w:right w:val="none" w:sz="0" w:space="0" w:color="auto"/>
          </w:divBdr>
        </w:div>
      </w:divsChild>
    </w:div>
    <w:div w:id="375157809">
      <w:bodyDiv w:val="1"/>
      <w:marLeft w:val="0"/>
      <w:marRight w:val="0"/>
      <w:marTop w:val="0"/>
      <w:marBottom w:val="0"/>
      <w:divBdr>
        <w:top w:val="none" w:sz="0" w:space="0" w:color="auto"/>
        <w:left w:val="none" w:sz="0" w:space="0" w:color="auto"/>
        <w:bottom w:val="none" w:sz="0" w:space="0" w:color="auto"/>
        <w:right w:val="none" w:sz="0" w:space="0" w:color="auto"/>
      </w:divBdr>
    </w:div>
    <w:div w:id="18251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EB95-3EA7-48FB-851A-734395E7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9476</Words>
  <Characters>5402</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 Плахута</dc:creator>
  <cp:keywords/>
  <dc:description/>
  <cp:lastModifiedBy>Анна Чеховська</cp:lastModifiedBy>
  <cp:revision>15</cp:revision>
  <cp:lastPrinted>2025-01-29T07:31:00Z</cp:lastPrinted>
  <dcterms:created xsi:type="dcterms:W3CDTF">2025-08-08T07:23:00Z</dcterms:created>
  <dcterms:modified xsi:type="dcterms:W3CDTF">2025-08-25T11:15:00Z</dcterms:modified>
</cp:coreProperties>
</file>