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74F8" w:rsidRDefault="009E3065">
      <w:pPr>
        <w:spacing w:after="0" w:line="21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Узагальнені зауваження та пропозиції до </w:t>
      </w:r>
      <w:proofErr w:type="spellStart"/>
      <w:r>
        <w:rPr>
          <w:rFonts w:ascii="Times New Roman" w:eastAsia="Times New Roman" w:hAnsi="Times New Roman" w:cs="Times New Roman"/>
          <w:b/>
          <w:sz w:val="24"/>
          <w:szCs w:val="24"/>
        </w:rPr>
        <w:t>проєкту</w:t>
      </w:r>
      <w:proofErr w:type="spellEnd"/>
      <w:r>
        <w:rPr>
          <w:rFonts w:ascii="Times New Roman" w:eastAsia="Times New Roman" w:hAnsi="Times New Roman" w:cs="Times New Roman"/>
          <w:b/>
          <w:sz w:val="24"/>
          <w:szCs w:val="24"/>
        </w:rPr>
        <w:t xml:space="preserve"> постанови НКРЕКП</w:t>
      </w:r>
    </w:p>
    <w:p w:rsidR="00B674F8" w:rsidRDefault="009E3065">
      <w:pPr>
        <w:spacing w:after="0" w:line="21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«Про затвердження Змін до деяких постанов НКРЕКП», </w:t>
      </w:r>
    </w:p>
    <w:p w:rsidR="00B674F8" w:rsidRDefault="009E3065">
      <w:pPr>
        <w:spacing w:after="0" w:line="21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що має ознаки регуляторного </w:t>
      </w:r>
      <w:proofErr w:type="spellStart"/>
      <w:r>
        <w:rPr>
          <w:rFonts w:ascii="Times New Roman" w:eastAsia="Times New Roman" w:hAnsi="Times New Roman" w:cs="Times New Roman"/>
          <w:b/>
          <w:color w:val="000000"/>
          <w:sz w:val="24"/>
          <w:szCs w:val="24"/>
        </w:rPr>
        <w:t>акта</w:t>
      </w:r>
      <w:proofErr w:type="spellEnd"/>
    </w:p>
    <w:p w:rsidR="00B674F8" w:rsidRDefault="00B674F8">
      <w:pPr>
        <w:spacing w:after="0" w:line="216" w:lineRule="auto"/>
        <w:jc w:val="center"/>
        <w:rPr>
          <w:rFonts w:ascii="Times New Roman" w:eastAsia="Times New Roman" w:hAnsi="Times New Roman" w:cs="Times New Roman"/>
          <w:b/>
          <w:color w:val="000000"/>
          <w:sz w:val="24"/>
          <w:szCs w:val="24"/>
        </w:rPr>
      </w:pPr>
    </w:p>
    <w:tbl>
      <w:tblPr>
        <w:tblStyle w:val="af1"/>
        <w:tblW w:w="153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60"/>
        <w:gridCol w:w="5670"/>
        <w:gridCol w:w="4170"/>
      </w:tblGrid>
      <w:tr w:rsidR="00B674F8">
        <w:tc>
          <w:tcPr>
            <w:tcW w:w="5460" w:type="dxa"/>
            <w:shd w:val="clear" w:color="auto" w:fill="auto"/>
          </w:tcPr>
          <w:p w:rsidR="00B674F8" w:rsidRDefault="009E3065">
            <w:pPr>
              <w:spacing w:line="216" w:lineRule="auto"/>
              <w:jc w:val="center"/>
              <w:rPr>
                <w:rFonts w:ascii="Times New Roman" w:eastAsia="Times New Roman" w:hAnsi="Times New Roman" w:cs="Times New Roman"/>
                <w:b/>
                <w:i/>
                <w:color w:val="000000"/>
                <w:sz w:val="24"/>
                <w:szCs w:val="24"/>
              </w:rPr>
            </w:pPr>
            <w:r>
              <w:rPr>
                <w:rFonts w:ascii="Times New Roman" w:eastAsia="Times New Roman" w:hAnsi="Times New Roman" w:cs="Times New Roman"/>
                <w:b/>
                <w:sz w:val="24"/>
                <w:szCs w:val="24"/>
              </w:rPr>
              <w:t xml:space="preserve">Редакція </w:t>
            </w:r>
            <w:proofErr w:type="spellStart"/>
            <w:r>
              <w:rPr>
                <w:rFonts w:ascii="Times New Roman" w:eastAsia="Times New Roman" w:hAnsi="Times New Roman" w:cs="Times New Roman"/>
                <w:b/>
                <w:sz w:val="24"/>
                <w:szCs w:val="24"/>
              </w:rPr>
              <w:t>проєкту</w:t>
            </w:r>
            <w:proofErr w:type="spellEnd"/>
            <w:r>
              <w:rPr>
                <w:rFonts w:ascii="Times New Roman" w:eastAsia="Times New Roman" w:hAnsi="Times New Roman" w:cs="Times New Roman"/>
                <w:b/>
                <w:sz w:val="24"/>
                <w:szCs w:val="24"/>
              </w:rPr>
              <w:t xml:space="preserve"> рішення НКРЕКП</w:t>
            </w:r>
          </w:p>
        </w:tc>
        <w:tc>
          <w:tcPr>
            <w:tcW w:w="5670" w:type="dxa"/>
          </w:tcPr>
          <w:p w:rsidR="00B674F8" w:rsidRDefault="009E3065">
            <w:pPr>
              <w:tabs>
                <w:tab w:val="left" w:pos="900"/>
              </w:tabs>
              <w:spacing w:line="216" w:lineRule="auto"/>
              <w:jc w:val="center"/>
              <w:rPr>
                <w:rFonts w:ascii="Times New Roman" w:eastAsia="Times New Roman" w:hAnsi="Times New Roman" w:cs="Times New Roman"/>
                <w:b/>
                <w:i/>
                <w:color w:val="000000"/>
                <w:sz w:val="24"/>
                <w:szCs w:val="24"/>
              </w:rPr>
            </w:pPr>
            <w:r>
              <w:rPr>
                <w:rFonts w:ascii="Times New Roman" w:eastAsia="Times New Roman" w:hAnsi="Times New Roman" w:cs="Times New Roman"/>
                <w:b/>
                <w:sz w:val="24"/>
                <w:szCs w:val="24"/>
              </w:rPr>
              <w:t xml:space="preserve">Зауваження та пропозиції до </w:t>
            </w:r>
            <w:proofErr w:type="spellStart"/>
            <w:r>
              <w:rPr>
                <w:rFonts w:ascii="Times New Roman" w:eastAsia="Times New Roman" w:hAnsi="Times New Roman" w:cs="Times New Roman"/>
                <w:b/>
                <w:sz w:val="24"/>
                <w:szCs w:val="24"/>
              </w:rPr>
              <w:t>проєкту</w:t>
            </w:r>
            <w:proofErr w:type="spellEnd"/>
            <w:r>
              <w:rPr>
                <w:rFonts w:ascii="Times New Roman" w:eastAsia="Times New Roman" w:hAnsi="Times New Roman" w:cs="Times New Roman"/>
                <w:b/>
                <w:sz w:val="24"/>
                <w:szCs w:val="24"/>
              </w:rPr>
              <w:t xml:space="preserve"> рішення НКРЕКП</w:t>
            </w:r>
          </w:p>
        </w:tc>
        <w:tc>
          <w:tcPr>
            <w:tcW w:w="4170" w:type="dxa"/>
          </w:tcPr>
          <w:p w:rsidR="00B674F8" w:rsidRDefault="009E3065">
            <w:pPr>
              <w:tabs>
                <w:tab w:val="left" w:pos="540"/>
              </w:tabs>
              <w:spacing w:line="216" w:lineRule="auto"/>
              <w:jc w:val="center"/>
              <w:rPr>
                <w:rFonts w:ascii="Times New Roman" w:eastAsia="Times New Roman" w:hAnsi="Times New Roman" w:cs="Times New Roman"/>
                <w:b/>
                <w:i/>
                <w:color w:val="000000"/>
                <w:sz w:val="24"/>
                <w:szCs w:val="24"/>
              </w:rPr>
            </w:pPr>
            <w:r>
              <w:rPr>
                <w:rFonts w:ascii="Times New Roman" w:eastAsia="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B674F8">
        <w:tc>
          <w:tcPr>
            <w:tcW w:w="15300" w:type="dxa"/>
            <w:gridSpan w:val="3"/>
            <w:shd w:val="clear" w:color="auto" w:fill="auto"/>
          </w:tcPr>
          <w:p w:rsidR="00B674F8" w:rsidRDefault="009E3065">
            <w:pPr>
              <w:tabs>
                <w:tab w:val="left" w:pos="540"/>
              </w:tabs>
              <w:spacing w:line="216" w:lineRule="auto"/>
              <w:jc w:val="center"/>
              <w:rPr>
                <w:rFonts w:ascii="Times New Roman" w:eastAsia="Times New Roman" w:hAnsi="Times New Roman" w:cs="Times New Roman"/>
                <w:b/>
                <w:sz w:val="24"/>
                <w:szCs w:val="24"/>
              </w:rPr>
            </w:pPr>
            <w:r>
              <w:rPr>
                <w:rFonts w:ascii="Times New Roman" w:eastAsia="Times New Roman" w:hAnsi="Times New Roman" w:cs="Times New Roman"/>
                <w:b/>
                <w:i/>
                <w:color w:val="000000"/>
                <w:sz w:val="24"/>
                <w:szCs w:val="24"/>
              </w:rPr>
              <w:t>ПОСТАНОВЛЯЮЧА ЧАСТИНА ПРОЄКТУ ПОСТАНОВИ</w:t>
            </w:r>
          </w:p>
        </w:tc>
      </w:tr>
      <w:tr w:rsidR="00B674F8">
        <w:tc>
          <w:tcPr>
            <w:tcW w:w="5460" w:type="dxa"/>
            <w:shd w:val="clear" w:color="auto" w:fill="auto"/>
          </w:tcPr>
          <w:p w:rsidR="00B674F8" w:rsidRDefault="009E3065">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7. Ця постанова набирає чинності з дня, наступного за днем її оприлюднення на офіційному </w:t>
            </w:r>
            <w:proofErr w:type="spellStart"/>
            <w:r>
              <w:rPr>
                <w:rFonts w:ascii="Times New Roman" w:eastAsia="Times New Roman" w:hAnsi="Times New Roman" w:cs="Times New Roman"/>
                <w:color w:val="000000"/>
                <w:sz w:val="24"/>
                <w:szCs w:val="24"/>
              </w:rPr>
              <w:t>вебсайті</w:t>
            </w:r>
            <w:proofErr w:type="spellEnd"/>
            <w:r>
              <w:rPr>
                <w:rFonts w:ascii="Times New Roman" w:eastAsia="Times New Roman" w:hAnsi="Times New Roman" w:cs="Times New Roman"/>
                <w:color w:val="000000"/>
                <w:sz w:val="24"/>
                <w:szCs w:val="24"/>
              </w:rPr>
              <w:t xml:space="preserve"> Національної комісії, що здійснює державне регулювання у сферах енергетики та комунальних послуг.</w:t>
            </w:r>
          </w:p>
          <w:p w:rsidR="00B674F8" w:rsidRDefault="00B674F8">
            <w:pPr>
              <w:spacing w:line="216" w:lineRule="auto"/>
              <w:jc w:val="center"/>
              <w:rPr>
                <w:rFonts w:ascii="Times New Roman" w:eastAsia="Times New Roman" w:hAnsi="Times New Roman" w:cs="Times New Roman"/>
                <w:b/>
                <w:sz w:val="24"/>
                <w:szCs w:val="24"/>
              </w:rPr>
            </w:pPr>
          </w:p>
        </w:tc>
        <w:tc>
          <w:tcPr>
            <w:tcW w:w="5670" w:type="dxa"/>
          </w:tcPr>
          <w:p w:rsidR="00B674F8" w:rsidRDefault="009E3065">
            <w:pPr>
              <w:tabs>
                <w:tab w:val="left" w:pos="900"/>
              </w:tabs>
              <w:spacing w:line="216"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ТОВ «Оператор ГТС України»</w:t>
            </w:r>
          </w:p>
          <w:p w:rsidR="00B674F8" w:rsidRDefault="009E3065">
            <w:pPr>
              <w:spacing w:line="216" w:lineRule="auto"/>
              <w:ind w:firstLine="539"/>
              <w:jc w:val="both"/>
              <w:rPr>
                <w:rFonts w:ascii="Times New Roman" w:eastAsia="Times New Roman" w:hAnsi="Times New Roman" w:cs="Times New Roman"/>
                <w:b/>
                <w:sz w:val="24"/>
                <w:szCs w:val="24"/>
              </w:rPr>
            </w:pPr>
            <w:r>
              <w:rPr>
                <w:rFonts w:ascii="Times New Roman" w:eastAsia="Times New Roman" w:hAnsi="Times New Roman" w:cs="Times New Roman"/>
                <w:b/>
                <w:color w:val="333333"/>
                <w:sz w:val="24"/>
                <w:szCs w:val="24"/>
              </w:rPr>
              <w:t xml:space="preserve">7. </w:t>
            </w:r>
            <w:r>
              <w:rPr>
                <w:rFonts w:ascii="Times New Roman" w:eastAsia="Times New Roman" w:hAnsi="Times New Roman" w:cs="Times New Roman"/>
                <w:b/>
                <w:sz w:val="24"/>
                <w:szCs w:val="24"/>
              </w:rPr>
              <w:t>Розподіл потужності для періодів газового року 2024/2025 здійснюється відповідно до положень Кодексу газотранспортної системи в редакції, що діяла до дня набрання чинності цією постановою.</w:t>
            </w:r>
          </w:p>
          <w:p w:rsidR="00B674F8" w:rsidRDefault="009E3065">
            <w:pPr>
              <w:spacing w:line="216" w:lineRule="auto"/>
              <w:ind w:firstLine="539"/>
              <w:jc w:val="both"/>
              <w:rPr>
                <w:rFonts w:ascii="Times New Roman" w:eastAsia="Times New Roman" w:hAnsi="Times New Roman" w:cs="Times New Roman"/>
                <w:b/>
                <w:sz w:val="32"/>
                <w:szCs w:val="32"/>
              </w:rPr>
            </w:pPr>
            <w:r>
              <w:rPr>
                <w:rFonts w:ascii="Times New Roman" w:eastAsia="Times New Roman" w:hAnsi="Times New Roman" w:cs="Times New Roman"/>
                <w:b/>
                <w:strike/>
                <w:sz w:val="24"/>
                <w:szCs w:val="24"/>
              </w:rPr>
              <w:t>7</w:t>
            </w:r>
            <w:r>
              <w:rPr>
                <w:rFonts w:ascii="Times New Roman" w:eastAsia="Times New Roman" w:hAnsi="Times New Roman" w:cs="Times New Roman"/>
                <w:b/>
                <w:sz w:val="24"/>
                <w:szCs w:val="24"/>
              </w:rPr>
              <w:t xml:space="preserve">8. </w:t>
            </w:r>
            <w:r>
              <w:rPr>
                <w:rFonts w:ascii="Times New Roman" w:eastAsia="Times New Roman" w:hAnsi="Times New Roman" w:cs="Times New Roman"/>
                <w:sz w:val="24"/>
                <w:szCs w:val="24"/>
              </w:rPr>
              <w:t xml:space="preserve">Ця постанова набирає чинності з дня, наступного за днем її оприлюднення на офіційному </w:t>
            </w:r>
            <w:proofErr w:type="spellStart"/>
            <w:r>
              <w:rPr>
                <w:rFonts w:ascii="Times New Roman" w:eastAsia="Times New Roman" w:hAnsi="Times New Roman" w:cs="Times New Roman"/>
                <w:sz w:val="24"/>
                <w:szCs w:val="24"/>
              </w:rPr>
              <w:t>вебсайті</w:t>
            </w:r>
            <w:proofErr w:type="spellEnd"/>
            <w:r>
              <w:rPr>
                <w:rFonts w:ascii="Times New Roman" w:eastAsia="Times New Roman" w:hAnsi="Times New Roman" w:cs="Times New Roman"/>
                <w:sz w:val="24"/>
                <w:szCs w:val="24"/>
              </w:rPr>
              <w:t xml:space="preserve"> Національної комісії, що здійснює державне регулювання у сферах енергетики та комунальних послуг</w:t>
            </w:r>
            <w:r>
              <w:rPr>
                <w:rFonts w:ascii="Times New Roman" w:eastAsia="Times New Roman" w:hAnsi="Times New Roman" w:cs="Times New Roman"/>
                <w:b/>
                <w:sz w:val="24"/>
                <w:szCs w:val="24"/>
              </w:rPr>
              <w:t>, крім положень пункту 2 Змін до Кодексу ГТС, які набирають чинності з 01 січня 2026 року</w:t>
            </w:r>
            <w:r>
              <w:rPr>
                <w:rFonts w:ascii="Times New Roman" w:eastAsia="Times New Roman" w:hAnsi="Times New Roman" w:cs="Times New Roman"/>
                <w:sz w:val="24"/>
                <w:szCs w:val="24"/>
              </w:rPr>
              <w:t>.</w:t>
            </w:r>
          </w:p>
          <w:p w:rsidR="00B674F8" w:rsidRDefault="00B674F8">
            <w:pPr>
              <w:spacing w:line="216" w:lineRule="auto"/>
              <w:ind w:firstLine="539"/>
              <w:jc w:val="center"/>
              <w:rPr>
                <w:rFonts w:ascii="Times New Roman" w:eastAsia="Times New Roman" w:hAnsi="Times New Roman" w:cs="Times New Roman"/>
                <w:b/>
                <w:sz w:val="24"/>
                <w:szCs w:val="24"/>
              </w:rPr>
            </w:pPr>
          </w:p>
          <w:p w:rsidR="00B674F8" w:rsidRDefault="009E3065">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B674F8" w:rsidRDefault="009E3065">
            <w:pPr>
              <w:spacing w:line="216" w:lineRule="auto"/>
              <w:ind w:firstLine="5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Пропонуємо встановити, що розподіл потужності з обмеженнями на (нових) умовах, визначених цими Змінами, буде здійснюватися починаючи з першої газової доби газового року 2025/2026, аналогічно як було впроваджено постановою НКРЕКП від 11.02.2020 № 370 аукціонний принцип розподілу потужності на міждержавних з'єднаннях.</w:t>
            </w:r>
          </w:p>
          <w:p w:rsidR="00B674F8" w:rsidRDefault="009E3065">
            <w:pPr>
              <w:spacing w:line="216" w:lineRule="auto"/>
              <w:ind w:firstLine="53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Пропонуємо відтермінувати дату набрання чинності положень пункту 2 Змін (пункт 14 глави 1 розділу ІІІ Кодексу ГТС у редакції Змін), оскільки виконання відповідних вимог потребує розробки нових алгоритмів роботи програмних засобів.</w:t>
            </w:r>
          </w:p>
        </w:tc>
        <w:tc>
          <w:tcPr>
            <w:tcW w:w="4170" w:type="dxa"/>
          </w:tcPr>
          <w:p w:rsidR="00B674F8" w:rsidRDefault="009E3065">
            <w:pPr>
              <w:tabs>
                <w:tab w:val="left" w:pos="540"/>
              </w:tabs>
              <w:spacing w:line="21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Потребує обговорення</w:t>
            </w:r>
          </w:p>
          <w:p w:rsidR="00B674F8" w:rsidRDefault="00B674F8">
            <w:pPr>
              <w:tabs>
                <w:tab w:val="left" w:pos="540"/>
              </w:tabs>
              <w:spacing w:line="216" w:lineRule="auto"/>
              <w:jc w:val="center"/>
              <w:rPr>
                <w:rFonts w:ascii="Times New Roman" w:eastAsia="Times New Roman" w:hAnsi="Times New Roman" w:cs="Times New Roman"/>
                <w:b/>
                <w:sz w:val="24"/>
                <w:szCs w:val="24"/>
              </w:rPr>
            </w:pPr>
          </w:p>
        </w:tc>
      </w:tr>
      <w:tr w:rsidR="00B674F8">
        <w:tc>
          <w:tcPr>
            <w:tcW w:w="15300" w:type="dxa"/>
            <w:gridSpan w:val="3"/>
            <w:shd w:val="clear" w:color="auto" w:fill="auto"/>
          </w:tcPr>
          <w:p w:rsidR="00B674F8" w:rsidRDefault="009E3065">
            <w:pPr>
              <w:spacing w:line="216" w:lineRule="auto"/>
              <w:jc w:val="center"/>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КОДЕКС ГАЗОТРАНСПОРТНОЇ СИСТЕМИ</w:t>
            </w:r>
          </w:p>
        </w:tc>
      </w:tr>
      <w:tr w:rsidR="00B674F8">
        <w:tc>
          <w:tcPr>
            <w:tcW w:w="15300" w:type="dxa"/>
            <w:gridSpan w:val="3"/>
            <w:shd w:val="clear" w:color="auto" w:fill="auto"/>
          </w:tcPr>
          <w:p w:rsidR="00B674F8" w:rsidRDefault="009E3065">
            <w:pPr>
              <w:spacing w:line="21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ІІІ Норми якості, фізико-хімічні показники та інші характеристики природного газу, правила обліку та документальне оформлення приймання-передачі природного газу</w:t>
            </w:r>
          </w:p>
        </w:tc>
      </w:tr>
      <w:tr w:rsidR="00B674F8">
        <w:tc>
          <w:tcPr>
            <w:tcW w:w="15300" w:type="dxa"/>
            <w:gridSpan w:val="3"/>
            <w:tcBorders>
              <w:bottom w:val="single" w:sz="4" w:space="0" w:color="000000"/>
            </w:tcBorders>
            <w:shd w:val="clear" w:color="auto" w:fill="auto"/>
          </w:tcPr>
          <w:p w:rsidR="00B674F8" w:rsidRDefault="009E3065">
            <w:pPr>
              <w:spacing w:line="21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 Норми якості, фізико-хімічні показники та інші характеристики природного газу, що допускається до транспортування в газотранспортній системі</w:t>
            </w:r>
          </w:p>
        </w:tc>
      </w:tr>
      <w:tr w:rsidR="00B674F8">
        <w:tc>
          <w:tcPr>
            <w:tcW w:w="5460" w:type="dxa"/>
            <w:tcBorders>
              <w:top w:val="single" w:sz="4" w:space="0" w:color="000000"/>
              <w:left w:val="single" w:sz="4" w:space="0" w:color="000000"/>
              <w:bottom w:val="nil"/>
              <w:right w:val="single" w:sz="4" w:space="0" w:color="000000"/>
            </w:tcBorders>
            <w:shd w:val="clear" w:color="auto" w:fill="auto"/>
          </w:tcPr>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14. ФХП у точках входу та виходу на міждержавних з’єднаннях повинні відповідати вимогам зовнішньоекономічних договорів, угодам про взаємодію та вимогам пункту 13 цієї глави.</w:t>
            </w:r>
          </w:p>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Оператор газотранспортної системи щогодини зобов’язаний публікувати на своєму </w:t>
            </w:r>
            <w:proofErr w:type="spellStart"/>
            <w:r>
              <w:rPr>
                <w:rFonts w:ascii="Times New Roman" w:eastAsia="Times New Roman" w:hAnsi="Times New Roman" w:cs="Times New Roman"/>
                <w:b/>
                <w:color w:val="000000"/>
                <w:sz w:val="24"/>
                <w:szCs w:val="24"/>
              </w:rPr>
              <w:t>вебсайті</w:t>
            </w:r>
            <w:proofErr w:type="spellEnd"/>
            <w:r>
              <w:rPr>
                <w:rFonts w:ascii="Times New Roman" w:eastAsia="Times New Roman" w:hAnsi="Times New Roman" w:cs="Times New Roman"/>
                <w:b/>
                <w:color w:val="000000"/>
                <w:sz w:val="24"/>
                <w:szCs w:val="24"/>
              </w:rPr>
              <w:t xml:space="preserve"> значення числа </w:t>
            </w:r>
            <w:proofErr w:type="spellStart"/>
            <w:r>
              <w:rPr>
                <w:rFonts w:ascii="Times New Roman" w:eastAsia="Times New Roman" w:hAnsi="Times New Roman" w:cs="Times New Roman"/>
                <w:b/>
                <w:color w:val="000000"/>
                <w:sz w:val="24"/>
                <w:szCs w:val="24"/>
              </w:rPr>
              <w:t>Воббе</w:t>
            </w:r>
            <w:proofErr w:type="spellEnd"/>
            <w:r>
              <w:rPr>
                <w:rFonts w:ascii="Times New Roman" w:eastAsia="Times New Roman" w:hAnsi="Times New Roman" w:cs="Times New Roman"/>
                <w:b/>
                <w:color w:val="000000"/>
                <w:sz w:val="24"/>
                <w:szCs w:val="24"/>
              </w:rPr>
              <w:t xml:space="preserve"> та вищої теплоти згорання для кожної точки входу/виходу на міждержавному з'єднанні.</w:t>
            </w:r>
          </w:p>
          <w:p w:rsidR="00B674F8" w:rsidRDefault="00B674F8">
            <w:pPr>
              <w:spacing w:line="216" w:lineRule="auto"/>
              <w:ind w:firstLine="709"/>
              <w:jc w:val="both"/>
              <w:rPr>
                <w:rFonts w:ascii="Times New Roman" w:eastAsia="Times New Roman" w:hAnsi="Times New Roman" w:cs="Times New Roman"/>
                <w:b/>
                <w:color w:val="000000"/>
                <w:sz w:val="24"/>
                <w:szCs w:val="24"/>
              </w:rPr>
            </w:pPr>
          </w:p>
        </w:tc>
        <w:tc>
          <w:tcPr>
            <w:tcW w:w="5670" w:type="dxa"/>
            <w:tcBorders>
              <w:top w:val="single" w:sz="4" w:space="0" w:color="000000"/>
              <w:left w:val="single" w:sz="4" w:space="0" w:color="000000"/>
              <w:bottom w:val="nil"/>
              <w:right w:val="single" w:sz="4" w:space="0" w:color="000000"/>
            </w:tcBorders>
          </w:tcPr>
          <w:p w:rsidR="00B674F8" w:rsidRDefault="009E3065">
            <w:pPr>
              <w:spacing w:line="216" w:lineRule="auto"/>
              <w:ind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ТОВ «Оператор ГТС України»</w:t>
            </w:r>
          </w:p>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14 …</w:t>
            </w:r>
          </w:p>
          <w:p w:rsidR="00B674F8" w:rsidRDefault="009E3065">
            <w:pPr>
              <w:spacing w:line="216" w:lineRule="auto"/>
              <w:ind w:firstLine="709"/>
              <w:jc w:val="both"/>
              <w:rPr>
                <w:rFonts w:ascii="Times New Roman" w:eastAsia="Times New Roman" w:hAnsi="Times New Roman" w:cs="Times New Roman"/>
                <w:b/>
                <w:color w:val="FF0000"/>
                <w:sz w:val="24"/>
                <w:szCs w:val="24"/>
              </w:rPr>
            </w:pPr>
            <w:r>
              <w:rPr>
                <w:rFonts w:ascii="Times New Roman" w:eastAsia="Times New Roman" w:hAnsi="Times New Roman" w:cs="Times New Roman"/>
                <w:color w:val="000000"/>
                <w:sz w:val="24"/>
                <w:szCs w:val="24"/>
              </w:rPr>
              <w:t xml:space="preserve">Оператор газотранспортної системи </w:t>
            </w:r>
            <w:r>
              <w:rPr>
                <w:rFonts w:ascii="Times New Roman" w:eastAsia="Times New Roman" w:hAnsi="Times New Roman" w:cs="Times New Roman"/>
                <w:sz w:val="24"/>
                <w:szCs w:val="24"/>
              </w:rPr>
              <w:t>щогодини зобов’язаний публікувати</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на </w:t>
            </w:r>
            <w:proofErr w:type="spellStart"/>
            <w:r>
              <w:rPr>
                <w:rFonts w:ascii="Times New Roman" w:eastAsia="Times New Roman" w:hAnsi="Times New Roman" w:cs="Times New Roman"/>
                <w:b/>
                <w:sz w:val="24"/>
                <w:szCs w:val="24"/>
              </w:rPr>
              <w:t>вебсайті</w:t>
            </w:r>
            <w:proofErr w:type="spellEnd"/>
            <w:r>
              <w:rPr>
                <w:rFonts w:ascii="Times New Roman" w:eastAsia="Times New Roman" w:hAnsi="Times New Roman" w:cs="Times New Roman"/>
                <w:b/>
                <w:sz w:val="24"/>
                <w:szCs w:val="24"/>
              </w:rPr>
              <w:t xml:space="preserve"> ENTSOG та/або </w:t>
            </w:r>
            <w:r>
              <w:rPr>
                <w:rFonts w:ascii="Times New Roman" w:eastAsia="Times New Roman" w:hAnsi="Times New Roman" w:cs="Times New Roman"/>
                <w:sz w:val="24"/>
                <w:szCs w:val="24"/>
              </w:rPr>
              <w:t xml:space="preserve">своєму </w:t>
            </w:r>
            <w:proofErr w:type="spellStart"/>
            <w:r>
              <w:rPr>
                <w:rFonts w:ascii="Times New Roman" w:eastAsia="Times New Roman" w:hAnsi="Times New Roman" w:cs="Times New Roman"/>
                <w:sz w:val="24"/>
                <w:szCs w:val="24"/>
              </w:rPr>
              <w:t>вебсайті</w:t>
            </w:r>
            <w:proofErr w:type="spellEnd"/>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sz w:val="24"/>
                <w:szCs w:val="24"/>
              </w:rPr>
              <w:t xml:space="preserve">значення числа </w:t>
            </w:r>
            <w:proofErr w:type="spellStart"/>
            <w:r>
              <w:rPr>
                <w:rFonts w:ascii="Times New Roman" w:eastAsia="Times New Roman" w:hAnsi="Times New Roman" w:cs="Times New Roman"/>
                <w:sz w:val="24"/>
                <w:szCs w:val="24"/>
              </w:rPr>
              <w:t>Воббе</w:t>
            </w:r>
            <w:proofErr w:type="spellEnd"/>
            <w:r>
              <w:rPr>
                <w:rFonts w:ascii="Times New Roman" w:eastAsia="Times New Roman" w:hAnsi="Times New Roman" w:cs="Times New Roman"/>
                <w:sz w:val="24"/>
                <w:szCs w:val="24"/>
              </w:rPr>
              <w:t xml:space="preserve"> та вищої теплоти згорання для</w:t>
            </w:r>
            <w:r>
              <w:rPr>
                <w:rFonts w:ascii="Times New Roman" w:eastAsia="Times New Roman" w:hAnsi="Times New Roman" w:cs="Times New Roman"/>
                <w:b/>
                <w:sz w:val="24"/>
                <w:szCs w:val="24"/>
              </w:rPr>
              <w:t xml:space="preserve"> </w:t>
            </w:r>
            <w:r>
              <w:rPr>
                <w:rFonts w:ascii="Times New Roman" w:eastAsia="Times New Roman" w:hAnsi="Times New Roman" w:cs="Times New Roman"/>
                <w:b/>
                <w:strike/>
                <w:sz w:val="24"/>
                <w:szCs w:val="24"/>
              </w:rPr>
              <w:t xml:space="preserve">кожної точки </w:t>
            </w:r>
            <w:r>
              <w:rPr>
                <w:rFonts w:ascii="Times New Roman" w:eastAsia="Times New Roman" w:hAnsi="Times New Roman" w:cs="Times New Roman"/>
                <w:b/>
                <w:sz w:val="24"/>
                <w:szCs w:val="24"/>
              </w:rPr>
              <w:t xml:space="preserve">точок </w:t>
            </w:r>
            <w:r>
              <w:rPr>
                <w:rFonts w:ascii="Times New Roman" w:eastAsia="Times New Roman" w:hAnsi="Times New Roman" w:cs="Times New Roman"/>
                <w:sz w:val="24"/>
                <w:szCs w:val="24"/>
              </w:rPr>
              <w:t>входу/виходу на міждержавному з'єднанні</w:t>
            </w:r>
            <w:r>
              <w:rPr>
                <w:rFonts w:ascii="Times New Roman" w:eastAsia="Times New Roman" w:hAnsi="Times New Roman" w:cs="Times New Roman"/>
                <w:b/>
                <w:sz w:val="24"/>
                <w:szCs w:val="24"/>
              </w:rPr>
              <w:t>, за умови, що оператор газотранспортної системи здійснює експлуатацію газовимірювальної станції (відповідного вузла обліку газу) на підставах, передбачених законодавством.</w:t>
            </w:r>
          </w:p>
          <w:p w:rsidR="00B674F8" w:rsidRDefault="009E3065">
            <w:pPr>
              <w:spacing w:line="216"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У випадку, якщо експлуатацію газовимірювальної станції (відповідного вузла обліку газу) здійснює оператор суміжної газотранспортної системи, оператор газотранспортної системи публікує на власному </w:t>
            </w:r>
            <w:proofErr w:type="spellStart"/>
            <w:r>
              <w:rPr>
                <w:rFonts w:ascii="Times New Roman" w:eastAsia="Times New Roman" w:hAnsi="Times New Roman" w:cs="Times New Roman"/>
                <w:b/>
                <w:sz w:val="24"/>
                <w:szCs w:val="24"/>
              </w:rPr>
              <w:t>вебсайті</w:t>
            </w:r>
            <w:proofErr w:type="spellEnd"/>
            <w:r>
              <w:rPr>
                <w:rFonts w:ascii="Times New Roman" w:eastAsia="Times New Roman" w:hAnsi="Times New Roman" w:cs="Times New Roman"/>
                <w:b/>
                <w:sz w:val="24"/>
                <w:szCs w:val="24"/>
              </w:rPr>
              <w:t xml:space="preserve"> посилання на веб-сторінку, на якій розміщена відповідна інформація.</w:t>
            </w:r>
          </w:p>
          <w:p w:rsidR="00B674F8" w:rsidRDefault="00B674F8">
            <w:pPr>
              <w:spacing w:line="216" w:lineRule="auto"/>
              <w:ind w:firstLine="709"/>
              <w:jc w:val="both"/>
              <w:rPr>
                <w:rFonts w:ascii="Times New Roman" w:eastAsia="Times New Roman" w:hAnsi="Times New Roman" w:cs="Times New Roman"/>
                <w:b/>
                <w:color w:val="000000"/>
                <w:sz w:val="24"/>
                <w:szCs w:val="24"/>
                <w:u w:val="single"/>
              </w:rPr>
            </w:pPr>
          </w:p>
          <w:p w:rsidR="00B674F8" w:rsidRDefault="009E3065">
            <w:pPr>
              <w:spacing w:line="216"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 зв'язку з тим, що згідно з умовами укладених угод про взаємодію для цілей </w:t>
            </w:r>
            <w:proofErr w:type="spellStart"/>
            <w:r>
              <w:rPr>
                <w:rFonts w:ascii="Times New Roman" w:eastAsia="Times New Roman" w:hAnsi="Times New Roman" w:cs="Times New Roman"/>
                <w:color w:val="000000"/>
                <w:sz w:val="24"/>
                <w:szCs w:val="24"/>
              </w:rPr>
              <w:t>газовимірювання</w:t>
            </w:r>
            <w:proofErr w:type="spellEnd"/>
            <w:r>
              <w:rPr>
                <w:rFonts w:ascii="Times New Roman" w:eastAsia="Times New Roman" w:hAnsi="Times New Roman" w:cs="Times New Roman"/>
                <w:color w:val="000000"/>
                <w:sz w:val="24"/>
                <w:szCs w:val="24"/>
              </w:rPr>
              <w:t>, зокрема і визначення ФХП, визначено застосування як ГВС (ВОГ), які експлуатуються ТОВ «Оператор ГТС України» на підставі договору про передачу на праві господарського відання державного майна, що перебуває в державній власності та використовується у процесі провадження діяльності з транспортування природного газу магістральними трубопроводами, так і ГВС (ВОГ), які експлуатуються операторами суміжних ГТС, та, відповідно, ТОВ «Оператор ГТС України» не має у своєму розпорядженні відповідної інформації по певним точкам міждержавного з'єднання, яка б була отримана за допомогою обладнання, яке експлуатується ТОВ «Оператор ГТС України».</w:t>
            </w:r>
          </w:p>
          <w:p w:rsidR="00B674F8" w:rsidRDefault="009E3065">
            <w:pPr>
              <w:spacing w:line="216" w:lineRule="auto"/>
              <w:ind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color w:val="000000"/>
                <w:sz w:val="24"/>
                <w:szCs w:val="24"/>
              </w:rPr>
              <w:t xml:space="preserve">Така інформація може бути отримана від оператора суміжної ГТС за умови її оприлюднення таким оператором суміжної ГТС на своєму </w:t>
            </w:r>
            <w:proofErr w:type="spellStart"/>
            <w:r>
              <w:rPr>
                <w:rFonts w:ascii="Times New Roman" w:eastAsia="Times New Roman" w:hAnsi="Times New Roman" w:cs="Times New Roman"/>
                <w:color w:val="000000"/>
                <w:sz w:val="24"/>
                <w:szCs w:val="24"/>
              </w:rPr>
              <w:t>вебсайті</w:t>
            </w:r>
            <w:proofErr w:type="spellEnd"/>
            <w:r>
              <w:rPr>
                <w:rFonts w:ascii="Times New Roman" w:eastAsia="Times New Roman" w:hAnsi="Times New Roman" w:cs="Times New Roman"/>
                <w:color w:val="000000"/>
                <w:sz w:val="24"/>
                <w:szCs w:val="24"/>
              </w:rPr>
              <w:t xml:space="preserve"> на виконання положень Додатку І до Регламенту (ЄС) 2024/1789.</w:t>
            </w:r>
          </w:p>
        </w:tc>
        <w:tc>
          <w:tcPr>
            <w:tcW w:w="4170" w:type="dxa"/>
            <w:tcBorders>
              <w:top w:val="single" w:sz="4" w:space="0" w:color="000000"/>
              <w:left w:val="single" w:sz="4" w:space="0" w:color="000000"/>
              <w:bottom w:val="nil"/>
              <w:right w:val="single" w:sz="4" w:space="0" w:color="000000"/>
            </w:tcBorders>
          </w:tcPr>
          <w:p w:rsidR="00B674F8" w:rsidRDefault="009E3065">
            <w:pPr>
              <w:spacing w:line="216"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B674F8" w:rsidRDefault="009E3065">
            <w:pPr>
              <w:spacing w:line="216"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Протирічить Регламенту ЄС 2015/703, який вимагає публікацію даних на </w:t>
            </w:r>
            <w:proofErr w:type="spellStart"/>
            <w:r>
              <w:rPr>
                <w:rFonts w:ascii="Times New Roman" w:eastAsia="Times New Roman" w:hAnsi="Times New Roman" w:cs="Times New Roman"/>
                <w:sz w:val="24"/>
                <w:szCs w:val="24"/>
              </w:rPr>
              <w:t>вебсайті</w:t>
            </w:r>
            <w:proofErr w:type="spellEnd"/>
            <w:r>
              <w:rPr>
                <w:rFonts w:ascii="Times New Roman" w:eastAsia="Times New Roman" w:hAnsi="Times New Roman" w:cs="Times New Roman"/>
                <w:sz w:val="24"/>
                <w:szCs w:val="24"/>
              </w:rPr>
              <w:t xml:space="preserve"> оператора та по кожній точці входу/виходу.</w:t>
            </w:r>
            <w:r>
              <w:rPr>
                <w:rFonts w:ascii="Times New Roman" w:eastAsia="Times New Roman" w:hAnsi="Times New Roman" w:cs="Times New Roman"/>
                <w:b/>
                <w:sz w:val="24"/>
                <w:szCs w:val="24"/>
              </w:rPr>
              <w:t xml:space="preserve"> </w:t>
            </w:r>
          </w:p>
        </w:tc>
      </w:tr>
      <w:tr w:rsidR="00B674F8">
        <w:tc>
          <w:tcPr>
            <w:tcW w:w="15300" w:type="dxa"/>
            <w:gridSpan w:val="3"/>
            <w:tcBorders>
              <w:top w:val="single" w:sz="4" w:space="0" w:color="000000"/>
              <w:left w:val="single" w:sz="4" w:space="0" w:color="000000"/>
              <w:bottom w:val="nil"/>
              <w:right w:val="single" w:sz="4" w:space="0" w:color="000000"/>
            </w:tcBorders>
          </w:tcPr>
          <w:p w:rsidR="00B674F8" w:rsidRDefault="009E3065">
            <w:pPr>
              <w:spacing w:line="216" w:lineRule="auto"/>
              <w:jc w:val="center"/>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b/>
                <w:color w:val="000000"/>
                <w:sz w:val="24"/>
                <w:szCs w:val="24"/>
                <w:highlight w:val="white"/>
              </w:rPr>
              <w:t>IX. Розподіл потужності</w:t>
            </w:r>
          </w:p>
        </w:tc>
      </w:tr>
      <w:tr w:rsidR="00B674F8">
        <w:tc>
          <w:tcPr>
            <w:tcW w:w="15300" w:type="dxa"/>
            <w:gridSpan w:val="3"/>
            <w:tcBorders>
              <w:top w:val="single" w:sz="4" w:space="0" w:color="000000"/>
            </w:tcBorders>
          </w:tcPr>
          <w:p w:rsidR="00B674F8" w:rsidRDefault="009E3065">
            <w:pPr>
              <w:spacing w:line="216" w:lineRule="auto"/>
              <w:jc w:val="center"/>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b/>
                <w:color w:val="000000"/>
                <w:sz w:val="24"/>
                <w:szCs w:val="24"/>
                <w:highlight w:val="white"/>
              </w:rPr>
              <w:t>3. Заявка на розподіл потужності</w:t>
            </w:r>
          </w:p>
        </w:tc>
      </w:tr>
      <w:tr w:rsidR="00B674F8">
        <w:tc>
          <w:tcPr>
            <w:tcW w:w="5460" w:type="dxa"/>
            <w:tcBorders>
              <w:top w:val="single" w:sz="4" w:space="0" w:color="000000"/>
            </w:tcBorders>
          </w:tcPr>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1. Замовник послуг транспортування, який має намір замовити (забронювати) потужність (крім потужності на добу наперед/протягом доби) в певній точці входу до газотранспортної системи та/або точці виходу з газотранспортної системи, крім точок міждержавного з’єднання, </w:t>
            </w:r>
            <w:r>
              <w:rPr>
                <w:rFonts w:ascii="Times New Roman" w:eastAsia="Times New Roman" w:hAnsi="Times New Roman" w:cs="Times New Roman"/>
                <w:b/>
                <w:color w:val="000000"/>
                <w:sz w:val="24"/>
                <w:szCs w:val="24"/>
              </w:rPr>
              <w:t>подає у строки, визначені цим Кодексом, оператору газотранспортної системи заявку на розподіл потужності за формою, визначеною додатком до договору транспортування природного газу.</w:t>
            </w:r>
          </w:p>
          <w:p w:rsidR="00B674F8" w:rsidRDefault="009E3065">
            <w:pPr>
              <w:spacing w:line="216" w:lineRule="auto"/>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color w:val="000000"/>
                <w:sz w:val="24"/>
                <w:szCs w:val="24"/>
              </w:rPr>
              <w:t>Заявка на розподіл потужності надається замовником послуг транспортування через інформаційну платформу з накладенням кваліфікованого електронного підпису уповноваженої особи та/або кваліфікованої електронної печатки.</w:t>
            </w:r>
          </w:p>
        </w:tc>
        <w:tc>
          <w:tcPr>
            <w:tcW w:w="5670" w:type="dxa"/>
            <w:tcBorders>
              <w:top w:val="single" w:sz="4" w:space="0" w:color="000000"/>
            </w:tcBorders>
          </w:tcPr>
          <w:p w:rsidR="00B674F8" w:rsidRDefault="009E3065">
            <w:pPr>
              <w:spacing w:line="216" w:lineRule="auto"/>
              <w:ind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ТОВ «Оператор ГТС України»</w:t>
            </w:r>
          </w:p>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w:t>
            </w:r>
          </w:p>
          <w:p w:rsidR="00B674F8" w:rsidRDefault="009E3065">
            <w:pPr>
              <w:spacing w:line="216" w:lineRule="auto"/>
              <w:ind w:firstLine="709"/>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 xml:space="preserve">Заявка на розподіл потужності надається замовником послуг транспортування через інформаційну платформу з накладенням </w:t>
            </w:r>
            <w:r>
              <w:rPr>
                <w:rFonts w:ascii="Times New Roman" w:eastAsia="Times New Roman" w:hAnsi="Times New Roman" w:cs="Times New Roman"/>
                <w:b/>
                <w:strike/>
                <w:color w:val="000000"/>
                <w:sz w:val="24"/>
                <w:szCs w:val="24"/>
              </w:rPr>
              <w:t xml:space="preserve">кваліфікованого </w:t>
            </w:r>
            <w:r>
              <w:rPr>
                <w:rFonts w:ascii="Times New Roman" w:eastAsia="Times New Roman" w:hAnsi="Times New Roman" w:cs="Times New Roman"/>
                <w:color w:val="000000"/>
                <w:sz w:val="24"/>
                <w:szCs w:val="24"/>
              </w:rPr>
              <w:t xml:space="preserve">електронного підпису уповноваженої особи та/або </w:t>
            </w:r>
            <w:r>
              <w:rPr>
                <w:rFonts w:ascii="Times New Roman" w:eastAsia="Times New Roman" w:hAnsi="Times New Roman" w:cs="Times New Roman"/>
                <w:b/>
                <w:strike/>
                <w:color w:val="000000"/>
                <w:sz w:val="24"/>
                <w:szCs w:val="24"/>
              </w:rPr>
              <w:t xml:space="preserve">кваліфікованої </w:t>
            </w:r>
            <w:r>
              <w:rPr>
                <w:rFonts w:ascii="Times New Roman" w:eastAsia="Times New Roman" w:hAnsi="Times New Roman" w:cs="Times New Roman"/>
                <w:color w:val="000000"/>
                <w:sz w:val="24"/>
                <w:szCs w:val="24"/>
              </w:rPr>
              <w:t>електронної печатки.</w:t>
            </w:r>
          </w:p>
          <w:p w:rsidR="00B674F8" w:rsidRDefault="00B674F8">
            <w:pPr>
              <w:spacing w:line="216" w:lineRule="auto"/>
              <w:ind w:firstLine="709"/>
              <w:jc w:val="both"/>
              <w:rPr>
                <w:rFonts w:ascii="Times New Roman" w:eastAsia="Times New Roman" w:hAnsi="Times New Roman" w:cs="Times New Roman"/>
                <w:color w:val="000000"/>
                <w:sz w:val="24"/>
                <w:szCs w:val="24"/>
              </w:rPr>
            </w:pPr>
          </w:p>
          <w:p w:rsidR="00B674F8" w:rsidRDefault="009E3065">
            <w:pPr>
              <w:spacing w:line="216"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Пропонується спростити вимоги до електронного підпису через більшу поширеність удосконаленого електронного підпису.</w:t>
            </w:r>
          </w:p>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Згідно з положеннями Закону України «Про електронні довірчі послуги»:</w:t>
            </w:r>
          </w:p>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електронний підпис - електронні дані, що додаються до інших електронних даних або </w:t>
            </w:r>
            <w:proofErr w:type="spellStart"/>
            <w:r>
              <w:rPr>
                <w:rFonts w:ascii="Times New Roman" w:eastAsia="Times New Roman" w:hAnsi="Times New Roman" w:cs="Times New Roman"/>
                <w:color w:val="000000"/>
                <w:sz w:val="24"/>
                <w:szCs w:val="24"/>
              </w:rPr>
              <w:t>логічно</w:t>
            </w:r>
            <w:proofErr w:type="spellEnd"/>
            <w:r>
              <w:rPr>
                <w:rFonts w:ascii="Times New Roman" w:eastAsia="Times New Roman" w:hAnsi="Times New Roman" w:cs="Times New Roman"/>
                <w:color w:val="000000"/>
                <w:sz w:val="24"/>
                <w:szCs w:val="24"/>
              </w:rPr>
              <w:t xml:space="preserve"> з ними пов’язуються і використовуються </w:t>
            </w:r>
            <w:proofErr w:type="spellStart"/>
            <w:r>
              <w:rPr>
                <w:rFonts w:ascii="Times New Roman" w:eastAsia="Times New Roman" w:hAnsi="Times New Roman" w:cs="Times New Roman"/>
                <w:color w:val="000000"/>
                <w:sz w:val="24"/>
                <w:szCs w:val="24"/>
              </w:rPr>
              <w:t>підписувачем</w:t>
            </w:r>
            <w:proofErr w:type="spellEnd"/>
            <w:r>
              <w:rPr>
                <w:rFonts w:ascii="Times New Roman" w:eastAsia="Times New Roman" w:hAnsi="Times New Roman" w:cs="Times New Roman"/>
                <w:color w:val="000000"/>
                <w:sz w:val="24"/>
                <w:szCs w:val="24"/>
              </w:rPr>
              <w:t xml:space="preserve"> як підпис (пункт 15 частини першої статті 1 вищевказаного Закону);</w:t>
            </w:r>
          </w:p>
          <w:p w:rsidR="00B674F8" w:rsidRDefault="009E3065">
            <w:pPr>
              <w:spacing w:line="216" w:lineRule="auto"/>
              <w:ind w:firstLine="709"/>
              <w:jc w:val="both"/>
              <w:rPr>
                <w:rFonts w:ascii="Times New Roman" w:eastAsia="Times New Roman" w:hAnsi="Times New Roman" w:cs="Times New Roman"/>
                <w:b/>
                <w:sz w:val="32"/>
                <w:szCs w:val="32"/>
              </w:rPr>
            </w:pPr>
            <w:r>
              <w:rPr>
                <w:rFonts w:ascii="Times New Roman" w:eastAsia="Times New Roman" w:hAnsi="Times New Roman" w:cs="Times New Roman"/>
                <w:color w:val="000000"/>
                <w:sz w:val="24"/>
                <w:szCs w:val="24"/>
              </w:rPr>
              <w:t>кваліфікований електронний підпис - удосконалений електронний підпис, що створюється з використанням засобу кваліфікованого електронного підпису і базується на кваліфікованому сертифікаті електронного підпису (пункт 27 частини першої статті 1 вищевказаного Закону).</w:t>
            </w:r>
          </w:p>
        </w:tc>
        <w:tc>
          <w:tcPr>
            <w:tcW w:w="4170" w:type="dxa"/>
            <w:tcBorders>
              <w:top w:val="single" w:sz="4" w:space="0" w:color="000000"/>
            </w:tcBorders>
          </w:tcPr>
          <w:p w:rsidR="00B674F8" w:rsidRDefault="009E3065">
            <w:pPr>
              <w:spacing w:line="216"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приймається</w:t>
            </w:r>
          </w:p>
          <w:p w:rsidR="00B674F8" w:rsidRDefault="00B674F8">
            <w:pPr>
              <w:spacing w:line="216" w:lineRule="auto"/>
              <w:ind w:firstLine="709"/>
              <w:jc w:val="both"/>
              <w:rPr>
                <w:rFonts w:ascii="Times New Roman" w:eastAsia="Times New Roman" w:hAnsi="Times New Roman" w:cs="Times New Roman"/>
                <w:sz w:val="24"/>
                <w:szCs w:val="24"/>
              </w:rPr>
            </w:pPr>
          </w:p>
        </w:tc>
      </w:tr>
      <w:tr w:rsidR="00B674F8">
        <w:tc>
          <w:tcPr>
            <w:tcW w:w="15300" w:type="dxa"/>
            <w:gridSpan w:val="3"/>
            <w:tcBorders>
              <w:top w:val="single" w:sz="4" w:space="0" w:color="000000"/>
            </w:tcBorders>
            <w:shd w:val="clear" w:color="auto" w:fill="auto"/>
          </w:tcPr>
          <w:p w:rsidR="00B674F8" w:rsidRDefault="009E3065">
            <w:pPr>
              <w:tabs>
                <w:tab w:val="left" w:pos="426"/>
              </w:tabs>
              <w:spacing w:line="216" w:lineRule="auto"/>
              <w:ind w:firstLine="709"/>
              <w:jc w:val="center"/>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b/>
                <w:color w:val="000000"/>
                <w:sz w:val="24"/>
                <w:szCs w:val="24"/>
                <w:highlight w:val="white"/>
              </w:rPr>
              <w:t>5. Узгодження розподілу потужності</w:t>
            </w:r>
          </w:p>
        </w:tc>
      </w:tr>
      <w:tr w:rsidR="00B674F8">
        <w:tc>
          <w:tcPr>
            <w:tcW w:w="5460" w:type="dxa"/>
            <w:tcBorders>
              <w:top w:val="single" w:sz="4" w:space="0" w:color="000000"/>
            </w:tcBorders>
            <w:shd w:val="clear" w:color="auto" w:fill="auto"/>
          </w:tcPr>
          <w:p w:rsidR="00B674F8" w:rsidRDefault="009E3065">
            <w:pPr>
              <w:tabs>
                <w:tab w:val="left" w:pos="426"/>
              </w:tabs>
              <w:spacing w:line="216" w:lineRule="auto"/>
              <w:ind w:firstLine="709"/>
              <w:jc w:val="both"/>
              <w:rPr>
                <w:rFonts w:ascii="Times New Roman" w:eastAsia="Times New Roman" w:hAnsi="Times New Roman" w:cs="Times New Roman"/>
                <w:b/>
                <w:color w:val="000000"/>
                <w:sz w:val="24"/>
                <w:szCs w:val="24"/>
              </w:rPr>
            </w:pPr>
            <w:bookmarkStart w:id="0" w:name="bookmark=id.98v20mvml9vl" w:colFirst="0" w:colLast="0"/>
            <w:bookmarkEnd w:id="0"/>
            <w:r>
              <w:rPr>
                <w:rFonts w:ascii="Times New Roman" w:eastAsia="Times New Roman" w:hAnsi="Times New Roman" w:cs="Times New Roman"/>
                <w:b/>
                <w:color w:val="000000"/>
                <w:sz w:val="24"/>
                <w:szCs w:val="24"/>
              </w:rPr>
              <w:t>1. Якщо обсяг вільної потужності віртуальної точки більший або дорівнює сумарній потужності, визначеної в заявках на розподіл потужності у цій точці, то оператор газотранспортної системи задовольняє заявки всіх замовників послуг транспортування у такій точці у повному обсязі. У такому випадку оператор газотранспортної системи повідомляє замовників послуг транспортування про результати розподілу потужності через інформаційну платформу в строк визначений пунктом 7 глави 4 цього розділу шляхом підписання заявки на розподіл потужності, у тому числі сканованої копії заявки на розподіл потужності замовника-нерезидента, з накладенням кваліфікованого електронного підпису уповноваженої особи та/або кваліфікованої електронної печатки.</w:t>
            </w:r>
          </w:p>
          <w:p w:rsidR="00B674F8" w:rsidRDefault="009E3065">
            <w:pPr>
              <w:spacing w:line="216" w:lineRule="auto"/>
              <w:ind w:firstLine="709"/>
              <w:jc w:val="both"/>
              <w:rPr>
                <w:rFonts w:ascii="Times New Roman" w:eastAsia="Times New Roman" w:hAnsi="Times New Roman" w:cs="Times New Roman"/>
                <w:b/>
                <w:strike/>
                <w:color w:val="000000"/>
                <w:sz w:val="24"/>
                <w:szCs w:val="24"/>
              </w:rPr>
            </w:pPr>
            <w:r>
              <w:rPr>
                <w:rFonts w:ascii="Times New Roman" w:eastAsia="Times New Roman" w:hAnsi="Times New Roman" w:cs="Times New Roman"/>
                <w:b/>
                <w:color w:val="000000"/>
                <w:sz w:val="24"/>
                <w:szCs w:val="24"/>
              </w:rPr>
              <w:t xml:space="preserve">2. Якщо обсяг вільної потужності віртуальної точки менший, ніж сумарна потужність, визначена в заявках на розподіл потужності у цій точці, то оператор газотранспортної системи задовольняє заявки на розподіл потужності кожного замовника послуг транспортування </w:t>
            </w:r>
            <w:proofErr w:type="spellStart"/>
            <w:r>
              <w:rPr>
                <w:rFonts w:ascii="Times New Roman" w:eastAsia="Times New Roman" w:hAnsi="Times New Roman" w:cs="Times New Roman"/>
                <w:b/>
                <w:color w:val="000000"/>
                <w:sz w:val="24"/>
                <w:szCs w:val="24"/>
              </w:rPr>
              <w:t>пропорційно</w:t>
            </w:r>
            <w:proofErr w:type="spellEnd"/>
            <w:r>
              <w:rPr>
                <w:rFonts w:ascii="Times New Roman" w:eastAsia="Times New Roman" w:hAnsi="Times New Roman" w:cs="Times New Roman"/>
                <w:b/>
                <w:color w:val="000000"/>
                <w:sz w:val="24"/>
                <w:szCs w:val="24"/>
              </w:rPr>
              <w:t xml:space="preserve"> до заявлених ним обсягів у заявці на розподіл потужності. При цьому оператор газотранспортної системи надає кожному замовнику послуг транспортування через інформаційну платформу нову заявку на розподіл потужності з накладенням кваліфікованого електронного підпису уповноваженої особи та/або кваліфікованої електронної печатки, де зазначається розмір розподіленої потужності замовника послуг транспортування. У такому випадку не пізніше, ніж на наступний день з дня направлення оператором газотранспортної системи нової заявки на розподіл потужності, замовник послуг транспортування повертає таку заявку на розподіл потужності на інформаційній платформі з накладенням кваліфікованого електронного підпису уповноваженої особи та/або кваліфікованої електронної печатки.</w:t>
            </w:r>
          </w:p>
          <w:p w:rsidR="00B674F8" w:rsidRDefault="009E3065">
            <w:pPr>
              <w:spacing w:line="216" w:lineRule="auto"/>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color w:val="000000"/>
                <w:sz w:val="24"/>
                <w:szCs w:val="24"/>
              </w:rPr>
              <w:t>Якщо через інформаційну платформу відповідно до вимог цього пункту замовником послуг транспортування не повернуто нову заявку на розподіл потужності, вважається, що замовник послуг транспортування відмовився від обсягу потужності, визначеного оператором газотранспортної системи у такій заявці на розподіл потужності. Така нерозподілена потужність пропонується оператором газотранспортної системи на наступні періоди розподілу потужності.</w:t>
            </w:r>
          </w:p>
        </w:tc>
        <w:tc>
          <w:tcPr>
            <w:tcW w:w="5670" w:type="dxa"/>
            <w:tcBorders>
              <w:top w:val="single" w:sz="4" w:space="0" w:color="000000"/>
            </w:tcBorders>
          </w:tcPr>
          <w:p w:rsidR="00B674F8" w:rsidRDefault="009E3065">
            <w:pPr>
              <w:tabs>
                <w:tab w:val="left" w:pos="426"/>
              </w:tabs>
              <w:spacing w:line="216" w:lineRule="auto"/>
              <w:ind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ТОВ «Оператор ГТС України»</w:t>
            </w:r>
          </w:p>
          <w:p w:rsidR="00B674F8" w:rsidRDefault="009E3065">
            <w:pPr>
              <w:tabs>
                <w:tab w:val="left" w:pos="426"/>
              </w:tabs>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Якщо обсяг вільної потужності віртуальної точки більший або дорівнює сумарній потужності, визначеної в заявках на розподіл потужності у цій точці, то оператор газотранспортної системи задовольняє заявки всіх замовників послуг транспортування у такій точці у повному обсязі. У такому випадку оператор газотранспортної системи повідомляє замовників послуг транспортування про результати розподілу потужності через інформаційну платформу в строк визначений пунктом 7 глави 4 цього розділу шляхом підписання заявки на розподіл потужності, у тому числі сканованої копії заявки на розподіл потужності замовника- нерезидента, з накладенням </w:t>
            </w:r>
            <w:r>
              <w:rPr>
                <w:rFonts w:ascii="Times New Roman" w:eastAsia="Times New Roman" w:hAnsi="Times New Roman" w:cs="Times New Roman"/>
                <w:b/>
                <w:strike/>
                <w:color w:val="000000"/>
                <w:sz w:val="24"/>
                <w:szCs w:val="24"/>
              </w:rPr>
              <w:t xml:space="preserve">кваліфікованого </w:t>
            </w:r>
            <w:r>
              <w:rPr>
                <w:rFonts w:ascii="Times New Roman" w:eastAsia="Times New Roman" w:hAnsi="Times New Roman" w:cs="Times New Roman"/>
                <w:color w:val="000000"/>
                <w:sz w:val="24"/>
                <w:szCs w:val="24"/>
              </w:rPr>
              <w:t xml:space="preserve">електронного підпису уповноваженої особи та/або </w:t>
            </w:r>
            <w:r>
              <w:rPr>
                <w:rFonts w:ascii="Times New Roman" w:eastAsia="Times New Roman" w:hAnsi="Times New Roman" w:cs="Times New Roman"/>
                <w:b/>
                <w:strike/>
                <w:color w:val="000000"/>
                <w:sz w:val="24"/>
                <w:szCs w:val="24"/>
              </w:rPr>
              <w:t xml:space="preserve">кваліфікованої </w:t>
            </w:r>
            <w:r>
              <w:rPr>
                <w:rFonts w:ascii="Times New Roman" w:eastAsia="Times New Roman" w:hAnsi="Times New Roman" w:cs="Times New Roman"/>
                <w:color w:val="000000"/>
                <w:sz w:val="24"/>
                <w:szCs w:val="24"/>
              </w:rPr>
              <w:t>електронної печатки.</w:t>
            </w:r>
          </w:p>
          <w:p w:rsidR="00B674F8" w:rsidRDefault="009E3065">
            <w:pPr>
              <w:spacing w:line="216" w:lineRule="auto"/>
              <w:ind w:firstLine="709"/>
              <w:jc w:val="both"/>
              <w:rPr>
                <w:rFonts w:ascii="Times New Roman" w:eastAsia="Times New Roman" w:hAnsi="Times New Roman" w:cs="Times New Roman"/>
                <w:strike/>
                <w:color w:val="000000"/>
                <w:sz w:val="24"/>
                <w:szCs w:val="24"/>
              </w:rPr>
            </w:pPr>
            <w:r>
              <w:rPr>
                <w:rFonts w:ascii="Times New Roman" w:eastAsia="Times New Roman" w:hAnsi="Times New Roman" w:cs="Times New Roman"/>
                <w:color w:val="000000"/>
                <w:sz w:val="24"/>
                <w:szCs w:val="24"/>
              </w:rPr>
              <w:t xml:space="preserve">2. Якщо обсяг вільної потужності віртуальної точки менший, ніж сумарна потужність, визначена в заявках на розподіл потужності у цій точці, то оператор газотранспортної системи задовольняє заявки на розподіл потужності кожного замовника послуг транспортування </w:t>
            </w:r>
            <w:proofErr w:type="spellStart"/>
            <w:r>
              <w:rPr>
                <w:rFonts w:ascii="Times New Roman" w:eastAsia="Times New Roman" w:hAnsi="Times New Roman" w:cs="Times New Roman"/>
                <w:color w:val="000000"/>
                <w:sz w:val="24"/>
                <w:szCs w:val="24"/>
              </w:rPr>
              <w:t>пропорційно</w:t>
            </w:r>
            <w:proofErr w:type="spellEnd"/>
            <w:r>
              <w:rPr>
                <w:rFonts w:ascii="Times New Roman" w:eastAsia="Times New Roman" w:hAnsi="Times New Roman" w:cs="Times New Roman"/>
                <w:color w:val="000000"/>
                <w:sz w:val="24"/>
                <w:szCs w:val="24"/>
              </w:rPr>
              <w:t xml:space="preserve"> до заявлених ним обсягів у заявці на розподіл потужності. При цьому оператор газотранспортної системи надає кожному замовнику послуг транспортування через інформаційну платформу нову заявку на розподіл потужності з накладенням </w:t>
            </w:r>
            <w:r>
              <w:rPr>
                <w:rFonts w:ascii="Times New Roman" w:eastAsia="Times New Roman" w:hAnsi="Times New Roman" w:cs="Times New Roman"/>
                <w:b/>
                <w:strike/>
                <w:color w:val="000000"/>
                <w:sz w:val="24"/>
                <w:szCs w:val="24"/>
              </w:rPr>
              <w:t xml:space="preserve">кваліфікованого </w:t>
            </w:r>
            <w:r>
              <w:rPr>
                <w:rFonts w:ascii="Times New Roman" w:eastAsia="Times New Roman" w:hAnsi="Times New Roman" w:cs="Times New Roman"/>
                <w:color w:val="000000"/>
                <w:sz w:val="24"/>
                <w:szCs w:val="24"/>
              </w:rPr>
              <w:t xml:space="preserve">електронного підпису уповноваженої особи та/або </w:t>
            </w:r>
            <w:r>
              <w:rPr>
                <w:rFonts w:ascii="Times New Roman" w:eastAsia="Times New Roman" w:hAnsi="Times New Roman" w:cs="Times New Roman"/>
                <w:b/>
                <w:strike/>
                <w:color w:val="000000"/>
                <w:sz w:val="24"/>
                <w:szCs w:val="24"/>
              </w:rPr>
              <w:t xml:space="preserve">кваліфікованої </w:t>
            </w:r>
            <w:r>
              <w:rPr>
                <w:rFonts w:ascii="Times New Roman" w:eastAsia="Times New Roman" w:hAnsi="Times New Roman" w:cs="Times New Roman"/>
                <w:color w:val="000000"/>
                <w:sz w:val="24"/>
                <w:szCs w:val="24"/>
              </w:rPr>
              <w:t xml:space="preserve">електронної печатки, де зазначається розмір розподіленої потужності замовника послуг транспортування. У такому випадку не пізніше, ніж на наступний день з дня направлення оператором газотранспортної системи нової заявки на розподіл потужності, замовник послуг транспортування повертає таку заявку на розподіл потужності на інформаційній платформі з накладенням </w:t>
            </w:r>
            <w:r>
              <w:rPr>
                <w:rFonts w:ascii="Times New Roman" w:eastAsia="Times New Roman" w:hAnsi="Times New Roman" w:cs="Times New Roman"/>
                <w:b/>
                <w:strike/>
                <w:color w:val="000000"/>
                <w:sz w:val="24"/>
                <w:szCs w:val="24"/>
              </w:rPr>
              <w:t xml:space="preserve">кваліфікованого </w:t>
            </w:r>
            <w:r>
              <w:rPr>
                <w:rFonts w:ascii="Times New Roman" w:eastAsia="Times New Roman" w:hAnsi="Times New Roman" w:cs="Times New Roman"/>
                <w:color w:val="000000"/>
                <w:sz w:val="24"/>
                <w:szCs w:val="24"/>
              </w:rPr>
              <w:t xml:space="preserve">електронного підпису уповноваженої особи та/або </w:t>
            </w:r>
            <w:r>
              <w:rPr>
                <w:rFonts w:ascii="Times New Roman" w:eastAsia="Times New Roman" w:hAnsi="Times New Roman" w:cs="Times New Roman"/>
                <w:b/>
                <w:strike/>
                <w:color w:val="000000"/>
                <w:sz w:val="24"/>
                <w:szCs w:val="24"/>
              </w:rPr>
              <w:t xml:space="preserve">кваліфікованої </w:t>
            </w:r>
            <w:r>
              <w:rPr>
                <w:rFonts w:ascii="Times New Roman" w:eastAsia="Times New Roman" w:hAnsi="Times New Roman" w:cs="Times New Roman"/>
                <w:color w:val="000000"/>
                <w:sz w:val="24"/>
                <w:szCs w:val="24"/>
              </w:rPr>
              <w:t>електронної печатки.</w:t>
            </w:r>
          </w:p>
          <w:p w:rsidR="00B674F8" w:rsidRDefault="00B674F8">
            <w:pPr>
              <w:tabs>
                <w:tab w:val="left" w:pos="426"/>
              </w:tabs>
              <w:spacing w:line="216" w:lineRule="auto"/>
              <w:ind w:firstLine="709"/>
              <w:jc w:val="both"/>
              <w:rPr>
                <w:rFonts w:ascii="Times New Roman" w:eastAsia="Times New Roman" w:hAnsi="Times New Roman" w:cs="Times New Roman"/>
                <w:color w:val="000000"/>
                <w:sz w:val="24"/>
                <w:szCs w:val="24"/>
              </w:rPr>
            </w:pPr>
          </w:p>
          <w:p w:rsidR="00B674F8" w:rsidRDefault="009E3065">
            <w:pPr>
              <w:tabs>
                <w:tab w:val="left" w:pos="426"/>
              </w:tabs>
              <w:spacing w:line="216" w:lineRule="auto"/>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 xml:space="preserve">Обґрунтування </w:t>
            </w:r>
          </w:p>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Пропонується спростити вимоги до електронного підпису через більшу поширеність удосконаленого електронного підпису.</w:t>
            </w:r>
          </w:p>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Згідно з положеннями Закону України «Про електронні довірчі послуги»:</w:t>
            </w:r>
          </w:p>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електронний підпис - електронні дані, що додаються до інших електронних даних або </w:t>
            </w:r>
            <w:proofErr w:type="spellStart"/>
            <w:r>
              <w:rPr>
                <w:rFonts w:ascii="Times New Roman" w:eastAsia="Times New Roman" w:hAnsi="Times New Roman" w:cs="Times New Roman"/>
                <w:color w:val="000000"/>
                <w:sz w:val="24"/>
                <w:szCs w:val="24"/>
              </w:rPr>
              <w:t>логічно</w:t>
            </w:r>
            <w:proofErr w:type="spellEnd"/>
            <w:r>
              <w:rPr>
                <w:rFonts w:ascii="Times New Roman" w:eastAsia="Times New Roman" w:hAnsi="Times New Roman" w:cs="Times New Roman"/>
                <w:color w:val="000000"/>
                <w:sz w:val="24"/>
                <w:szCs w:val="24"/>
              </w:rPr>
              <w:t xml:space="preserve"> з ними пов’язуються і використовуються </w:t>
            </w:r>
            <w:proofErr w:type="spellStart"/>
            <w:r>
              <w:rPr>
                <w:rFonts w:ascii="Times New Roman" w:eastAsia="Times New Roman" w:hAnsi="Times New Roman" w:cs="Times New Roman"/>
                <w:color w:val="000000"/>
                <w:sz w:val="24"/>
                <w:szCs w:val="24"/>
              </w:rPr>
              <w:t>підписувачем</w:t>
            </w:r>
            <w:proofErr w:type="spellEnd"/>
            <w:r>
              <w:rPr>
                <w:rFonts w:ascii="Times New Roman" w:eastAsia="Times New Roman" w:hAnsi="Times New Roman" w:cs="Times New Roman"/>
                <w:color w:val="000000"/>
                <w:sz w:val="24"/>
                <w:szCs w:val="24"/>
              </w:rPr>
              <w:t xml:space="preserve"> як підпис (пункт 15 частини першої статті 1 вищевказаного Закону);</w:t>
            </w:r>
          </w:p>
          <w:p w:rsidR="00B674F8" w:rsidRDefault="009E3065">
            <w:pPr>
              <w:tabs>
                <w:tab w:val="left" w:pos="426"/>
              </w:tabs>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кваліфікований електронний підпис - удосконалений електронний підпис, що створюється з використанням засобу кваліфікованого електронного підпису і базується на кваліфікованому сертифікаті електронного підпису (пункт 27 частини першої статті 1 вищевказаного Закону).</w:t>
            </w:r>
          </w:p>
        </w:tc>
        <w:tc>
          <w:tcPr>
            <w:tcW w:w="4170" w:type="dxa"/>
            <w:tcBorders>
              <w:top w:val="single" w:sz="4" w:space="0" w:color="000000"/>
            </w:tcBorders>
          </w:tcPr>
          <w:p w:rsidR="00B674F8" w:rsidRDefault="009E3065">
            <w:pPr>
              <w:tabs>
                <w:tab w:val="left" w:pos="426"/>
              </w:tabs>
              <w:spacing w:line="216"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приймається</w:t>
            </w:r>
          </w:p>
          <w:p w:rsidR="00B674F8" w:rsidRDefault="00B674F8">
            <w:pPr>
              <w:tabs>
                <w:tab w:val="left" w:pos="426"/>
              </w:tabs>
              <w:spacing w:line="216" w:lineRule="auto"/>
              <w:ind w:firstLine="709"/>
              <w:jc w:val="both"/>
              <w:rPr>
                <w:rFonts w:ascii="Times New Roman" w:eastAsia="Times New Roman" w:hAnsi="Times New Roman" w:cs="Times New Roman"/>
                <w:b/>
                <w:sz w:val="24"/>
                <w:szCs w:val="24"/>
              </w:rPr>
            </w:pPr>
          </w:p>
        </w:tc>
      </w:tr>
      <w:tr w:rsidR="00B674F8">
        <w:tc>
          <w:tcPr>
            <w:tcW w:w="15300" w:type="dxa"/>
            <w:gridSpan w:val="3"/>
            <w:tcBorders>
              <w:top w:val="single" w:sz="4" w:space="0" w:color="000000"/>
            </w:tcBorders>
          </w:tcPr>
          <w:p w:rsidR="00B674F8" w:rsidRDefault="009E3065">
            <w:pPr>
              <w:spacing w:line="216" w:lineRule="auto"/>
              <w:jc w:val="center"/>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b/>
                <w:color w:val="000000"/>
                <w:sz w:val="24"/>
                <w:szCs w:val="24"/>
                <w:highlight w:val="white"/>
              </w:rPr>
              <w:t>7. Потужність з обмеженнями</w:t>
            </w:r>
          </w:p>
        </w:tc>
      </w:tr>
      <w:tr w:rsidR="00B674F8">
        <w:tc>
          <w:tcPr>
            <w:tcW w:w="5460" w:type="dxa"/>
            <w:tcBorders>
              <w:top w:val="single" w:sz="4" w:space="0" w:color="000000"/>
            </w:tcBorders>
          </w:tcPr>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w:t>
            </w:r>
          </w:p>
          <w:p w:rsidR="00B674F8" w:rsidRDefault="009E3065">
            <w:pPr>
              <w:spacing w:line="216" w:lineRule="auto"/>
              <w:ind w:firstLine="543"/>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Для отримання доступу до потужності з обмеженнями, крім потужності з обмеженнями точки входу/виходу на міждержавних з’єднаннях на період протягом доби на переривчастій основі, потужності з обмеженнями точки входу/виходу до/з газосховища чи групи газосховищ, замовник послуг транспортування подає оператору газотранспортної системи заяву про обмеження умов використання потужності на повний або частковий обсяг, який було розподілено відповідно до вимог розділу ХІХ цього Кодексу.</w:t>
            </w:r>
          </w:p>
          <w:p w:rsidR="00B674F8" w:rsidRDefault="009E3065">
            <w:pPr>
              <w:spacing w:line="216" w:lineRule="auto"/>
              <w:ind w:firstLine="543"/>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Період, на який подається заява про обмеження умов використання потужності, повинен відповідати періоду, на який було розподілено потужність точок входу/виходу на міждержавному з’єднанні або бути кратний газовому місяцю. При цьому після подання заяви про обмеження умов використання потужності коефіцієнт, який враховує період замовлення потужності, не змінюється, у тому числі для потужності з обмеженнями.</w:t>
            </w:r>
          </w:p>
          <w:p w:rsidR="00B674F8" w:rsidRDefault="009E3065">
            <w:pPr>
              <w:spacing w:line="216" w:lineRule="auto"/>
              <w:ind w:firstLine="543"/>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Для потужності з обмеженнями точки входу/виходу на міждержавних з’єднаннях на річний, квартальний та місячний періоди форма заяви про обмеження умов використання потужності визначається додатком до договору транспортування природного газу. Форма заяви про обмеження умов використання потужності на міждержавних з’єднаннях на добу наперед та на гарантованій основі на період протягом доби встановлюється оператором газотранспортної системи та публікується на його </w:t>
            </w:r>
            <w:proofErr w:type="spellStart"/>
            <w:r>
              <w:rPr>
                <w:rFonts w:ascii="Times New Roman" w:eastAsia="Times New Roman" w:hAnsi="Times New Roman" w:cs="Times New Roman"/>
                <w:b/>
                <w:color w:val="000000"/>
                <w:sz w:val="24"/>
                <w:szCs w:val="24"/>
              </w:rPr>
              <w:t>вебсайті</w:t>
            </w:r>
            <w:proofErr w:type="spellEnd"/>
            <w:r>
              <w:rPr>
                <w:rFonts w:ascii="Times New Roman" w:eastAsia="Times New Roman" w:hAnsi="Times New Roman" w:cs="Times New Roman"/>
                <w:b/>
                <w:color w:val="000000"/>
                <w:sz w:val="24"/>
                <w:szCs w:val="24"/>
              </w:rPr>
              <w:t>.</w:t>
            </w:r>
          </w:p>
        </w:tc>
        <w:tc>
          <w:tcPr>
            <w:tcW w:w="5670" w:type="dxa"/>
            <w:tcBorders>
              <w:top w:val="single" w:sz="4" w:space="0" w:color="000000"/>
            </w:tcBorders>
          </w:tcPr>
          <w:p w:rsidR="00B674F8" w:rsidRDefault="00B674F8">
            <w:pPr>
              <w:spacing w:line="216" w:lineRule="auto"/>
              <w:ind w:firstLine="709"/>
              <w:jc w:val="both"/>
              <w:rPr>
                <w:rFonts w:ascii="Times New Roman" w:eastAsia="Times New Roman" w:hAnsi="Times New Roman" w:cs="Times New Roman"/>
                <w:b/>
                <w:color w:val="000000"/>
                <w:sz w:val="24"/>
                <w:szCs w:val="24"/>
                <w:u w:val="single"/>
              </w:rPr>
            </w:pPr>
          </w:p>
        </w:tc>
        <w:tc>
          <w:tcPr>
            <w:tcW w:w="4170" w:type="dxa"/>
            <w:tcBorders>
              <w:top w:val="single" w:sz="4" w:space="0" w:color="000000"/>
            </w:tcBorders>
          </w:tcPr>
          <w:p w:rsidR="00B674F8" w:rsidRDefault="00B674F8">
            <w:pPr>
              <w:spacing w:line="216" w:lineRule="auto"/>
              <w:ind w:firstLine="709"/>
              <w:jc w:val="both"/>
              <w:rPr>
                <w:rFonts w:ascii="Times New Roman" w:eastAsia="Times New Roman" w:hAnsi="Times New Roman" w:cs="Times New Roman"/>
                <w:color w:val="000000"/>
                <w:sz w:val="24"/>
                <w:szCs w:val="24"/>
              </w:rPr>
            </w:pPr>
          </w:p>
        </w:tc>
      </w:tr>
      <w:tr w:rsidR="00B674F8">
        <w:tc>
          <w:tcPr>
            <w:tcW w:w="5460" w:type="dxa"/>
            <w:tcBorders>
              <w:top w:val="single" w:sz="4" w:space="0" w:color="000000"/>
            </w:tcBorders>
          </w:tcPr>
          <w:p w:rsidR="00B674F8" w:rsidRDefault="009E3065">
            <w:pPr>
              <w:spacing w:line="216" w:lineRule="auto"/>
              <w:ind w:firstLine="543"/>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Замовник послуг транспортування подає заяву про обмеження умов використання потужності оператору газотранспортної системи через інформаційну платформу з накладенням кваліфікованого електронного підпису уповноваженої особи та/або кваліфікованої електронної печатки. Замовники послуг транспортування, які є нерезидентами, мають право подавати підписану заяву про обмеження умов використання потужності на міждержавних з’єднаннях на річний, квартальний та місячний періоди у паперовій формі із попереднім направленням відповідних сканованих копій через інформаційну платформу.</w:t>
            </w:r>
          </w:p>
          <w:p w:rsidR="00B674F8" w:rsidRDefault="009E3065">
            <w:pPr>
              <w:spacing w:line="216" w:lineRule="auto"/>
              <w:ind w:firstLine="543"/>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Заява про обмеження умов використання потужності подається до настання кінцевого строку попередньої оплати розподіленої потужності точок входу/виходу на міждержавному з’єднанні, визначеного цим Кодексом, крім потужності на добу наперед на гарантованій та переривчастій основі та потужності протягом доби на гарантованій основі.</w:t>
            </w:r>
          </w:p>
          <w:p w:rsidR="00B674F8" w:rsidRDefault="009E3065">
            <w:pPr>
              <w:spacing w:line="216" w:lineRule="auto"/>
              <w:ind w:firstLine="543"/>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Замовник послуг транспортування, якому була розподілена потужність на добу наперед на гарантованій та переривчастій основі або потужності протягом доби на гарантованій основі, має право подати заяву про обмеження умов використання потужності до кінцевого строку подання </w:t>
            </w:r>
            <w:proofErr w:type="spellStart"/>
            <w:r>
              <w:rPr>
                <w:rFonts w:ascii="Times New Roman" w:eastAsia="Times New Roman" w:hAnsi="Times New Roman" w:cs="Times New Roman"/>
                <w:b/>
                <w:color w:val="000000"/>
                <w:sz w:val="24"/>
                <w:szCs w:val="24"/>
              </w:rPr>
              <w:t>реномінації</w:t>
            </w:r>
            <w:proofErr w:type="spellEnd"/>
            <w:r>
              <w:rPr>
                <w:rFonts w:ascii="Times New Roman" w:eastAsia="Times New Roman" w:hAnsi="Times New Roman" w:cs="Times New Roman"/>
                <w:b/>
                <w:color w:val="000000"/>
                <w:sz w:val="24"/>
                <w:szCs w:val="24"/>
              </w:rPr>
              <w:t xml:space="preserve">. При цьому замовник послуг транспортування зобов’язаний подати заяву про обмеження умов використання потужності перед поданням ним </w:t>
            </w:r>
            <w:proofErr w:type="spellStart"/>
            <w:r>
              <w:rPr>
                <w:rFonts w:ascii="Times New Roman" w:eastAsia="Times New Roman" w:hAnsi="Times New Roman" w:cs="Times New Roman"/>
                <w:b/>
                <w:color w:val="000000"/>
                <w:sz w:val="24"/>
                <w:szCs w:val="24"/>
              </w:rPr>
              <w:t>реномінації</w:t>
            </w:r>
            <w:proofErr w:type="spellEnd"/>
            <w:r>
              <w:rPr>
                <w:rFonts w:ascii="Times New Roman" w:eastAsia="Times New Roman" w:hAnsi="Times New Roman" w:cs="Times New Roman"/>
                <w:b/>
                <w:color w:val="000000"/>
                <w:sz w:val="24"/>
                <w:szCs w:val="24"/>
              </w:rPr>
              <w:t xml:space="preserve"> на використання такої потужності.</w:t>
            </w:r>
          </w:p>
          <w:p w:rsidR="00B674F8" w:rsidRDefault="009E3065">
            <w:pPr>
              <w:spacing w:line="216" w:lineRule="auto"/>
              <w:ind w:firstLine="543"/>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Оператор газотранспортної системи має право відмовити в розгляді заяви про обмеження умов використання потужності, якщо замовником послуг транспортування подано таку заяву з порушенням вимог цього пункту.</w:t>
            </w:r>
          </w:p>
        </w:tc>
        <w:tc>
          <w:tcPr>
            <w:tcW w:w="5670" w:type="dxa"/>
            <w:tcBorders>
              <w:top w:val="single" w:sz="4" w:space="0" w:color="000000"/>
            </w:tcBorders>
          </w:tcPr>
          <w:p w:rsidR="00B674F8" w:rsidRDefault="009E3065">
            <w:pPr>
              <w:spacing w:line="216" w:lineRule="auto"/>
              <w:ind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ТОВ «Оператор ГТС України»</w:t>
            </w:r>
          </w:p>
          <w:p w:rsidR="00B674F8" w:rsidRDefault="009E3065">
            <w:pPr>
              <w:spacing w:line="216" w:lineRule="auto"/>
              <w:ind w:firstLine="54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Замовник послуг транспортування подає заяву про обмеження умов використання потужності оператору газотранспортної системи через інформаційну платформу з накладенням </w:t>
            </w:r>
            <w:r>
              <w:rPr>
                <w:rFonts w:ascii="Times New Roman" w:eastAsia="Times New Roman" w:hAnsi="Times New Roman" w:cs="Times New Roman"/>
                <w:b/>
                <w:strike/>
                <w:color w:val="000000"/>
                <w:sz w:val="24"/>
                <w:szCs w:val="24"/>
              </w:rPr>
              <w:t xml:space="preserve">кваліфікованого </w:t>
            </w:r>
            <w:r>
              <w:rPr>
                <w:rFonts w:ascii="Times New Roman" w:eastAsia="Times New Roman" w:hAnsi="Times New Roman" w:cs="Times New Roman"/>
                <w:color w:val="000000"/>
                <w:sz w:val="24"/>
                <w:szCs w:val="24"/>
              </w:rPr>
              <w:t xml:space="preserve">електронного підпису уповноваженої особи та/або </w:t>
            </w:r>
            <w:r>
              <w:rPr>
                <w:rFonts w:ascii="Times New Roman" w:eastAsia="Times New Roman" w:hAnsi="Times New Roman" w:cs="Times New Roman"/>
                <w:b/>
                <w:strike/>
                <w:color w:val="000000"/>
                <w:sz w:val="24"/>
                <w:szCs w:val="24"/>
              </w:rPr>
              <w:t xml:space="preserve">кваліфікованої </w:t>
            </w:r>
            <w:r>
              <w:rPr>
                <w:rFonts w:ascii="Times New Roman" w:eastAsia="Times New Roman" w:hAnsi="Times New Roman" w:cs="Times New Roman"/>
                <w:color w:val="000000"/>
                <w:sz w:val="24"/>
                <w:szCs w:val="24"/>
              </w:rPr>
              <w:t>електронної печатки. Замовники послуг транспортування, які є нерезидентами, мають право подавати підписану заяву про обмеження умов використання потужності на міждержавних з’єднаннях на річний, квартальний та місячний періоди у паперовій формі із попереднім направленням відповідних сканованих копій через інформаційну платформу.</w:t>
            </w:r>
          </w:p>
          <w:p w:rsidR="00B674F8" w:rsidRDefault="009E3065">
            <w:pPr>
              <w:spacing w:line="216" w:lineRule="auto"/>
              <w:ind w:firstLine="54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B674F8" w:rsidRDefault="00B674F8">
            <w:pPr>
              <w:tabs>
                <w:tab w:val="left" w:pos="426"/>
              </w:tabs>
              <w:spacing w:line="216" w:lineRule="auto"/>
              <w:ind w:firstLine="709"/>
              <w:jc w:val="center"/>
              <w:rPr>
                <w:rFonts w:ascii="Times New Roman" w:eastAsia="Times New Roman" w:hAnsi="Times New Roman" w:cs="Times New Roman"/>
                <w:b/>
                <w:color w:val="000000"/>
                <w:sz w:val="24"/>
                <w:szCs w:val="24"/>
                <w:u w:val="single"/>
              </w:rPr>
            </w:pPr>
          </w:p>
          <w:p w:rsidR="00B674F8" w:rsidRDefault="009E3065">
            <w:pPr>
              <w:tabs>
                <w:tab w:val="left" w:pos="426"/>
              </w:tabs>
              <w:spacing w:line="216" w:lineRule="auto"/>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 xml:space="preserve">Обґрунтування </w:t>
            </w:r>
          </w:p>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Пропонується спростити вимоги до електронного підпису через більшу поширеність удосконаленого електронного підпису.</w:t>
            </w:r>
          </w:p>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Згідно з положеннями Закону України «Про електронні довірчі послуги»:</w:t>
            </w:r>
          </w:p>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електронний підпис - електронні дані, що додаються до інших електронних даних або </w:t>
            </w:r>
            <w:proofErr w:type="spellStart"/>
            <w:r>
              <w:rPr>
                <w:rFonts w:ascii="Times New Roman" w:eastAsia="Times New Roman" w:hAnsi="Times New Roman" w:cs="Times New Roman"/>
                <w:color w:val="000000"/>
                <w:sz w:val="24"/>
                <w:szCs w:val="24"/>
              </w:rPr>
              <w:t>логічно</w:t>
            </w:r>
            <w:proofErr w:type="spellEnd"/>
            <w:r>
              <w:rPr>
                <w:rFonts w:ascii="Times New Roman" w:eastAsia="Times New Roman" w:hAnsi="Times New Roman" w:cs="Times New Roman"/>
                <w:color w:val="000000"/>
                <w:sz w:val="24"/>
                <w:szCs w:val="24"/>
              </w:rPr>
              <w:t xml:space="preserve"> з ними пов’язуються і використовуються </w:t>
            </w:r>
            <w:proofErr w:type="spellStart"/>
            <w:r>
              <w:rPr>
                <w:rFonts w:ascii="Times New Roman" w:eastAsia="Times New Roman" w:hAnsi="Times New Roman" w:cs="Times New Roman"/>
                <w:color w:val="000000"/>
                <w:sz w:val="24"/>
                <w:szCs w:val="24"/>
              </w:rPr>
              <w:t>підписувачем</w:t>
            </w:r>
            <w:proofErr w:type="spellEnd"/>
            <w:r>
              <w:rPr>
                <w:rFonts w:ascii="Times New Roman" w:eastAsia="Times New Roman" w:hAnsi="Times New Roman" w:cs="Times New Roman"/>
                <w:color w:val="000000"/>
                <w:sz w:val="24"/>
                <w:szCs w:val="24"/>
              </w:rPr>
              <w:t xml:space="preserve"> як підпис (пункт 15 частини першої статті 1 вищевказаного Закону);</w:t>
            </w:r>
          </w:p>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кваліфікований електронний підпис - удосконалений електронний підпис, що створюється з використанням засобу кваліфікованого електронного підпису і базується на кваліфікованому сертифікаті електронного підпису (пункт 27 частини першої статті 1 вищевказаного Закону).</w:t>
            </w:r>
          </w:p>
        </w:tc>
        <w:tc>
          <w:tcPr>
            <w:tcW w:w="4170" w:type="dxa"/>
            <w:tcBorders>
              <w:top w:val="single" w:sz="4" w:space="0" w:color="000000"/>
            </w:tcBorders>
          </w:tcPr>
          <w:p w:rsidR="00B674F8" w:rsidRDefault="009E3065">
            <w:pPr>
              <w:tabs>
                <w:tab w:val="left" w:pos="426"/>
              </w:tabs>
              <w:spacing w:line="216"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приймається</w:t>
            </w:r>
          </w:p>
          <w:p w:rsidR="00B674F8" w:rsidRDefault="00B674F8">
            <w:pPr>
              <w:spacing w:line="216" w:lineRule="auto"/>
              <w:ind w:firstLine="709"/>
              <w:jc w:val="both"/>
              <w:rPr>
                <w:rFonts w:ascii="Times New Roman" w:eastAsia="Times New Roman" w:hAnsi="Times New Roman" w:cs="Times New Roman"/>
                <w:sz w:val="24"/>
                <w:szCs w:val="24"/>
              </w:rPr>
            </w:pPr>
          </w:p>
        </w:tc>
      </w:tr>
      <w:tr w:rsidR="00B674F8">
        <w:tc>
          <w:tcPr>
            <w:tcW w:w="5460" w:type="dxa"/>
            <w:tcBorders>
              <w:top w:val="single" w:sz="4" w:space="0" w:color="000000"/>
            </w:tcBorders>
          </w:tcPr>
          <w:p w:rsidR="00B674F8" w:rsidRDefault="009E3065">
            <w:pPr>
              <w:spacing w:line="216" w:lineRule="auto"/>
              <w:ind w:firstLine="543"/>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Не пізніше, ніж через 30 хвилин з часу надходження на інформаційну платформу заяви про обмеження умов використання потужності, оператор газотранспортної системи через інформаційну платформу надсилає замовнику послуг транспортування повідомлення про відмову в розгляді заяви про обмеження умов використання потужності із зазначенням причини такої відмови або повертає заяву про обмеження умов використання потужності, подану замовником послуг транспортування, із накладенням кваліфікованого електронного підпису уповноваженої особи та/або кваліфікованої електронної печатки оператора газотранспортної системи.</w:t>
            </w:r>
          </w:p>
          <w:p w:rsidR="00B674F8" w:rsidRDefault="009E3065">
            <w:pPr>
              <w:spacing w:line="216" w:lineRule="auto"/>
              <w:ind w:firstLine="543"/>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Для отримання доступу до потужності з обмеженнями на переривчастій основі на період протягом доби замовник послуг транспортування зобов’язаний подати оператору газотранспортної системи </w:t>
            </w:r>
            <w:proofErr w:type="spellStart"/>
            <w:r>
              <w:rPr>
                <w:rFonts w:ascii="Times New Roman" w:eastAsia="Times New Roman" w:hAnsi="Times New Roman" w:cs="Times New Roman"/>
                <w:b/>
                <w:color w:val="000000"/>
                <w:sz w:val="24"/>
                <w:szCs w:val="24"/>
              </w:rPr>
              <w:t>реномінацію</w:t>
            </w:r>
            <w:proofErr w:type="spellEnd"/>
            <w:r>
              <w:rPr>
                <w:rFonts w:ascii="Times New Roman" w:eastAsia="Times New Roman" w:hAnsi="Times New Roman" w:cs="Times New Roman"/>
                <w:b/>
                <w:color w:val="000000"/>
                <w:sz w:val="24"/>
                <w:szCs w:val="24"/>
              </w:rPr>
              <w:t>, в якій  зазначити обсяг транспортування для використання потужності з обмеженнями.»;</w:t>
            </w:r>
          </w:p>
        </w:tc>
        <w:tc>
          <w:tcPr>
            <w:tcW w:w="5670" w:type="dxa"/>
            <w:tcBorders>
              <w:top w:val="single" w:sz="4" w:space="0" w:color="000000"/>
            </w:tcBorders>
          </w:tcPr>
          <w:p w:rsidR="00B674F8" w:rsidRDefault="009E3065">
            <w:pPr>
              <w:spacing w:line="216" w:lineRule="auto"/>
              <w:ind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ТОВ «Оператор ГТС України»</w:t>
            </w:r>
          </w:p>
          <w:p w:rsidR="00B674F8" w:rsidRDefault="009E3065">
            <w:pPr>
              <w:spacing w:line="216" w:lineRule="auto"/>
              <w:ind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sz w:val="24"/>
                <w:szCs w:val="24"/>
              </w:rPr>
              <w:t>Не пізніше, ніж через 30 хвилин з часу надходження на інформаційну платформу заяви про обмеження умов використання потужності, оператор газотранспортної системи</w:t>
            </w:r>
            <w:r>
              <w:rPr>
                <w:rFonts w:ascii="Times New Roman" w:eastAsia="Times New Roman" w:hAnsi="Times New Roman" w:cs="Times New Roman"/>
                <w:b/>
                <w:sz w:val="24"/>
                <w:szCs w:val="24"/>
              </w:rPr>
              <w:t xml:space="preserve"> в інформаційній платформі  підтверджує надання доступу до потужності з обмеженнями або у разі наявності підстав відмовляє в розгляді заяви про обмеження умов використання потужності із зазначенням причини такої відмови.</w:t>
            </w:r>
          </w:p>
          <w:p w:rsidR="00B674F8" w:rsidRDefault="00B674F8">
            <w:pPr>
              <w:spacing w:line="216" w:lineRule="auto"/>
              <w:ind w:firstLine="709"/>
              <w:jc w:val="both"/>
              <w:rPr>
                <w:rFonts w:ascii="Times New Roman" w:eastAsia="Times New Roman" w:hAnsi="Times New Roman" w:cs="Times New Roman"/>
                <w:b/>
                <w:color w:val="000000"/>
                <w:sz w:val="24"/>
                <w:szCs w:val="24"/>
                <w:u w:val="single"/>
              </w:rPr>
            </w:pPr>
          </w:p>
          <w:p w:rsidR="00B674F8" w:rsidRDefault="009E3065">
            <w:pPr>
              <w:tabs>
                <w:tab w:val="left" w:pos="426"/>
              </w:tabs>
              <w:spacing w:line="216" w:lineRule="auto"/>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 xml:space="preserve">Обґрунтування </w:t>
            </w:r>
          </w:p>
          <w:p w:rsidR="00B674F8" w:rsidRDefault="009E3065">
            <w:pPr>
              <w:spacing w:line="216" w:lineRule="auto"/>
              <w:ind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color w:val="000000"/>
                <w:sz w:val="24"/>
                <w:szCs w:val="24"/>
              </w:rPr>
              <w:t xml:space="preserve">Пропонується спростити умови підтвердження заяви </w:t>
            </w:r>
            <w:r>
              <w:rPr>
                <w:rFonts w:ascii="Times New Roman" w:eastAsia="Times New Roman" w:hAnsi="Times New Roman" w:cs="Times New Roman"/>
                <w:sz w:val="24"/>
                <w:szCs w:val="24"/>
              </w:rPr>
              <w:t>про обмеження умов використання потужності аналогічно умовам підтвердження номінацій - пункти 17 та 19 глави 1 розділу ХІ Кодексу ГТС.</w:t>
            </w:r>
          </w:p>
        </w:tc>
        <w:tc>
          <w:tcPr>
            <w:tcW w:w="4170" w:type="dxa"/>
            <w:tcBorders>
              <w:top w:val="single" w:sz="4" w:space="0" w:color="000000"/>
            </w:tcBorders>
          </w:tcPr>
          <w:p w:rsidR="00B674F8" w:rsidRDefault="009E3065">
            <w:pPr>
              <w:spacing w:line="216"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B674F8" w:rsidRDefault="009E3065">
            <w:pPr>
              <w:spacing w:line="21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Якщо замовники послуг транспортування подають підписані заяви, то оператор ГТС має також використовувати електронний підпис при відмові та при наданні доступу до потужності з обмеженнями.</w:t>
            </w:r>
          </w:p>
          <w:p w:rsidR="00B674F8" w:rsidRDefault="009E3065">
            <w:pPr>
              <w:spacing w:line="216" w:lineRule="auto"/>
              <w:ind w:firstLine="709"/>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Разом з тим, у зв'язку з урахуванням пропозицій Оператора ГТС щодо використання “електронного підпису”, а не “кваліфікованого електронного підпису” </w:t>
            </w:r>
            <w:r>
              <w:rPr>
                <w:rFonts w:ascii="Times New Roman" w:eastAsia="Times New Roman" w:hAnsi="Times New Roman" w:cs="Times New Roman"/>
                <w:b/>
                <w:i/>
                <w:sz w:val="24"/>
                <w:szCs w:val="24"/>
              </w:rPr>
              <w:t>попередньо приймаються аналогічні пропозиції</w:t>
            </w:r>
            <w:r>
              <w:rPr>
                <w:rFonts w:ascii="Times New Roman" w:eastAsia="Times New Roman" w:hAnsi="Times New Roman" w:cs="Times New Roman"/>
                <w:i/>
                <w:sz w:val="24"/>
                <w:szCs w:val="24"/>
              </w:rPr>
              <w:t xml:space="preserve"> до цього абзацу </w:t>
            </w:r>
            <w:proofErr w:type="spellStart"/>
            <w:r>
              <w:rPr>
                <w:rFonts w:ascii="Times New Roman" w:eastAsia="Times New Roman" w:hAnsi="Times New Roman" w:cs="Times New Roman"/>
                <w:i/>
                <w:sz w:val="24"/>
                <w:szCs w:val="24"/>
              </w:rPr>
              <w:t>проєкту</w:t>
            </w:r>
            <w:proofErr w:type="spellEnd"/>
            <w:r>
              <w:rPr>
                <w:rFonts w:ascii="Times New Roman" w:eastAsia="Times New Roman" w:hAnsi="Times New Roman" w:cs="Times New Roman"/>
                <w:i/>
                <w:sz w:val="24"/>
                <w:szCs w:val="24"/>
              </w:rPr>
              <w:t>.</w:t>
            </w:r>
          </w:p>
        </w:tc>
      </w:tr>
      <w:tr w:rsidR="00B674F8">
        <w:tc>
          <w:tcPr>
            <w:tcW w:w="15300" w:type="dxa"/>
            <w:gridSpan w:val="3"/>
            <w:tcBorders>
              <w:top w:val="single" w:sz="4" w:space="0" w:color="000000"/>
            </w:tcBorders>
          </w:tcPr>
          <w:p w:rsidR="00B674F8" w:rsidRDefault="009E3065">
            <w:pPr>
              <w:spacing w:line="21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XI. Номінація та </w:t>
            </w:r>
            <w:proofErr w:type="spellStart"/>
            <w:r>
              <w:rPr>
                <w:rFonts w:ascii="Times New Roman" w:eastAsia="Times New Roman" w:hAnsi="Times New Roman" w:cs="Times New Roman"/>
                <w:b/>
                <w:color w:val="000000"/>
                <w:sz w:val="24"/>
                <w:szCs w:val="24"/>
              </w:rPr>
              <w:t>реномінація</w:t>
            </w:r>
            <w:proofErr w:type="spellEnd"/>
          </w:p>
        </w:tc>
      </w:tr>
      <w:tr w:rsidR="00B674F8">
        <w:tc>
          <w:tcPr>
            <w:tcW w:w="15300" w:type="dxa"/>
            <w:gridSpan w:val="3"/>
            <w:tcBorders>
              <w:top w:val="single" w:sz="4" w:space="0" w:color="000000"/>
            </w:tcBorders>
          </w:tcPr>
          <w:p w:rsidR="00B674F8" w:rsidRDefault="009E3065">
            <w:pPr>
              <w:spacing w:line="21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 Загальні умови надання номінацій/</w:t>
            </w:r>
            <w:proofErr w:type="spellStart"/>
            <w:r>
              <w:rPr>
                <w:rFonts w:ascii="Times New Roman" w:eastAsia="Times New Roman" w:hAnsi="Times New Roman" w:cs="Times New Roman"/>
                <w:b/>
                <w:color w:val="000000"/>
                <w:sz w:val="24"/>
                <w:szCs w:val="24"/>
              </w:rPr>
              <w:t>реномінацій</w:t>
            </w:r>
            <w:proofErr w:type="spellEnd"/>
          </w:p>
        </w:tc>
      </w:tr>
      <w:tr w:rsidR="00B674F8">
        <w:tc>
          <w:tcPr>
            <w:tcW w:w="5460" w:type="dxa"/>
            <w:tcBorders>
              <w:top w:val="single" w:sz="4" w:space="0" w:color="000000"/>
            </w:tcBorders>
          </w:tcPr>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23.</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b/>
                <w:color w:val="000000"/>
                <w:sz w:val="24"/>
                <w:szCs w:val="24"/>
              </w:rPr>
              <w:t xml:space="preserve">Якщо у точці входу/виходу на міждержавному з’єднанні з боку суміжного оператора газотранспортної системи подається номінація на кожну годину окремо, оператор газотранспортної системи має право проводити консультації із замовниками послуг транспортування для визначення необхідності подання гармонізованих номінацій та </w:t>
            </w:r>
            <w:proofErr w:type="spellStart"/>
            <w:r>
              <w:rPr>
                <w:rFonts w:ascii="Times New Roman" w:eastAsia="Times New Roman" w:hAnsi="Times New Roman" w:cs="Times New Roman"/>
                <w:b/>
                <w:color w:val="000000"/>
                <w:sz w:val="24"/>
                <w:szCs w:val="24"/>
              </w:rPr>
              <w:t>реномінацій</w:t>
            </w:r>
            <w:proofErr w:type="spellEnd"/>
            <w:r>
              <w:rPr>
                <w:rFonts w:ascii="Times New Roman" w:eastAsia="Times New Roman" w:hAnsi="Times New Roman" w:cs="Times New Roman"/>
                <w:b/>
                <w:color w:val="000000"/>
                <w:sz w:val="24"/>
                <w:szCs w:val="24"/>
              </w:rPr>
              <w:t xml:space="preserve"> в такій точці міждержавного з’єднання. Під час консультацій мають бути враховані такі фактори:</w:t>
            </w:r>
          </w:p>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(а) фінансовий вплив на оператора газотранспортної системи та замовників послуг транспортування;</w:t>
            </w:r>
          </w:p>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(b) вплив на транскордонну торгівлю;</w:t>
            </w:r>
          </w:p>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 вплив на режим добового балансування в точці міждержавного з’єднання.</w:t>
            </w:r>
          </w:p>
          <w:p w:rsidR="00B674F8" w:rsidRDefault="009E3065">
            <w:pPr>
              <w:spacing w:line="216" w:lineRule="auto"/>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color w:val="000000"/>
                <w:sz w:val="24"/>
                <w:szCs w:val="24"/>
              </w:rPr>
              <w:t xml:space="preserve">За результатами консультацій оператор газотранспортної системи може подати Регулятору пропозиції із внесення змін до цього Кодексу щодо процедури подання гармонізованих номінацій та </w:t>
            </w:r>
            <w:proofErr w:type="spellStart"/>
            <w:r>
              <w:rPr>
                <w:rFonts w:ascii="Times New Roman" w:eastAsia="Times New Roman" w:hAnsi="Times New Roman" w:cs="Times New Roman"/>
                <w:b/>
                <w:color w:val="000000"/>
                <w:sz w:val="24"/>
                <w:szCs w:val="24"/>
              </w:rPr>
              <w:t>реномінацій</w:t>
            </w:r>
            <w:proofErr w:type="spellEnd"/>
            <w:r>
              <w:rPr>
                <w:rFonts w:ascii="Times New Roman" w:eastAsia="Times New Roman" w:hAnsi="Times New Roman" w:cs="Times New Roman"/>
                <w:b/>
                <w:color w:val="000000"/>
                <w:sz w:val="24"/>
                <w:szCs w:val="24"/>
              </w:rPr>
              <w:t xml:space="preserve"> у відповідній точці входу/виходу міждержавного з’єднання. Оператор газотранспортної системи зобов’язаний привести угоду про взаємодію, укладену із суміжним оператором газотранспортної системи, у відповідність з такими змінами.</w:t>
            </w:r>
          </w:p>
        </w:tc>
        <w:tc>
          <w:tcPr>
            <w:tcW w:w="5670" w:type="dxa"/>
            <w:tcBorders>
              <w:top w:val="single" w:sz="4" w:space="0" w:color="000000"/>
            </w:tcBorders>
          </w:tcPr>
          <w:p w:rsidR="00B674F8" w:rsidRDefault="009E3065">
            <w:pPr>
              <w:spacing w:line="216" w:lineRule="auto"/>
              <w:ind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ТОВ «Оператор ГТС України»</w:t>
            </w:r>
          </w:p>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Пропонує виокремити пункт 23 в окрему главу та викласти у редакції:</w:t>
            </w:r>
          </w:p>
          <w:p w:rsidR="00B674F8" w:rsidRDefault="009E3065">
            <w:pPr>
              <w:spacing w:line="216"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«8. Спеціальні положення, що стосуються точок міждержавного з’єднання</w:t>
            </w:r>
          </w:p>
          <w:p w:rsidR="00B674F8" w:rsidRDefault="009E3065">
            <w:pPr>
              <w:spacing w:line="216"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b/>
                <w:strike/>
                <w:color w:val="000000"/>
                <w:sz w:val="24"/>
                <w:szCs w:val="24"/>
              </w:rPr>
              <w:t xml:space="preserve">23. </w:t>
            </w:r>
            <w:r>
              <w:rPr>
                <w:rFonts w:ascii="Times New Roman" w:eastAsia="Times New Roman" w:hAnsi="Times New Roman" w:cs="Times New Roman"/>
                <w:b/>
                <w:color w:val="000000"/>
                <w:sz w:val="24"/>
                <w:szCs w:val="24"/>
              </w:rPr>
              <w:t>1.</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color w:val="000000"/>
                <w:sz w:val="24"/>
                <w:szCs w:val="24"/>
              </w:rPr>
              <w:t xml:space="preserve">Якщо у точці входу/виходу на міждержавному з’єднанні з боку суміжного оператора газотранспортної системи подаються </w:t>
            </w:r>
            <w:r>
              <w:rPr>
                <w:rFonts w:ascii="Times New Roman" w:eastAsia="Times New Roman" w:hAnsi="Times New Roman" w:cs="Times New Roman"/>
                <w:b/>
                <w:color w:val="000000"/>
                <w:sz w:val="24"/>
                <w:szCs w:val="24"/>
              </w:rPr>
              <w:t xml:space="preserve">як добові, так і погодинні номінації та </w:t>
            </w:r>
            <w:proofErr w:type="spellStart"/>
            <w:r>
              <w:rPr>
                <w:rFonts w:ascii="Times New Roman" w:eastAsia="Times New Roman" w:hAnsi="Times New Roman" w:cs="Times New Roman"/>
                <w:b/>
                <w:color w:val="000000"/>
                <w:sz w:val="24"/>
                <w:szCs w:val="24"/>
              </w:rPr>
              <w:t>реномінації</w:t>
            </w:r>
            <w:proofErr w:type="spellEnd"/>
            <w:r>
              <w:rPr>
                <w:rFonts w:ascii="Times New Roman" w:eastAsia="Times New Roman" w:hAnsi="Times New Roman" w:cs="Times New Roman"/>
                <w:b/>
                <w:color w:val="000000"/>
                <w:sz w:val="24"/>
                <w:szCs w:val="24"/>
              </w:rPr>
              <w:t>, оператор газотранспортної систем або, у відповідному випадку, Регулятор можуть проводити консультації із зацікавленими сторонами</w:t>
            </w:r>
            <w:r>
              <w:rPr>
                <w:rFonts w:ascii="Times New Roman" w:eastAsia="Times New Roman" w:hAnsi="Times New Roman" w:cs="Times New Roman"/>
                <w:color w:val="000000"/>
                <w:sz w:val="24"/>
                <w:szCs w:val="24"/>
              </w:rPr>
              <w:t xml:space="preserve"> для визначення необхідності подання гармонізованих номінацій та </w:t>
            </w:r>
            <w:proofErr w:type="spellStart"/>
            <w:r>
              <w:rPr>
                <w:rFonts w:ascii="Times New Roman" w:eastAsia="Times New Roman" w:hAnsi="Times New Roman" w:cs="Times New Roman"/>
                <w:color w:val="000000"/>
                <w:sz w:val="24"/>
                <w:szCs w:val="24"/>
              </w:rPr>
              <w:t>реномінацій</w:t>
            </w:r>
            <w:proofErr w:type="spellEnd"/>
            <w:r>
              <w:rPr>
                <w:rFonts w:ascii="Times New Roman" w:eastAsia="Times New Roman" w:hAnsi="Times New Roman" w:cs="Times New Roman"/>
                <w:color w:val="000000"/>
                <w:sz w:val="24"/>
                <w:szCs w:val="24"/>
              </w:rPr>
              <w:t xml:space="preserve"> в точці міждержавного з’єднання. Під час </w:t>
            </w:r>
            <w:r>
              <w:rPr>
                <w:rFonts w:ascii="Times New Roman" w:eastAsia="Times New Roman" w:hAnsi="Times New Roman" w:cs="Times New Roman"/>
                <w:b/>
                <w:color w:val="000000"/>
                <w:sz w:val="24"/>
                <w:szCs w:val="24"/>
              </w:rPr>
              <w:t>цих</w:t>
            </w:r>
            <w:r>
              <w:rPr>
                <w:rFonts w:ascii="Times New Roman" w:eastAsia="Times New Roman" w:hAnsi="Times New Roman" w:cs="Times New Roman"/>
                <w:color w:val="000000"/>
                <w:sz w:val="24"/>
                <w:szCs w:val="24"/>
              </w:rPr>
              <w:t xml:space="preserve"> консультацій мають бути враховані принаймні такі фактори:</w:t>
            </w:r>
          </w:p>
          <w:p w:rsidR="00B674F8" w:rsidRDefault="009E3065">
            <w:pPr>
              <w:spacing w:line="216"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фінансовий вплив на оператора газотранспортної системи та замовників послуг транспортування;</w:t>
            </w:r>
          </w:p>
          <w:p w:rsidR="00B674F8" w:rsidRDefault="009E3065">
            <w:pPr>
              <w:spacing w:line="216"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b/>
                <w:strike/>
                <w:color w:val="000000"/>
                <w:sz w:val="24"/>
                <w:szCs w:val="24"/>
              </w:rPr>
              <w:t>b</w:t>
            </w:r>
            <w:r>
              <w:rPr>
                <w:rFonts w:ascii="Times New Roman" w:eastAsia="Times New Roman" w:hAnsi="Times New Roman" w:cs="Times New Roman"/>
                <w:b/>
                <w:color w:val="000000"/>
                <w:sz w:val="24"/>
                <w:szCs w:val="24"/>
              </w:rPr>
              <w:t>б</w:t>
            </w:r>
            <w:proofErr w:type="spellEnd"/>
            <w:r>
              <w:rPr>
                <w:rFonts w:ascii="Times New Roman" w:eastAsia="Times New Roman" w:hAnsi="Times New Roman" w:cs="Times New Roman"/>
                <w:color w:val="000000"/>
                <w:sz w:val="24"/>
                <w:szCs w:val="24"/>
              </w:rPr>
              <w:t>) вплив на транскордонну торгівлю;</w:t>
            </w:r>
          </w:p>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b/>
                <w:strike/>
                <w:color w:val="000000"/>
                <w:sz w:val="24"/>
                <w:szCs w:val="24"/>
              </w:rPr>
              <w:t>с</w:t>
            </w:r>
            <w:r>
              <w:rPr>
                <w:rFonts w:ascii="Times New Roman" w:eastAsia="Times New Roman" w:hAnsi="Times New Roman" w:cs="Times New Roman"/>
                <w:b/>
                <w:color w:val="000000"/>
                <w:sz w:val="24"/>
                <w:szCs w:val="24"/>
              </w:rPr>
              <w:t>в</w:t>
            </w:r>
            <w:proofErr w:type="spellEnd"/>
            <w:r>
              <w:rPr>
                <w:rFonts w:ascii="Times New Roman" w:eastAsia="Times New Roman" w:hAnsi="Times New Roman" w:cs="Times New Roman"/>
                <w:color w:val="000000"/>
                <w:sz w:val="24"/>
                <w:szCs w:val="24"/>
              </w:rPr>
              <w:t>) вплив на режим добового балансування в точці міждержавного з’єднання.</w:t>
            </w:r>
          </w:p>
          <w:p w:rsidR="00B674F8" w:rsidRDefault="009E3065">
            <w:pPr>
              <w:spacing w:line="216" w:lineRule="auto"/>
              <w:ind w:firstLine="720"/>
              <w:jc w:val="both"/>
              <w:rPr>
                <w:rFonts w:ascii="Times New Roman" w:eastAsia="Times New Roman" w:hAnsi="Times New Roman" w:cs="Times New Roman"/>
                <w:i/>
                <w:color w:val="000000"/>
                <w:sz w:val="24"/>
                <w:szCs w:val="24"/>
              </w:rPr>
            </w:pPr>
            <w:r>
              <w:rPr>
                <w:rFonts w:ascii="Times New Roman" w:eastAsia="Times New Roman" w:hAnsi="Times New Roman" w:cs="Times New Roman"/>
                <w:b/>
                <w:color w:val="000000"/>
                <w:sz w:val="24"/>
                <w:szCs w:val="24"/>
              </w:rPr>
              <w:t>2.</w:t>
            </w:r>
            <w:r>
              <w:rPr>
                <w:rFonts w:ascii="Times New Roman" w:eastAsia="Times New Roman" w:hAnsi="Times New Roman" w:cs="Times New Roman"/>
                <w:color w:val="000000"/>
                <w:sz w:val="24"/>
                <w:szCs w:val="24"/>
              </w:rPr>
              <w:t xml:space="preserve"> За результатами консультацій оператор газотранспортної системи може подати Регулятору пропозиції із внесення змін до цього Кодексу щодо процедури подання гармонізованих номінацій та </w:t>
            </w:r>
            <w:proofErr w:type="spellStart"/>
            <w:r>
              <w:rPr>
                <w:rFonts w:ascii="Times New Roman" w:eastAsia="Times New Roman" w:hAnsi="Times New Roman" w:cs="Times New Roman"/>
                <w:color w:val="000000"/>
                <w:sz w:val="24"/>
                <w:szCs w:val="24"/>
              </w:rPr>
              <w:t>реномінацій</w:t>
            </w:r>
            <w:proofErr w:type="spellEnd"/>
            <w:r>
              <w:rPr>
                <w:rFonts w:ascii="Times New Roman" w:eastAsia="Times New Roman" w:hAnsi="Times New Roman" w:cs="Times New Roman"/>
                <w:color w:val="000000"/>
                <w:sz w:val="24"/>
                <w:szCs w:val="24"/>
              </w:rPr>
              <w:t xml:space="preserve"> у відповідній точці входу/виходу міждержавного з’єднання. </w:t>
            </w:r>
          </w:p>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3. </w:t>
            </w:r>
            <w:r>
              <w:rPr>
                <w:rFonts w:ascii="Times New Roman" w:eastAsia="Times New Roman" w:hAnsi="Times New Roman" w:cs="Times New Roman"/>
                <w:color w:val="000000"/>
                <w:sz w:val="24"/>
                <w:szCs w:val="24"/>
              </w:rPr>
              <w:t xml:space="preserve">Оператор газотранспортної системи зобов’язаний </w:t>
            </w:r>
            <w:r>
              <w:rPr>
                <w:rFonts w:ascii="Times New Roman" w:eastAsia="Times New Roman" w:hAnsi="Times New Roman" w:cs="Times New Roman"/>
                <w:b/>
                <w:color w:val="000000"/>
                <w:sz w:val="24"/>
                <w:szCs w:val="24"/>
              </w:rPr>
              <w:t>вжити заходів з</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strike/>
                <w:color w:val="000000"/>
                <w:sz w:val="24"/>
                <w:szCs w:val="24"/>
              </w:rPr>
              <w:t xml:space="preserve">привести </w:t>
            </w:r>
            <w:r>
              <w:rPr>
                <w:rFonts w:ascii="Times New Roman" w:eastAsia="Times New Roman" w:hAnsi="Times New Roman" w:cs="Times New Roman"/>
                <w:b/>
                <w:color w:val="000000"/>
                <w:sz w:val="24"/>
                <w:szCs w:val="24"/>
              </w:rPr>
              <w:t xml:space="preserve">приведення </w:t>
            </w:r>
            <w:r>
              <w:rPr>
                <w:rFonts w:ascii="Times New Roman" w:eastAsia="Times New Roman" w:hAnsi="Times New Roman" w:cs="Times New Roman"/>
                <w:b/>
                <w:strike/>
                <w:color w:val="000000"/>
                <w:sz w:val="24"/>
                <w:szCs w:val="24"/>
              </w:rPr>
              <w:t>угоду</w:t>
            </w:r>
            <w:r>
              <w:rPr>
                <w:rFonts w:ascii="Times New Roman" w:eastAsia="Times New Roman" w:hAnsi="Times New Roman" w:cs="Times New Roman"/>
                <w:b/>
                <w:color w:val="000000"/>
                <w:sz w:val="24"/>
                <w:szCs w:val="24"/>
              </w:rPr>
              <w:t xml:space="preserve"> положень угоди </w:t>
            </w:r>
            <w:r>
              <w:rPr>
                <w:rFonts w:ascii="Times New Roman" w:eastAsia="Times New Roman" w:hAnsi="Times New Roman" w:cs="Times New Roman"/>
                <w:color w:val="000000"/>
                <w:sz w:val="24"/>
                <w:szCs w:val="24"/>
              </w:rPr>
              <w:t xml:space="preserve">про взаємодію, </w:t>
            </w:r>
            <w:r>
              <w:rPr>
                <w:rFonts w:ascii="Times New Roman" w:eastAsia="Times New Roman" w:hAnsi="Times New Roman" w:cs="Times New Roman"/>
                <w:b/>
                <w:strike/>
                <w:color w:val="000000"/>
                <w:sz w:val="24"/>
                <w:szCs w:val="24"/>
              </w:rPr>
              <w:t>укладену</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 xml:space="preserve">укладеної </w:t>
            </w:r>
            <w:r>
              <w:rPr>
                <w:rFonts w:ascii="Times New Roman" w:eastAsia="Times New Roman" w:hAnsi="Times New Roman" w:cs="Times New Roman"/>
                <w:color w:val="000000"/>
                <w:sz w:val="24"/>
                <w:szCs w:val="24"/>
              </w:rPr>
              <w:t>із суміжним оператором газотранспортної системи, у відповідність з такими змінами.</w:t>
            </w:r>
          </w:p>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У випадку відмови оператором суміжної газотранспортної системи, з яким укладена угода про взаємодію, оператор газотранспортної системи інформує про це Регулятора у розумні строки, а також надає інформацію про заходи, вжиті для приведення у відповідність відповідної угоди про взаємодію з такими змінами.».</w:t>
            </w:r>
          </w:p>
          <w:p w:rsidR="00B674F8" w:rsidRDefault="00B674F8">
            <w:pPr>
              <w:spacing w:line="216" w:lineRule="auto"/>
              <w:ind w:firstLine="709"/>
              <w:jc w:val="both"/>
              <w:rPr>
                <w:rFonts w:ascii="Times New Roman" w:eastAsia="Times New Roman" w:hAnsi="Times New Roman" w:cs="Times New Roman"/>
                <w:color w:val="000000"/>
                <w:sz w:val="24"/>
                <w:szCs w:val="24"/>
              </w:rPr>
            </w:pPr>
          </w:p>
          <w:p w:rsidR="00B674F8" w:rsidRDefault="009E3065">
            <w:pPr>
              <w:spacing w:line="216" w:lineRule="auto"/>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 xml:space="preserve">Обґрунтування </w:t>
            </w:r>
          </w:p>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 зв'язку з тим, що глава 1 цього розділу передбачає положення щодо загальних умов надання номінацій/</w:t>
            </w:r>
            <w:proofErr w:type="spellStart"/>
            <w:r>
              <w:rPr>
                <w:rFonts w:ascii="Times New Roman" w:eastAsia="Times New Roman" w:hAnsi="Times New Roman" w:cs="Times New Roman"/>
                <w:color w:val="000000"/>
                <w:sz w:val="24"/>
                <w:szCs w:val="24"/>
              </w:rPr>
              <w:t>реномінацій</w:t>
            </w:r>
            <w:proofErr w:type="spellEnd"/>
            <w:r>
              <w:rPr>
                <w:rFonts w:ascii="Times New Roman" w:eastAsia="Times New Roman" w:hAnsi="Times New Roman" w:cs="Times New Roman"/>
                <w:color w:val="000000"/>
                <w:sz w:val="24"/>
                <w:szCs w:val="24"/>
              </w:rPr>
              <w:t xml:space="preserve"> пропонується викласти такі спеціальні положення в окремій главі.</w:t>
            </w:r>
          </w:p>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Крім цього, пропонуємо  привести запропоновані НКРЕКП положення у відповідність до положень Регламенту № 312/2014 від 26 березня 2014 року про встановлення Мережевого кодексу балансування газу в газотранспортних мережах.</w:t>
            </w:r>
          </w:p>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Оскільки внесення змін до угоди про взаємодію є правочином, що потребує вчинення відповідних дій зі сторони двох операторів ГТС, між якими укладена така угода про взаємодію, пропонується покласти обов'язок на оператора газотранспортної з вчинення всіх можливих дій зі свого боку для досягнення цілі з приведення положень угоди зі змінами та не покладати відповідальність за дії (бездіяльність) інших суб'єктів господарювання (операторів ГТС), які зареєстровані за законодавством інших держав.</w:t>
            </w:r>
          </w:p>
        </w:tc>
        <w:tc>
          <w:tcPr>
            <w:tcW w:w="4170" w:type="dxa"/>
            <w:tcBorders>
              <w:top w:val="single" w:sz="4" w:space="0" w:color="000000"/>
            </w:tcBorders>
          </w:tcPr>
          <w:p w:rsidR="00B674F8" w:rsidRDefault="009E3065">
            <w:pPr>
              <w:spacing w:line="216"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B674F8" w:rsidRDefault="009E3065">
            <w:pPr>
              <w:spacing w:line="21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Пропозиції не змінюють суті норм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w:t>
            </w:r>
          </w:p>
          <w:p w:rsidR="00B674F8" w:rsidRDefault="009E3065">
            <w:pPr>
              <w:spacing w:line="21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Крім цього після подання Оператором ГТС Регулятору пропозиції із внесення змін до Кодексу ГТС, Регулятор</w:t>
            </w:r>
            <w:r w:rsidR="00155DE3" w:rsidRPr="00155DE3">
              <w:rPr>
                <w:rFonts w:ascii="Times New Roman" w:eastAsia="Times New Roman" w:hAnsi="Times New Roman" w:cs="Times New Roman"/>
                <w:sz w:val="24"/>
                <w:szCs w:val="24"/>
              </w:rPr>
              <w:t xml:space="preserve"> </w:t>
            </w:r>
            <w:r w:rsidR="00155DE3">
              <w:rPr>
                <w:rFonts w:ascii="Times New Roman" w:eastAsia="Times New Roman" w:hAnsi="Times New Roman" w:cs="Times New Roman"/>
                <w:sz w:val="24"/>
                <w:szCs w:val="24"/>
              </w:rPr>
              <w:t>розгляне їх у встановленому законодавством порядку та</w:t>
            </w:r>
            <w:r>
              <w:rPr>
                <w:rFonts w:ascii="Times New Roman" w:eastAsia="Times New Roman" w:hAnsi="Times New Roman" w:cs="Times New Roman"/>
                <w:sz w:val="24"/>
                <w:szCs w:val="24"/>
              </w:rPr>
              <w:t xml:space="preserve"> проведе відкриті обговорення змін до Кодексу ГТС відповідно до постанови НКРЕКП від 30.06.2017 № 866.</w:t>
            </w:r>
          </w:p>
        </w:tc>
      </w:tr>
      <w:tr w:rsidR="00B674F8">
        <w:tc>
          <w:tcPr>
            <w:tcW w:w="15300" w:type="dxa"/>
            <w:gridSpan w:val="3"/>
            <w:tcBorders>
              <w:top w:val="single" w:sz="4" w:space="0" w:color="000000"/>
            </w:tcBorders>
          </w:tcPr>
          <w:p w:rsidR="00B674F8" w:rsidRDefault="009E3065">
            <w:pPr>
              <w:spacing w:line="216" w:lineRule="auto"/>
              <w:jc w:val="center"/>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b/>
                <w:color w:val="000000"/>
                <w:sz w:val="24"/>
                <w:szCs w:val="24"/>
                <w:highlight w:val="white"/>
              </w:rPr>
              <w:t>XIV. Комерційне балансування</w:t>
            </w:r>
          </w:p>
        </w:tc>
      </w:tr>
      <w:tr w:rsidR="00B674F8">
        <w:tc>
          <w:tcPr>
            <w:tcW w:w="15300" w:type="dxa"/>
            <w:gridSpan w:val="3"/>
            <w:tcBorders>
              <w:top w:val="single" w:sz="4" w:space="0" w:color="000000"/>
            </w:tcBorders>
          </w:tcPr>
          <w:p w:rsidR="00B674F8" w:rsidRDefault="009E3065">
            <w:pPr>
              <w:spacing w:line="216" w:lineRule="auto"/>
              <w:jc w:val="center"/>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b/>
                <w:color w:val="000000"/>
                <w:sz w:val="24"/>
                <w:szCs w:val="24"/>
                <w:highlight w:val="white"/>
              </w:rPr>
              <w:t>3. Балансуючі дії оператора газотранспортної системи</w:t>
            </w:r>
          </w:p>
        </w:tc>
      </w:tr>
      <w:tr w:rsidR="00B674F8">
        <w:tc>
          <w:tcPr>
            <w:tcW w:w="5460" w:type="dxa"/>
            <w:tcBorders>
              <w:top w:val="single" w:sz="4" w:space="0" w:color="000000"/>
            </w:tcBorders>
          </w:tcPr>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B674F8" w:rsidRDefault="009E3065">
            <w:pPr>
              <w:spacing w:line="216" w:lineRule="auto"/>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color w:val="000000"/>
                <w:sz w:val="24"/>
                <w:szCs w:val="24"/>
              </w:rPr>
              <w:t>7. Оператор газотранспортної системи має право подати на погодження Регулятору механізм стимулювання із підвищення ефективності балансуючих дій згідно з вимогами Регламенту Комісії (ЄС) № 312/2014 від 26 березня 2014 року, яким запроваджується кодекс мереж щодо балансування газотранспортних систем. Оператор газотранспортної системи може провести консультації щодо такого механізму стимулювання із зацікавленими особами за власною ініціативою або на вимогу Регулятора.</w:t>
            </w:r>
          </w:p>
        </w:tc>
        <w:tc>
          <w:tcPr>
            <w:tcW w:w="5670" w:type="dxa"/>
            <w:tcBorders>
              <w:top w:val="single" w:sz="4" w:space="0" w:color="000000"/>
            </w:tcBorders>
          </w:tcPr>
          <w:p w:rsidR="00B674F8" w:rsidRDefault="009E3065">
            <w:pPr>
              <w:spacing w:line="216" w:lineRule="auto"/>
              <w:jc w:val="center"/>
              <w:rPr>
                <w:rFonts w:ascii="Times New Roman" w:eastAsia="Times New Roman" w:hAnsi="Times New Roman" w:cs="Times New Roman"/>
                <w:b/>
                <w:color w:val="000000"/>
                <w:sz w:val="24"/>
                <w:szCs w:val="24"/>
                <w:u w:val="single"/>
              </w:rPr>
            </w:pPr>
            <w:proofErr w:type="spellStart"/>
            <w:r>
              <w:rPr>
                <w:rFonts w:ascii="Times New Roman" w:eastAsia="Times New Roman" w:hAnsi="Times New Roman" w:cs="Times New Roman"/>
                <w:b/>
                <w:color w:val="000000"/>
                <w:sz w:val="24"/>
                <w:szCs w:val="24"/>
                <w:u w:val="single"/>
              </w:rPr>
              <w:t>Бакулін</w:t>
            </w:r>
            <w:proofErr w:type="spellEnd"/>
            <w:r>
              <w:rPr>
                <w:rFonts w:ascii="Times New Roman" w:eastAsia="Times New Roman" w:hAnsi="Times New Roman" w:cs="Times New Roman"/>
                <w:b/>
                <w:color w:val="000000"/>
                <w:sz w:val="24"/>
                <w:szCs w:val="24"/>
                <w:u w:val="single"/>
              </w:rPr>
              <w:t xml:space="preserve"> О. Ю.</w:t>
            </w:r>
          </w:p>
          <w:p w:rsidR="00B674F8" w:rsidRDefault="009E3065">
            <w:pPr>
              <w:shd w:val="clear" w:color="auto" w:fill="FFFFFF"/>
              <w:spacing w:line="21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З метою сприяння ліквідності короткострокового оптового ринку газу, Регулятор може стимулювати оператора газотранспортної системи до ефективного вчинення балансуючих дії або до максимального вчинення балансуючих дій шляхом торгівлі короткостроковими стандартизованими продуктами.</w:t>
            </w:r>
          </w:p>
          <w:p w:rsidR="00B674F8" w:rsidRDefault="009E3065">
            <w:pPr>
              <w:shd w:val="clear" w:color="auto" w:fill="FFFFFF"/>
              <w:spacing w:line="216" w:lineRule="auto"/>
              <w:ind w:firstLine="709"/>
              <w:jc w:val="both"/>
              <w:rPr>
                <w:rFonts w:ascii="Times New Roman" w:eastAsia="Times New Roman" w:hAnsi="Times New Roman" w:cs="Times New Roman"/>
                <w:sz w:val="24"/>
                <w:szCs w:val="24"/>
              </w:rPr>
            </w:pPr>
            <w:bookmarkStart w:id="1" w:name="bookmark=id.2rxgxiz3krzd" w:colFirst="0" w:colLast="0"/>
            <w:bookmarkEnd w:id="1"/>
            <w:r>
              <w:rPr>
                <w:rFonts w:ascii="Times New Roman" w:eastAsia="Times New Roman" w:hAnsi="Times New Roman" w:cs="Times New Roman"/>
                <w:sz w:val="24"/>
                <w:szCs w:val="24"/>
              </w:rPr>
              <w:t>Оператор газотранспортної системи має право подати на погодження Регулятору механізм стимулювання, що має відповідати загальним принципам, викладеним у Регламенті № 312/2014 від 26 березня 2014 року, яким запроваджується мережевий кодекс балансування газу в транспортних мережах</w:t>
            </w:r>
          </w:p>
          <w:p w:rsidR="00B674F8" w:rsidRDefault="009E3065">
            <w:pPr>
              <w:shd w:val="clear" w:color="auto" w:fill="FFFFFF"/>
              <w:spacing w:line="216" w:lineRule="auto"/>
              <w:ind w:firstLine="709"/>
              <w:jc w:val="both"/>
              <w:rPr>
                <w:rFonts w:ascii="Times New Roman" w:eastAsia="Times New Roman" w:hAnsi="Times New Roman" w:cs="Times New Roman"/>
                <w:sz w:val="24"/>
                <w:szCs w:val="24"/>
              </w:rPr>
            </w:pPr>
            <w:bookmarkStart w:id="2" w:name="bookmark=id.l7mbxewm2u17" w:colFirst="0" w:colLast="0"/>
            <w:bookmarkEnd w:id="2"/>
            <w:r>
              <w:rPr>
                <w:rFonts w:ascii="Times New Roman" w:eastAsia="Times New Roman" w:hAnsi="Times New Roman" w:cs="Times New Roman"/>
                <w:sz w:val="24"/>
                <w:szCs w:val="24"/>
              </w:rPr>
              <w:t>Перед поданням пропозиції, зазначеної у попередньому пункті, оператор газотранспортної системи може провести консультації із зацікавленими особами за власною ініціативою або на вимогу Регулятора.</w:t>
            </w:r>
          </w:p>
          <w:p w:rsidR="00B674F8" w:rsidRDefault="009E3065">
            <w:pPr>
              <w:shd w:val="clear" w:color="auto" w:fill="FFFFFF"/>
              <w:spacing w:line="216" w:lineRule="auto"/>
              <w:ind w:firstLine="709"/>
              <w:jc w:val="both"/>
              <w:rPr>
                <w:rFonts w:ascii="Times New Roman" w:eastAsia="Times New Roman" w:hAnsi="Times New Roman" w:cs="Times New Roman"/>
                <w:sz w:val="24"/>
                <w:szCs w:val="24"/>
              </w:rPr>
            </w:pPr>
            <w:bookmarkStart w:id="3" w:name="bookmark=id.iz5bijsmovn6" w:colFirst="0" w:colLast="0"/>
            <w:bookmarkEnd w:id="3"/>
            <w:r>
              <w:rPr>
                <w:rFonts w:ascii="Times New Roman" w:eastAsia="Times New Roman" w:hAnsi="Times New Roman" w:cs="Times New Roman"/>
                <w:sz w:val="24"/>
                <w:szCs w:val="24"/>
              </w:rPr>
              <w:t>Механізм стимулювання повинен:</w:t>
            </w:r>
          </w:p>
          <w:p w:rsidR="00B674F8" w:rsidRDefault="009E3065">
            <w:pPr>
              <w:shd w:val="clear" w:color="auto" w:fill="FFFFFF"/>
              <w:spacing w:line="216" w:lineRule="auto"/>
              <w:ind w:firstLine="709"/>
              <w:jc w:val="both"/>
              <w:rPr>
                <w:rFonts w:ascii="Times New Roman" w:eastAsia="Times New Roman" w:hAnsi="Times New Roman" w:cs="Times New Roman"/>
                <w:sz w:val="24"/>
                <w:szCs w:val="24"/>
              </w:rPr>
            </w:pPr>
            <w:bookmarkStart w:id="4" w:name="bookmark=id.eo23siwrzd2n" w:colFirst="0" w:colLast="0"/>
            <w:bookmarkEnd w:id="4"/>
            <w:r>
              <w:rPr>
                <w:rFonts w:ascii="Times New Roman" w:eastAsia="Times New Roman" w:hAnsi="Times New Roman" w:cs="Times New Roman"/>
                <w:sz w:val="24"/>
                <w:szCs w:val="24"/>
              </w:rPr>
              <w:t>(a) базуватися на ефективності діяльності оператора газотранспортної системи шляхом встановлення обмеження розміру виплати оператору газотранспортної системи за перевиконання та стягнення з оператора газотранспортної системи за недовиконання, що визначаються виходячи з попередньо визначених показників ефективності, що можуть включати, зокрема, цілі щодо рівня витрат;</w:t>
            </w:r>
          </w:p>
          <w:p w:rsidR="00B674F8" w:rsidRDefault="009E3065">
            <w:pPr>
              <w:shd w:val="clear" w:color="auto" w:fill="FFFFFF"/>
              <w:spacing w:line="216" w:lineRule="auto"/>
              <w:ind w:firstLine="709"/>
              <w:jc w:val="both"/>
              <w:rPr>
                <w:rFonts w:ascii="Times New Roman" w:eastAsia="Times New Roman" w:hAnsi="Times New Roman" w:cs="Times New Roman"/>
                <w:sz w:val="24"/>
                <w:szCs w:val="24"/>
              </w:rPr>
            </w:pPr>
            <w:bookmarkStart w:id="5" w:name="bookmark=id.i6nszxni7x52" w:colFirst="0" w:colLast="0"/>
            <w:bookmarkEnd w:id="5"/>
            <w:r>
              <w:rPr>
                <w:rFonts w:ascii="Times New Roman" w:eastAsia="Times New Roman" w:hAnsi="Times New Roman" w:cs="Times New Roman"/>
                <w:sz w:val="24"/>
                <w:szCs w:val="24"/>
              </w:rPr>
              <w:t>(b) враховувати засоби у розпорядженні оператора газотранспортної системи, що дозволяють йому здійснювати контроль за власною ефективністю діяльності;</w:t>
            </w:r>
          </w:p>
          <w:p w:rsidR="00B674F8" w:rsidRDefault="009E3065">
            <w:pPr>
              <w:shd w:val="clear" w:color="auto" w:fill="FFFFFF"/>
              <w:spacing w:line="216" w:lineRule="auto"/>
              <w:ind w:firstLine="709"/>
              <w:jc w:val="both"/>
              <w:rPr>
                <w:rFonts w:ascii="Times New Roman" w:eastAsia="Times New Roman" w:hAnsi="Times New Roman" w:cs="Times New Roman"/>
                <w:sz w:val="24"/>
                <w:szCs w:val="24"/>
              </w:rPr>
            </w:pPr>
            <w:bookmarkStart w:id="6" w:name="bookmark=id.25x3j6fjyck5" w:colFirst="0" w:colLast="0"/>
            <w:bookmarkEnd w:id="6"/>
            <w:r>
              <w:rPr>
                <w:rFonts w:ascii="Times New Roman" w:eastAsia="Times New Roman" w:hAnsi="Times New Roman" w:cs="Times New Roman"/>
                <w:sz w:val="24"/>
                <w:szCs w:val="24"/>
              </w:rPr>
              <w:t>(c) забезпечувати належний розподіл відповідальності між всіма сторонами під час його застосування;</w:t>
            </w:r>
          </w:p>
          <w:p w:rsidR="00B674F8" w:rsidRDefault="009E3065">
            <w:pPr>
              <w:shd w:val="clear" w:color="auto" w:fill="FFFFFF"/>
              <w:spacing w:line="216" w:lineRule="auto"/>
              <w:ind w:firstLine="709"/>
              <w:jc w:val="both"/>
              <w:rPr>
                <w:rFonts w:ascii="Times New Roman" w:eastAsia="Times New Roman" w:hAnsi="Times New Roman" w:cs="Times New Roman"/>
                <w:sz w:val="24"/>
                <w:szCs w:val="24"/>
              </w:rPr>
            </w:pPr>
            <w:bookmarkStart w:id="7" w:name="bookmark=id.hvqsxy8vxyx8" w:colFirst="0" w:colLast="0"/>
            <w:bookmarkEnd w:id="7"/>
            <w:r>
              <w:rPr>
                <w:rFonts w:ascii="Times New Roman" w:eastAsia="Times New Roman" w:hAnsi="Times New Roman" w:cs="Times New Roman"/>
                <w:sz w:val="24"/>
                <w:szCs w:val="24"/>
              </w:rPr>
              <w:t>(d) бути адекватним рівню розвитку ринку, на якому він буде застосовуватися;</w:t>
            </w:r>
          </w:p>
          <w:p w:rsidR="00B674F8" w:rsidRDefault="009E3065">
            <w:pPr>
              <w:shd w:val="clear" w:color="auto" w:fill="FFFFFF"/>
              <w:spacing w:after="150" w:line="216" w:lineRule="auto"/>
              <w:ind w:firstLine="709"/>
              <w:jc w:val="both"/>
              <w:rPr>
                <w:rFonts w:ascii="Times New Roman" w:eastAsia="Times New Roman" w:hAnsi="Times New Roman" w:cs="Times New Roman"/>
                <w:sz w:val="24"/>
                <w:szCs w:val="24"/>
              </w:rPr>
            </w:pPr>
            <w:bookmarkStart w:id="8" w:name="bookmark=id.dzofxfezfg4b" w:colFirst="0" w:colLast="0"/>
            <w:bookmarkEnd w:id="8"/>
            <w:r>
              <w:rPr>
                <w:rFonts w:ascii="Times New Roman" w:eastAsia="Times New Roman" w:hAnsi="Times New Roman" w:cs="Times New Roman"/>
                <w:sz w:val="24"/>
                <w:szCs w:val="24"/>
              </w:rPr>
              <w:t>(е) підлягати регулярному перегляду Регулятором у тісній співпраці з оператором газотранспортної системи для виявлення необхідності внесень до нього змін.</w:t>
            </w:r>
          </w:p>
          <w:p w:rsidR="00B674F8" w:rsidRDefault="009E3065">
            <w:pPr>
              <w:shd w:val="clear" w:color="auto" w:fill="FFFFFF"/>
              <w:spacing w:line="216"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B674F8" w:rsidRDefault="009E3065">
            <w:pPr>
              <w:pBdr>
                <w:top w:val="nil"/>
                <w:left w:val="nil"/>
                <w:bottom w:val="nil"/>
                <w:right w:val="nil"/>
                <w:between w:val="nil"/>
              </w:pBd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Постановою НКРЕКП від 29.11.2019  року № 2586 «Про транспозицію положень актів Європейського Союзу та Енергетичного Співтовариства на ринку природного газу України</w:t>
            </w:r>
            <w:bookmarkStart w:id="9" w:name="bookmark=id.g3edjpkbt24o" w:colFirst="0" w:colLast="0"/>
            <w:bookmarkStart w:id="10" w:name="bookmark=id.mq5dhn5agscd" w:colFirst="0" w:colLast="0"/>
            <w:bookmarkEnd w:id="9"/>
            <w:bookmarkEnd w:id="10"/>
            <w:r>
              <w:rPr>
                <w:rFonts w:ascii="Times New Roman" w:eastAsia="Times New Roman" w:hAnsi="Times New Roman" w:cs="Times New Roman"/>
                <w:color w:val="000000"/>
                <w:sz w:val="24"/>
                <w:szCs w:val="24"/>
              </w:rPr>
              <w:t>» транспоновані  положення актів Європейського Союзу  та Енергетичного Співтовариства на ринку природного газу, офіційний переклад яких здійснено Урядовим офісом координації європейської та євроатлантичної інтеграції 25 листопада 2019 року, зокрема РЕГЛАМЕНТ КОМІСІЇ (ЄС) № 312/2014 від 26 березня 2014 року, яким запроваджується мережевий кодекс балансування газу в транспортних мережах.</w:t>
            </w:r>
          </w:p>
          <w:p w:rsidR="00B674F8" w:rsidRDefault="009E3065">
            <w:pPr>
              <w:pBdr>
                <w:top w:val="nil"/>
                <w:left w:val="nil"/>
                <w:bottom w:val="nil"/>
                <w:right w:val="nil"/>
                <w:between w:val="nil"/>
              </w:pBd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 урахуванням прийняття постанови НКРЕКП від 29.11.2019  року № 2586 РЕГЛАМЕНТ КОМІСІЇ (ЄС) № 312/2014 від 26 березня 2014 року набув статусу частини законодавства України.</w:t>
            </w:r>
          </w:p>
          <w:p w:rsidR="00B674F8" w:rsidRDefault="009E3065">
            <w:pPr>
              <w:pBdr>
                <w:top w:val="nil"/>
                <w:left w:val="nil"/>
                <w:bottom w:val="nil"/>
                <w:right w:val="nil"/>
                <w:between w:val="nil"/>
              </w:pBd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цьому випадку, є безпідставним внесення запропонованих </w:t>
            </w:r>
            <w:proofErr w:type="spellStart"/>
            <w:r>
              <w:rPr>
                <w:rFonts w:ascii="Times New Roman" w:eastAsia="Times New Roman" w:hAnsi="Times New Roman" w:cs="Times New Roman"/>
                <w:color w:val="000000"/>
                <w:sz w:val="24"/>
                <w:szCs w:val="24"/>
              </w:rPr>
              <w:t>проєктом</w:t>
            </w:r>
            <w:proofErr w:type="spellEnd"/>
            <w:r>
              <w:rPr>
                <w:rFonts w:ascii="Times New Roman" w:eastAsia="Times New Roman" w:hAnsi="Times New Roman" w:cs="Times New Roman"/>
                <w:color w:val="000000"/>
                <w:sz w:val="24"/>
                <w:szCs w:val="24"/>
              </w:rPr>
              <w:t xml:space="preserve"> змін до  Кодексу газотранспортної системи, затвердженого постановою НКРЕКП</w:t>
            </w:r>
            <w:r>
              <w:rPr>
                <w:rFonts w:ascii="Times New Roman" w:eastAsia="Times New Roman" w:hAnsi="Times New Roman" w:cs="Times New Roman"/>
                <w:color w:val="000000"/>
                <w:sz w:val="24"/>
                <w:szCs w:val="24"/>
                <w:highlight w:val="white"/>
              </w:rPr>
              <w:t xml:space="preserve"> від 30.09.2015 року  № 2493, щодо </w:t>
            </w:r>
            <w:r>
              <w:rPr>
                <w:rFonts w:ascii="Times New Roman" w:eastAsia="Times New Roman" w:hAnsi="Times New Roman" w:cs="Times New Roman"/>
                <w:color w:val="000000"/>
                <w:sz w:val="24"/>
                <w:szCs w:val="24"/>
              </w:rPr>
              <w:t>механізму стимулювання із підвищення ефективності балансуючих дій  та застосування допустимого відхилення.</w:t>
            </w:r>
          </w:p>
          <w:p w:rsidR="00B674F8" w:rsidRDefault="009E3065">
            <w:pPr>
              <w:pBdr>
                <w:top w:val="nil"/>
                <w:left w:val="nil"/>
                <w:bottom w:val="nil"/>
                <w:right w:val="nil"/>
                <w:between w:val="nil"/>
              </w:pBdr>
              <w:spacing w:line="216" w:lineRule="auto"/>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sz w:val="24"/>
                <w:szCs w:val="24"/>
              </w:rPr>
              <w:t>З іншого боку, якщо НКРЕКП заперечує транспозицію повного тексту РЕГЛАМЕНТУ КОМІСІЇ (ЄС) № 312/2014 від 26 березня 2014 року, положення статті 11 цього РЕГЛАМЕНТУ мають бути внесені  до  Кодексу газотранспортної системи максимально повно.</w:t>
            </w:r>
            <w:r>
              <w:rPr>
                <w:rFonts w:ascii="Times New Roman" w:eastAsia="Times New Roman" w:hAnsi="Times New Roman" w:cs="Times New Roman"/>
                <w:color w:val="000000"/>
              </w:rPr>
              <w:t xml:space="preserve"> </w:t>
            </w:r>
          </w:p>
        </w:tc>
        <w:tc>
          <w:tcPr>
            <w:tcW w:w="4170" w:type="dxa"/>
            <w:tcBorders>
              <w:top w:val="single" w:sz="4" w:space="0" w:color="000000"/>
            </w:tcBorders>
          </w:tcPr>
          <w:p w:rsidR="00B674F8" w:rsidRDefault="009E3065">
            <w:pPr>
              <w:spacing w:line="216"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B674F8" w:rsidRDefault="009E3065">
            <w:pPr>
              <w:spacing w:line="21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Пропозиції не змінюють суті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оскільки </w:t>
            </w:r>
            <w:proofErr w:type="spellStart"/>
            <w:r>
              <w:rPr>
                <w:rFonts w:ascii="Times New Roman" w:eastAsia="Times New Roman" w:hAnsi="Times New Roman" w:cs="Times New Roman"/>
                <w:sz w:val="24"/>
                <w:szCs w:val="24"/>
              </w:rPr>
              <w:t>проєктом</w:t>
            </w:r>
            <w:proofErr w:type="spellEnd"/>
            <w:r>
              <w:rPr>
                <w:rFonts w:ascii="Times New Roman" w:eastAsia="Times New Roman" w:hAnsi="Times New Roman" w:cs="Times New Roman"/>
                <w:sz w:val="24"/>
                <w:szCs w:val="24"/>
              </w:rPr>
              <w:t xml:space="preserve"> передбачені прямі посилання на норми Регламенту.</w:t>
            </w:r>
          </w:p>
          <w:p w:rsidR="00B674F8" w:rsidRDefault="00B674F8">
            <w:pPr>
              <w:spacing w:line="216" w:lineRule="auto"/>
              <w:ind w:firstLine="709"/>
              <w:jc w:val="both"/>
              <w:rPr>
                <w:rFonts w:ascii="Times New Roman" w:eastAsia="Times New Roman" w:hAnsi="Times New Roman" w:cs="Times New Roman"/>
                <w:sz w:val="24"/>
                <w:szCs w:val="24"/>
              </w:rPr>
            </w:pPr>
          </w:p>
        </w:tc>
      </w:tr>
      <w:tr w:rsidR="00B674F8">
        <w:tc>
          <w:tcPr>
            <w:tcW w:w="15300" w:type="dxa"/>
            <w:gridSpan w:val="3"/>
            <w:tcBorders>
              <w:top w:val="single" w:sz="4" w:space="0" w:color="000000"/>
            </w:tcBorders>
          </w:tcPr>
          <w:p w:rsidR="00B674F8" w:rsidRDefault="009E3065">
            <w:pPr>
              <w:spacing w:line="216" w:lineRule="auto"/>
              <w:jc w:val="center"/>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b/>
                <w:color w:val="000000"/>
                <w:sz w:val="24"/>
                <w:szCs w:val="24"/>
                <w:highlight w:val="white"/>
              </w:rPr>
              <w:t>6. Обсяг добового небалансу та плата за добовий небаланс</w:t>
            </w:r>
          </w:p>
        </w:tc>
      </w:tr>
      <w:tr w:rsidR="00B674F8">
        <w:tc>
          <w:tcPr>
            <w:tcW w:w="5460" w:type="dxa"/>
            <w:vMerge w:val="restart"/>
            <w:tcBorders>
              <w:top w:val="single" w:sz="4" w:space="0" w:color="000000"/>
            </w:tcBorders>
          </w:tcPr>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Оператор газотранспортної системи готує щорічний звіт про застосування допустимого відхилення, в якому описується стан розвитку та ліквідності короткострокового оптового ринку природного газу, у тому числі, включається така інформація:</w:t>
            </w:r>
          </w:p>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кількість угод, укладених у віртуальній торговій точці газотранспортної системи та кількість угод на торговій платформі, визначеною цією главою;</w:t>
            </w:r>
          </w:p>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різниця між ціною купівлі та ціною продажу природного газу, яка сформувалась  на торговій платформі, визначеною цією главою, та загальних обсягів купленого/проданого природного газу оператором газотранспортної системи в цілому на торговій платформі, визначеною цією главою, в розрізі місяців звітного року;</w:t>
            </w:r>
          </w:p>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кількості замовників послуг транспортування, які утворювали небаланси та їх обсяги в розрізі позитивних та негативних за кожен місяць звітного року;</w:t>
            </w:r>
          </w:p>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кількості учасників, що були активними на торговій платформі, визначеною цією главою, в розрізі місяців звітного року;</w:t>
            </w:r>
          </w:p>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 необхідності застосування допустимого відхилення та оцінка впливу застосування допустимого відхилення на підвищення ліквідності короткострокового оптового газового ринку;</w:t>
            </w:r>
          </w:p>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кроки, необхідні для скасування застосування допустимого відхилення, включаючи умови для здійснення цих кроків, та оцінка відповідних часових рамок.</w:t>
            </w:r>
          </w:p>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Оператор газотранспортної системи оприлюднює на своєму </w:t>
            </w:r>
            <w:proofErr w:type="spellStart"/>
            <w:r>
              <w:rPr>
                <w:rFonts w:ascii="Times New Roman" w:eastAsia="Times New Roman" w:hAnsi="Times New Roman" w:cs="Times New Roman"/>
                <w:b/>
                <w:color w:val="000000"/>
                <w:sz w:val="24"/>
                <w:szCs w:val="24"/>
              </w:rPr>
              <w:t>вебсайті</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проєкт</w:t>
            </w:r>
            <w:proofErr w:type="spellEnd"/>
            <w:r>
              <w:rPr>
                <w:rFonts w:ascii="Times New Roman" w:eastAsia="Times New Roman" w:hAnsi="Times New Roman" w:cs="Times New Roman"/>
                <w:b/>
                <w:color w:val="000000"/>
                <w:sz w:val="24"/>
                <w:szCs w:val="24"/>
              </w:rPr>
              <w:t xml:space="preserve"> звіту про застосування допустимого відхилення для отримання зауважень та пропозицій від замовників послуг транспортування. Після проведення обговорення із замовниками послуг транспортування та не пізніше, 01 квітня року, наступного після звітного, оператор газотранспортної системи подає звіт про застосування допустимого відхилення на погодження Регулятору.</w:t>
            </w:r>
          </w:p>
        </w:tc>
        <w:tc>
          <w:tcPr>
            <w:tcW w:w="5670" w:type="dxa"/>
            <w:tcBorders>
              <w:top w:val="single" w:sz="4" w:space="0" w:color="000000"/>
            </w:tcBorders>
          </w:tcPr>
          <w:p w:rsidR="00B674F8" w:rsidRDefault="009E3065">
            <w:pPr>
              <w:spacing w:line="216" w:lineRule="auto"/>
              <w:ind w:firstLine="709"/>
              <w:jc w:val="center"/>
              <w:rPr>
                <w:rFonts w:ascii="Times New Roman" w:eastAsia="Times New Roman" w:hAnsi="Times New Roman" w:cs="Times New Roman"/>
                <w:b/>
                <w:color w:val="000000"/>
                <w:sz w:val="24"/>
                <w:szCs w:val="24"/>
                <w:u w:val="single"/>
              </w:rPr>
            </w:pPr>
            <w:bookmarkStart w:id="11" w:name="_heading=h.xklnxcwi0h9b" w:colFirst="0" w:colLast="0"/>
            <w:bookmarkEnd w:id="11"/>
            <w:r>
              <w:rPr>
                <w:rFonts w:ascii="Times New Roman" w:eastAsia="Times New Roman" w:hAnsi="Times New Roman" w:cs="Times New Roman"/>
                <w:b/>
                <w:color w:val="000000"/>
                <w:sz w:val="24"/>
                <w:szCs w:val="24"/>
                <w:u w:val="single"/>
              </w:rPr>
              <w:t>ТОВ «Оператор ГТС України»</w:t>
            </w:r>
          </w:p>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B674F8" w:rsidRDefault="009E3065">
            <w:pPr>
              <w:spacing w:line="216" w:lineRule="auto"/>
              <w:ind w:firstLine="709"/>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 xml:space="preserve">Оператор газотранспортної системи оприлюднює на своєму </w:t>
            </w:r>
            <w:proofErr w:type="spellStart"/>
            <w:r>
              <w:rPr>
                <w:rFonts w:ascii="Times New Roman" w:eastAsia="Times New Roman" w:hAnsi="Times New Roman" w:cs="Times New Roman"/>
                <w:color w:val="000000"/>
                <w:sz w:val="24"/>
                <w:szCs w:val="24"/>
              </w:rPr>
              <w:t>вебсайті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проєкт</w:t>
            </w:r>
            <w:proofErr w:type="spellEnd"/>
            <w:r>
              <w:rPr>
                <w:rFonts w:ascii="Times New Roman" w:eastAsia="Times New Roman" w:hAnsi="Times New Roman" w:cs="Times New Roman"/>
                <w:color w:val="000000"/>
                <w:sz w:val="24"/>
                <w:szCs w:val="24"/>
              </w:rPr>
              <w:t xml:space="preserve"> звіту про застосування допустимого відхилення для отримання зауважень та пропозицій від замовників послуг транспортування. Після проведення обговорення із замовниками послуг транспортування та не пізніше, 01 квітня року, наступного після звітного, оператор газотранспортної системи подає звіт про застосування допустимого відхилення на погодження Регулятору.</w:t>
            </w:r>
          </w:p>
          <w:p w:rsidR="00B674F8" w:rsidRDefault="009E3065">
            <w:pPr>
              <w:spacing w:line="216"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У випадку </w:t>
            </w:r>
            <w:r>
              <w:rPr>
                <w:rFonts w:ascii="Times New Roman" w:eastAsia="Times New Roman" w:hAnsi="Times New Roman" w:cs="Times New Roman"/>
                <w:b/>
                <w:sz w:val="24"/>
                <w:szCs w:val="24"/>
              </w:rPr>
              <w:t>ненадання інформації, передбаченої абзацом дев'ятим цього пункту оператором торгової платформи підготовка щорічного звіту про застосування допустимого відхилення не здійснюється оператором газотранспортної системи.</w:t>
            </w:r>
          </w:p>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Про факт ненадання інформації, передбаченої пунктом дев'ятим цього пункту, оператором торгової платформи оператор газотранспортної системи повідомляє про це Регулятора протягом 45 днів з дня надсилання відповідного запиту (звернення) оператору торгової платформи.</w:t>
            </w:r>
          </w:p>
          <w:p w:rsidR="00B674F8" w:rsidRDefault="00B674F8">
            <w:pPr>
              <w:spacing w:line="216" w:lineRule="auto"/>
              <w:ind w:firstLine="709"/>
              <w:jc w:val="center"/>
              <w:rPr>
                <w:rFonts w:ascii="Times New Roman" w:eastAsia="Times New Roman" w:hAnsi="Times New Roman" w:cs="Times New Roman"/>
                <w:b/>
                <w:color w:val="000000"/>
                <w:sz w:val="24"/>
                <w:szCs w:val="24"/>
              </w:rPr>
            </w:pPr>
          </w:p>
          <w:p w:rsidR="00B674F8" w:rsidRDefault="009E3065">
            <w:pPr>
              <w:spacing w:line="216" w:lineRule="auto"/>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Обґрунтування</w:t>
            </w:r>
          </w:p>
          <w:p w:rsidR="00B674F8" w:rsidRDefault="009E3065">
            <w:pPr>
              <w:spacing w:line="21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Розпорядником інформації щодо </w:t>
            </w:r>
            <w:r>
              <w:rPr>
                <w:rFonts w:ascii="Times New Roman" w:eastAsia="Times New Roman" w:hAnsi="Times New Roman" w:cs="Times New Roman"/>
                <w:sz w:val="24"/>
                <w:szCs w:val="24"/>
              </w:rPr>
              <w:t>кількості учасників, що були активними на торговій платформі, є відповідний оператор торгової платформи.</w:t>
            </w:r>
          </w:p>
          <w:p w:rsidR="00B674F8" w:rsidRDefault="009E3065">
            <w:pPr>
              <w:spacing w:line="216" w:lineRule="auto"/>
              <w:ind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sz w:val="24"/>
                <w:szCs w:val="24"/>
              </w:rPr>
              <w:t>У випадку ненадання такої інформації оператором торгової платформи підготовку щорічного звіту про застосування допустимого відхилення здійснити буде неможливо.</w:t>
            </w:r>
          </w:p>
        </w:tc>
        <w:tc>
          <w:tcPr>
            <w:tcW w:w="4170" w:type="dxa"/>
            <w:tcBorders>
              <w:top w:val="single" w:sz="4" w:space="0" w:color="000000"/>
            </w:tcBorders>
          </w:tcPr>
          <w:p w:rsidR="00B674F8" w:rsidRDefault="009E3065">
            <w:pPr>
              <w:spacing w:line="216"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B674F8" w:rsidRDefault="009E3065">
            <w:pPr>
              <w:spacing w:line="216" w:lineRule="auto"/>
              <w:ind w:firstLine="709"/>
              <w:jc w:val="both"/>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sz w:val="24"/>
                <w:szCs w:val="24"/>
              </w:rPr>
              <w:t>Кодексом ГТС передбачено, що для забезпечення належної електронної взаємодії та документообігу між оператором торгової платформи та оператором газотранспортної системи укладається договір про взаємодію</w:t>
            </w:r>
            <w:r>
              <w:rPr>
                <w:rFonts w:ascii="Times New Roman" w:eastAsia="Times New Roman" w:hAnsi="Times New Roman" w:cs="Times New Roman"/>
                <w:color w:val="333333"/>
                <w:sz w:val="24"/>
                <w:szCs w:val="24"/>
                <w:highlight w:val="white"/>
              </w:rPr>
              <w:t>.</w:t>
            </w:r>
          </w:p>
          <w:p w:rsidR="00B674F8" w:rsidRDefault="009E3065">
            <w:pPr>
              <w:spacing w:line="216" w:lineRule="auto"/>
              <w:ind w:firstLine="709"/>
              <w:jc w:val="both"/>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sz w:val="24"/>
                <w:szCs w:val="24"/>
              </w:rPr>
              <w:t>Таким чином, в рамках такого договору Оператор має дотримуватись вимог Кодексу та Регламенту 312.</w:t>
            </w:r>
          </w:p>
        </w:tc>
      </w:tr>
      <w:tr w:rsidR="00B674F8">
        <w:tc>
          <w:tcPr>
            <w:tcW w:w="5460" w:type="dxa"/>
            <w:vMerge/>
            <w:tcBorders>
              <w:top w:val="single" w:sz="4" w:space="0" w:color="000000"/>
            </w:tcBorders>
          </w:tcPr>
          <w:p w:rsidR="00B674F8" w:rsidRDefault="00B674F8">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5670" w:type="dxa"/>
            <w:tcBorders>
              <w:top w:val="single" w:sz="4" w:space="0" w:color="000000"/>
            </w:tcBorders>
          </w:tcPr>
          <w:p w:rsidR="00B674F8" w:rsidRDefault="009E3065">
            <w:pPr>
              <w:spacing w:line="216" w:lineRule="auto"/>
              <w:jc w:val="center"/>
              <w:rPr>
                <w:rFonts w:ascii="Times New Roman" w:eastAsia="Times New Roman" w:hAnsi="Times New Roman" w:cs="Times New Roman"/>
                <w:b/>
                <w:color w:val="000000"/>
                <w:sz w:val="24"/>
                <w:szCs w:val="24"/>
                <w:u w:val="single"/>
              </w:rPr>
            </w:pPr>
            <w:proofErr w:type="spellStart"/>
            <w:r>
              <w:rPr>
                <w:rFonts w:ascii="Times New Roman" w:eastAsia="Times New Roman" w:hAnsi="Times New Roman" w:cs="Times New Roman"/>
                <w:b/>
                <w:color w:val="000000"/>
                <w:sz w:val="24"/>
                <w:szCs w:val="24"/>
                <w:u w:val="single"/>
              </w:rPr>
              <w:t>Бакулін</w:t>
            </w:r>
            <w:proofErr w:type="spellEnd"/>
            <w:r>
              <w:rPr>
                <w:rFonts w:ascii="Times New Roman" w:eastAsia="Times New Roman" w:hAnsi="Times New Roman" w:cs="Times New Roman"/>
                <w:b/>
                <w:color w:val="000000"/>
                <w:sz w:val="24"/>
                <w:szCs w:val="24"/>
                <w:u w:val="single"/>
              </w:rPr>
              <w:t xml:space="preserve"> О. Ю.</w:t>
            </w:r>
          </w:p>
          <w:p w:rsidR="00B674F8" w:rsidRDefault="009E3065">
            <w:pPr>
              <w:spacing w:line="216" w:lineRule="auto"/>
              <w:ind w:firstLine="709"/>
              <w:jc w:val="both"/>
              <w:rPr>
                <w:rFonts w:ascii="Times New Roman" w:eastAsia="Times New Roman" w:hAnsi="Times New Roman" w:cs="Times New Roman"/>
              </w:rPr>
            </w:pPr>
            <w:r>
              <w:rPr>
                <w:rFonts w:ascii="Times New Roman" w:eastAsia="Times New Roman" w:hAnsi="Times New Roman" w:cs="Times New Roman"/>
              </w:rPr>
              <w:t>15.</w:t>
            </w:r>
          </w:p>
          <w:p w:rsidR="00B674F8" w:rsidRDefault="00B674F8">
            <w:pPr>
              <w:shd w:val="clear" w:color="auto" w:fill="FFFFFF"/>
              <w:ind w:firstLine="450"/>
              <w:jc w:val="both"/>
              <w:rPr>
                <w:rFonts w:ascii="Times New Roman" w:eastAsia="Times New Roman" w:hAnsi="Times New Roman" w:cs="Times New Roman"/>
              </w:rPr>
            </w:pPr>
          </w:p>
          <w:p w:rsidR="00B674F8" w:rsidRDefault="009E3065">
            <w:pPr>
              <w:shd w:val="clear" w:color="auto" w:fill="FFFFFF"/>
              <w:spacing w:after="150"/>
              <w:ind w:firstLine="450"/>
              <w:jc w:val="both"/>
              <w:rPr>
                <w:rFonts w:ascii="Times New Roman" w:eastAsia="Times New Roman" w:hAnsi="Times New Roman" w:cs="Times New Roman"/>
              </w:rPr>
            </w:pPr>
            <w:r>
              <w:rPr>
                <w:rFonts w:ascii="Times New Roman" w:eastAsia="Times New Roman" w:hAnsi="Times New Roman" w:cs="Times New Roman"/>
              </w:rPr>
              <w:t>Допустиме відхилення застосовується лише у випадку, коли замовники послуг транспортування не мають доступу до:</w:t>
            </w:r>
          </w:p>
          <w:p w:rsidR="00B674F8" w:rsidRDefault="009E3065">
            <w:pPr>
              <w:shd w:val="clear" w:color="auto" w:fill="FFFFFF"/>
              <w:ind w:firstLine="450"/>
              <w:jc w:val="both"/>
              <w:rPr>
                <w:rFonts w:ascii="Times New Roman" w:eastAsia="Times New Roman" w:hAnsi="Times New Roman" w:cs="Times New Roman"/>
              </w:rPr>
            </w:pPr>
            <w:bookmarkStart w:id="12" w:name="bookmark=id.stna7w86g47v" w:colFirst="0" w:colLast="0"/>
            <w:bookmarkEnd w:id="12"/>
            <w:r>
              <w:rPr>
                <w:rFonts w:ascii="Times New Roman" w:eastAsia="Times New Roman" w:hAnsi="Times New Roman" w:cs="Times New Roman"/>
              </w:rPr>
              <w:t>(a) короткострокового оптового газового ринку, який має достатню ліквідність;</w:t>
            </w:r>
          </w:p>
          <w:p w:rsidR="00B674F8" w:rsidRDefault="009E3065">
            <w:pPr>
              <w:shd w:val="clear" w:color="auto" w:fill="FFFFFF"/>
              <w:ind w:firstLine="450"/>
              <w:jc w:val="both"/>
              <w:rPr>
                <w:rFonts w:ascii="Times New Roman" w:eastAsia="Times New Roman" w:hAnsi="Times New Roman" w:cs="Times New Roman"/>
              </w:rPr>
            </w:pPr>
            <w:bookmarkStart w:id="13" w:name="bookmark=id.t3qmkinysye6" w:colFirst="0" w:colLast="0"/>
            <w:bookmarkEnd w:id="13"/>
            <w:r>
              <w:rPr>
                <w:rFonts w:ascii="Times New Roman" w:eastAsia="Times New Roman" w:hAnsi="Times New Roman" w:cs="Times New Roman"/>
              </w:rPr>
              <w:t>(b) газу, необхідного для задоволення короткострокових коливань попиту або пропозиції газу; або</w:t>
            </w:r>
          </w:p>
          <w:p w:rsidR="00B674F8" w:rsidRDefault="009E3065">
            <w:pPr>
              <w:shd w:val="clear" w:color="auto" w:fill="FFFFFF"/>
              <w:ind w:firstLine="450"/>
              <w:jc w:val="both"/>
              <w:rPr>
                <w:rFonts w:ascii="Times New Roman" w:eastAsia="Times New Roman" w:hAnsi="Times New Roman" w:cs="Times New Roman"/>
              </w:rPr>
            </w:pPr>
            <w:bookmarkStart w:id="14" w:name="bookmark=id.r6a09ui7n7pf" w:colFirst="0" w:colLast="0"/>
            <w:bookmarkEnd w:id="14"/>
            <w:r>
              <w:rPr>
                <w:rFonts w:ascii="Times New Roman" w:eastAsia="Times New Roman" w:hAnsi="Times New Roman" w:cs="Times New Roman"/>
              </w:rPr>
              <w:t>(c) достатньої інформації щодо їхніх подач та відборів.</w:t>
            </w:r>
          </w:p>
          <w:p w:rsidR="00B674F8" w:rsidRDefault="009E3065">
            <w:pPr>
              <w:shd w:val="clear" w:color="auto" w:fill="FFFFFF"/>
              <w:ind w:firstLine="450"/>
              <w:jc w:val="both"/>
              <w:rPr>
                <w:rFonts w:ascii="Times New Roman" w:eastAsia="Times New Roman" w:hAnsi="Times New Roman" w:cs="Times New Roman"/>
              </w:rPr>
            </w:pPr>
            <w:bookmarkStart w:id="15" w:name="bookmark=id.f4i9sd53rcuk" w:colFirst="0" w:colLast="0"/>
            <w:bookmarkEnd w:id="15"/>
            <w:r>
              <w:rPr>
                <w:rFonts w:ascii="Times New Roman" w:eastAsia="Times New Roman" w:hAnsi="Times New Roman" w:cs="Times New Roman"/>
              </w:rPr>
              <w:t>2. Допустиме відхилення застосовується:</w:t>
            </w:r>
          </w:p>
          <w:p w:rsidR="00B674F8" w:rsidRDefault="009E3065">
            <w:pPr>
              <w:shd w:val="clear" w:color="auto" w:fill="FFFFFF"/>
              <w:ind w:firstLine="450"/>
              <w:jc w:val="both"/>
              <w:rPr>
                <w:rFonts w:ascii="Times New Roman" w:eastAsia="Times New Roman" w:hAnsi="Times New Roman" w:cs="Times New Roman"/>
              </w:rPr>
            </w:pPr>
            <w:bookmarkStart w:id="16" w:name="bookmark=id.mfuhgjxfteiu" w:colFirst="0" w:colLast="0"/>
            <w:bookmarkEnd w:id="16"/>
            <w:r>
              <w:rPr>
                <w:rFonts w:ascii="Times New Roman" w:eastAsia="Times New Roman" w:hAnsi="Times New Roman" w:cs="Times New Roman"/>
              </w:rPr>
              <w:t>(a) відносно до обсягу добового небалансу замовника послуг транспортування;</w:t>
            </w:r>
          </w:p>
          <w:p w:rsidR="00B674F8" w:rsidRDefault="009E3065">
            <w:pPr>
              <w:shd w:val="clear" w:color="auto" w:fill="FFFFFF"/>
              <w:ind w:firstLine="450"/>
              <w:jc w:val="both"/>
              <w:rPr>
                <w:rFonts w:ascii="Times New Roman" w:eastAsia="Times New Roman" w:hAnsi="Times New Roman" w:cs="Times New Roman"/>
              </w:rPr>
            </w:pPr>
            <w:bookmarkStart w:id="17" w:name="bookmark=id.jq3fl0xcb008" w:colFirst="0" w:colLast="0"/>
            <w:bookmarkEnd w:id="17"/>
            <w:r>
              <w:rPr>
                <w:rFonts w:ascii="Times New Roman" w:eastAsia="Times New Roman" w:hAnsi="Times New Roman" w:cs="Times New Roman"/>
              </w:rPr>
              <w:t>(b) на прозорій і недискримінаційній основі;</w:t>
            </w:r>
          </w:p>
          <w:p w:rsidR="00B674F8" w:rsidRDefault="009E3065">
            <w:pPr>
              <w:shd w:val="clear" w:color="auto" w:fill="FFFFFF"/>
              <w:ind w:firstLine="450"/>
              <w:jc w:val="both"/>
              <w:rPr>
                <w:rFonts w:ascii="Times New Roman" w:eastAsia="Times New Roman" w:hAnsi="Times New Roman" w:cs="Times New Roman"/>
              </w:rPr>
            </w:pPr>
            <w:bookmarkStart w:id="18" w:name="bookmark=id.dxjlt5v8t94k" w:colFirst="0" w:colLast="0"/>
            <w:bookmarkEnd w:id="18"/>
            <w:r>
              <w:rPr>
                <w:rFonts w:ascii="Times New Roman" w:eastAsia="Times New Roman" w:hAnsi="Times New Roman" w:cs="Times New Roman"/>
              </w:rPr>
              <w:t>(с) тільки в необхідному обсязі та на необхідний найкоротший строк.</w:t>
            </w:r>
          </w:p>
          <w:p w:rsidR="00B674F8" w:rsidRDefault="009E3065">
            <w:pPr>
              <w:shd w:val="clear" w:color="auto" w:fill="FFFFFF"/>
              <w:ind w:firstLine="450"/>
              <w:jc w:val="both"/>
              <w:rPr>
                <w:rFonts w:ascii="Times New Roman" w:eastAsia="Times New Roman" w:hAnsi="Times New Roman" w:cs="Times New Roman"/>
              </w:rPr>
            </w:pPr>
            <w:bookmarkStart w:id="19" w:name="bookmark=id.tszfwuwx3fbq" w:colFirst="0" w:colLast="0"/>
            <w:bookmarkEnd w:id="19"/>
            <w:r>
              <w:rPr>
                <w:rFonts w:ascii="Times New Roman" w:eastAsia="Times New Roman" w:hAnsi="Times New Roman" w:cs="Times New Roman"/>
              </w:rPr>
              <w:t>Використання допустимого відхилення може знизити фінансові ризики замовників послуг транспортування, пов'язані із застосуванням маржинальної ціни придбання та маржинальної ціни продажу щодо всієї або частини величини добового небалансу замовника послуг транспортування за газову добу.</w:t>
            </w:r>
          </w:p>
          <w:p w:rsidR="00B674F8" w:rsidRDefault="009E3065">
            <w:pPr>
              <w:shd w:val="clear" w:color="auto" w:fill="FFFFFF"/>
              <w:ind w:firstLine="450"/>
              <w:jc w:val="both"/>
              <w:rPr>
                <w:rFonts w:ascii="Times New Roman" w:eastAsia="Times New Roman" w:hAnsi="Times New Roman" w:cs="Times New Roman"/>
              </w:rPr>
            </w:pPr>
            <w:bookmarkStart w:id="20" w:name="bookmark=id.rwctkpf0g6p7" w:colFirst="0" w:colLast="0"/>
            <w:bookmarkEnd w:id="20"/>
            <w:r>
              <w:rPr>
                <w:rFonts w:ascii="Times New Roman" w:eastAsia="Times New Roman" w:hAnsi="Times New Roman" w:cs="Times New Roman"/>
              </w:rPr>
              <w:t>Розмір допустимого відхилення - максимальний обсяг газу, який кожен замовник послуг транспортування може купити або продати за середньозваженою ціною. Якщо в результаті виникає залишковий обсяг газу, то такий обсяг складає величину добового небалансу відповідного замовника послуг транспортування поза рівнем допустимого відхилення та він підлягає продажу або придбанню за маржинальною ціною продажу або маржинальною ціною придбання.</w:t>
            </w:r>
          </w:p>
          <w:p w:rsidR="00B674F8" w:rsidRDefault="009E3065">
            <w:pPr>
              <w:shd w:val="clear" w:color="auto" w:fill="FFFFFF"/>
              <w:ind w:firstLine="450"/>
              <w:jc w:val="both"/>
              <w:rPr>
                <w:rFonts w:ascii="Times New Roman" w:eastAsia="Times New Roman" w:hAnsi="Times New Roman" w:cs="Times New Roman"/>
              </w:rPr>
            </w:pPr>
            <w:bookmarkStart w:id="21" w:name="bookmark=id.vo4e2j30s1uy" w:colFirst="0" w:colLast="0"/>
            <w:bookmarkEnd w:id="21"/>
            <w:r>
              <w:rPr>
                <w:rFonts w:ascii="Times New Roman" w:eastAsia="Times New Roman" w:hAnsi="Times New Roman" w:cs="Times New Roman"/>
              </w:rPr>
              <w:t>Підхід до визначення допустимого відхилення має:</w:t>
            </w:r>
          </w:p>
          <w:p w:rsidR="00B674F8" w:rsidRDefault="009E3065">
            <w:pPr>
              <w:shd w:val="clear" w:color="auto" w:fill="FFFFFF"/>
              <w:ind w:firstLine="450"/>
              <w:jc w:val="both"/>
              <w:rPr>
                <w:rFonts w:ascii="Times New Roman" w:eastAsia="Times New Roman" w:hAnsi="Times New Roman" w:cs="Times New Roman"/>
              </w:rPr>
            </w:pPr>
            <w:bookmarkStart w:id="22" w:name="bookmark=id.qzztvf84bgut" w:colFirst="0" w:colLast="0"/>
            <w:bookmarkEnd w:id="22"/>
            <w:r>
              <w:rPr>
                <w:rFonts w:ascii="Times New Roman" w:eastAsia="Times New Roman" w:hAnsi="Times New Roman" w:cs="Times New Roman"/>
              </w:rPr>
              <w:t>(a) відображати гнучкість газотранспортної системи та потреби замовників послуг транспортування;</w:t>
            </w:r>
          </w:p>
          <w:p w:rsidR="00B674F8" w:rsidRDefault="009E3065">
            <w:pPr>
              <w:shd w:val="clear" w:color="auto" w:fill="FFFFFF"/>
              <w:ind w:firstLine="450"/>
              <w:jc w:val="both"/>
              <w:rPr>
                <w:rFonts w:ascii="Times New Roman" w:eastAsia="Times New Roman" w:hAnsi="Times New Roman" w:cs="Times New Roman"/>
              </w:rPr>
            </w:pPr>
            <w:bookmarkStart w:id="23" w:name="bookmark=id.2sbidhbzrrpz" w:colFirst="0" w:colLast="0"/>
            <w:bookmarkEnd w:id="23"/>
            <w:r>
              <w:rPr>
                <w:rFonts w:ascii="Times New Roman" w:eastAsia="Times New Roman" w:hAnsi="Times New Roman" w:cs="Times New Roman"/>
              </w:rPr>
              <w:t>(b) відображати рівень ризику замовника послуг транспортування під час управління балансом своїх подач та відборів;</w:t>
            </w:r>
          </w:p>
          <w:p w:rsidR="00B674F8" w:rsidRDefault="009E3065">
            <w:pPr>
              <w:shd w:val="clear" w:color="auto" w:fill="FFFFFF"/>
              <w:ind w:firstLine="450"/>
              <w:jc w:val="both"/>
              <w:rPr>
                <w:rFonts w:ascii="Times New Roman" w:eastAsia="Times New Roman" w:hAnsi="Times New Roman" w:cs="Times New Roman"/>
              </w:rPr>
            </w:pPr>
            <w:bookmarkStart w:id="24" w:name="bookmark=id.uzs36jjs013y" w:colFirst="0" w:colLast="0"/>
            <w:bookmarkEnd w:id="24"/>
            <w:r>
              <w:rPr>
                <w:rFonts w:ascii="Times New Roman" w:eastAsia="Times New Roman" w:hAnsi="Times New Roman" w:cs="Times New Roman"/>
              </w:rPr>
              <w:t>(c) не перешкоджати розвитку короткострокового оптового газового ринку;</w:t>
            </w:r>
          </w:p>
          <w:p w:rsidR="00B674F8" w:rsidRDefault="009E3065">
            <w:pPr>
              <w:shd w:val="clear" w:color="auto" w:fill="FFFFFF"/>
              <w:ind w:firstLine="450"/>
              <w:jc w:val="both"/>
              <w:rPr>
                <w:rFonts w:ascii="Times New Roman" w:eastAsia="Times New Roman" w:hAnsi="Times New Roman" w:cs="Times New Roman"/>
              </w:rPr>
            </w:pPr>
            <w:bookmarkStart w:id="25" w:name="bookmark=id.4fxc7i9pzb7i" w:colFirst="0" w:colLast="0"/>
            <w:bookmarkEnd w:id="25"/>
            <w:r>
              <w:rPr>
                <w:rFonts w:ascii="Times New Roman" w:eastAsia="Times New Roman" w:hAnsi="Times New Roman" w:cs="Times New Roman"/>
              </w:rPr>
              <w:t>(d) не призводити до надмірного зростання витрат оператора газотранспортної системи на вчинення балансуючих дій.</w:t>
            </w:r>
          </w:p>
          <w:p w:rsidR="00B674F8" w:rsidRDefault="009E3065">
            <w:pPr>
              <w:shd w:val="clear" w:color="auto" w:fill="FFFFFF"/>
              <w:ind w:firstLine="450"/>
              <w:jc w:val="both"/>
              <w:rPr>
                <w:rFonts w:ascii="Times New Roman" w:eastAsia="Times New Roman" w:hAnsi="Times New Roman" w:cs="Times New Roman"/>
              </w:rPr>
            </w:pPr>
            <w:bookmarkStart w:id="26" w:name="bookmark=id.t8r6vpiryaem" w:colFirst="0" w:colLast="0"/>
            <w:bookmarkEnd w:id="26"/>
            <w:r>
              <w:rPr>
                <w:rFonts w:ascii="Times New Roman" w:eastAsia="Times New Roman" w:hAnsi="Times New Roman" w:cs="Times New Roman"/>
              </w:rPr>
              <w:t>Рівень допустимого відхилення розраховується на підставі подач та відборів кожного замовника послуг транспортування, виключаючи операції на віртуальній торговій точці, за кожну газову добу. Підкатегорії визначаються відповідно до чинного законодавства.</w:t>
            </w:r>
          </w:p>
          <w:p w:rsidR="00B674F8" w:rsidRDefault="009E3065">
            <w:pPr>
              <w:shd w:val="clear" w:color="auto" w:fill="FFFFFF"/>
              <w:ind w:firstLine="450"/>
              <w:jc w:val="both"/>
              <w:rPr>
                <w:rFonts w:ascii="Times New Roman" w:eastAsia="Times New Roman" w:hAnsi="Times New Roman" w:cs="Times New Roman"/>
              </w:rPr>
            </w:pPr>
            <w:bookmarkStart w:id="27" w:name="bookmark=id.p7drvw5zsbdq" w:colFirst="0" w:colLast="0"/>
            <w:bookmarkEnd w:id="27"/>
            <w:r>
              <w:rPr>
                <w:rFonts w:ascii="Times New Roman" w:eastAsia="Times New Roman" w:hAnsi="Times New Roman" w:cs="Times New Roman"/>
              </w:rPr>
              <w:t>Рівень допустимого відхилення, що застосовується до відбору, що не вимірюється щодобово, згідно з чинним законодавством повинен базуватися на різниці між відповідним прогнозом відборів замовника послуг транспортування, що не вимірюються щодобово, та алокацією такого відбору.</w:t>
            </w:r>
          </w:p>
          <w:p w:rsidR="00B674F8" w:rsidRDefault="009E3065">
            <w:pPr>
              <w:shd w:val="clear" w:color="auto" w:fill="FFFFFF"/>
              <w:ind w:firstLine="450"/>
              <w:jc w:val="both"/>
              <w:rPr>
                <w:rFonts w:ascii="Times New Roman" w:eastAsia="Times New Roman" w:hAnsi="Times New Roman" w:cs="Times New Roman"/>
              </w:rPr>
            </w:pPr>
            <w:bookmarkStart w:id="28" w:name="bookmark=id.tdkgz0zb0zlp" w:colFirst="0" w:colLast="0"/>
            <w:bookmarkEnd w:id="28"/>
            <w:r>
              <w:rPr>
                <w:rFonts w:ascii="Times New Roman" w:eastAsia="Times New Roman" w:hAnsi="Times New Roman" w:cs="Times New Roman"/>
              </w:rPr>
              <w:t>Рівень допустимого відхилення може включати компонент, що розраховується з урахуванням відхилення від прогнозу відборів замовника послуг транспортування, що не вимірюються щодобово, що дорівнює значенню, на яке надається такий прогноз:</w:t>
            </w:r>
          </w:p>
          <w:p w:rsidR="00B674F8" w:rsidRDefault="009E3065">
            <w:pPr>
              <w:shd w:val="clear" w:color="auto" w:fill="FFFFFF"/>
              <w:ind w:firstLine="450"/>
              <w:jc w:val="both"/>
              <w:rPr>
                <w:rFonts w:ascii="Times New Roman" w:eastAsia="Times New Roman" w:hAnsi="Times New Roman" w:cs="Times New Roman"/>
              </w:rPr>
            </w:pPr>
            <w:bookmarkStart w:id="29" w:name="bookmark=id.i9af6zx9fpy1" w:colFirst="0" w:colLast="0"/>
            <w:bookmarkEnd w:id="29"/>
            <w:r>
              <w:rPr>
                <w:rFonts w:ascii="Times New Roman" w:eastAsia="Times New Roman" w:hAnsi="Times New Roman" w:cs="Times New Roman"/>
              </w:rPr>
              <w:t>(a) перевищує алокацію для відборів, що не вимірюються щодобово, якщо величина добового небалансу є позитивною;</w:t>
            </w:r>
          </w:p>
          <w:p w:rsidR="00B674F8" w:rsidRDefault="009E3065">
            <w:pPr>
              <w:shd w:val="clear" w:color="auto" w:fill="FFFFFF"/>
              <w:spacing w:after="150"/>
              <w:ind w:firstLine="450"/>
              <w:jc w:val="both"/>
              <w:rPr>
                <w:rFonts w:ascii="Times New Roman" w:eastAsia="Times New Roman" w:hAnsi="Times New Roman" w:cs="Times New Roman"/>
              </w:rPr>
            </w:pPr>
            <w:bookmarkStart w:id="30" w:name="bookmark=id.wtdemipwrv6i" w:colFirst="0" w:colLast="0"/>
            <w:bookmarkEnd w:id="30"/>
            <w:r>
              <w:rPr>
                <w:rFonts w:ascii="Times New Roman" w:eastAsia="Times New Roman" w:hAnsi="Times New Roman" w:cs="Times New Roman"/>
              </w:rPr>
              <w:t>(b) є меншим за алокація для відборів, що не вимірюються щодобово, якщо величина добового небалансу є негативною.</w:t>
            </w:r>
          </w:p>
          <w:p w:rsidR="00B674F8" w:rsidRDefault="009E3065">
            <w:pPr>
              <w:spacing w:line="216" w:lineRule="auto"/>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Обґрунтування</w:t>
            </w:r>
          </w:p>
          <w:p w:rsidR="00B674F8" w:rsidRDefault="009E3065">
            <w:pPr>
              <w:pBdr>
                <w:top w:val="nil"/>
                <w:left w:val="nil"/>
                <w:bottom w:val="nil"/>
                <w:right w:val="nil"/>
                <w:between w:val="nil"/>
              </w:pBdr>
              <w:ind w:firstLine="708"/>
              <w:jc w:val="both"/>
              <w:rPr>
                <w:rFonts w:ascii="Times New Roman" w:eastAsia="Times New Roman" w:hAnsi="Times New Roman" w:cs="Times New Roman"/>
                <w:color w:val="000000"/>
              </w:rPr>
            </w:pPr>
            <w:r>
              <w:rPr>
                <w:rFonts w:ascii="Times New Roman" w:eastAsia="Times New Roman" w:hAnsi="Times New Roman" w:cs="Times New Roman"/>
                <w:color w:val="000000"/>
              </w:rPr>
              <w:t>Постановою НКРЕКП від 29.11.2019  року № 2586 «Про транспозицію положень актів Європейського Союзу та Енергетичного Співтовариства на ринку природного газу України» транспоновані  положення актів Європейського Союзу  та Енергетичного Співтовариства на ринку природного газу, офіційний переклад яких здійснено Урядовим офісом координації європейської та євроатлантичної інтеграції 25 листопада 2019 року, зокрема РЕГЛАМЕНТ КОМІСІЇ (ЄС) № 312/2014 від 26 березня 2014 року, яким запроваджується мережевий кодекс балансування газу в транспортних мережах.</w:t>
            </w:r>
          </w:p>
          <w:p w:rsidR="00B674F8" w:rsidRDefault="009E3065">
            <w:pPr>
              <w:pBdr>
                <w:top w:val="nil"/>
                <w:left w:val="nil"/>
                <w:bottom w:val="nil"/>
                <w:right w:val="nil"/>
                <w:between w:val="nil"/>
              </w:pBdr>
              <w:ind w:firstLine="708"/>
              <w:jc w:val="both"/>
              <w:rPr>
                <w:rFonts w:ascii="Times New Roman" w:eastAsia="Times New Roman" w:hAnsi="Times New Roman" w:cs="Times New Roman"/>
                <w:color w:val="000000"/>
              </w:rPr>
            </w:pPr>
            <w:r>
              <w:rPr>
                <w:rFonts w:ascii="Times New Roman" w:eastAsia="Times New Roman" w:hAnsi="Times New Roman" w:cs="Times New Roman"/>
                <w:color w:val="000000"/>
              </w:rPr>
              <w:t>З урахуванням прийняття постанови НКРЕКП від 29.11.2019  року № 2586 РЕГЛАМЕНТ КОМІСІЇ (ЄС) № 312/2014 від 26 березня 2014 року набув статусу частини законодавства України.</w:t>
            </w:r>
          </w:p>
          <w:p w:rsidR="00B674F8" w:rsidRDefault="009E3065">
            <w:pPr>
              <w:pBdr>
                <w:top w:val="nil"/>
                <w:left w:val="nil"/>
                <w:bottom w:val="nil"/>
                <w:right w:val="nil"/>
                <w:between w:val="nil"/>
              </w:pBdr>
              <w:ind w:firstLine="708"/>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В цьому випадку, є безпідставним внесення запропонованих </w:t>
            </w:r>
            <w:proofErr w:type="spellStart"/>
            <w:r>
              <w:rPr>
                <w:rFonts w:ascii="Times New Roman" w:eastAsia="Times New Roman" w:hAnsi="Times New Roman" w:cs="Times New Roman"/>
                <w:color w:val="000000"/>
              </w:rPr>
              <w:t>проєктом</w:t>
            </w:r>
            <w:proofErr w:type="spellEnd"/>
            <w:r>
              <w:rPr>
                <w:rFonts w:ascii="Times New Roman" w:eastAsia="Times New Roman" w:hAnsi="Times New Roman" w:cs="Times New Roman"/>
                <w:color w:val="000000"/>
              </w:rPr>
              <w:t xml:space="preserve"> змін до  Кодексу газотранспортної системи, затвердженого постановою НКРЕКП</w:t>
            </w:r>
            <w:r>
              <w:rPr>
                <w:rFonts w:ascii="Times New Roman" w:eastAsia="Times New Roman" w:hAnsi="Times New Roman" w:cs="Times New Roman"/>
                <w:color w:val="000000"/>
                <w:highlight w:val="white"/>
              </w:rPr>
              <w:t xml:space="preserve"> від 30.09.2015 року  № 2493, щодо </w:t>
            </w:r>
            <w:r>
              <w:rPr>
                <w:rFonts w:ascii="Times New Roman" w:eastAsia="Times New Roman" w:hAnsi="Times New Roman" w:cs="Times New Roman"/>
                <w:color w:val="000000"/>
              </w:rPr>
              <w:t>механізму стимулювання із підвищення ефективності балансуючих дій  та застосування допустимого відхилення.</w:t>
            </w:r>
          </w:p>
          <w:p w:rsidR="00B674F8" w:rsidRDefault="009E3065">
            <w:pPr>
              <w:spacing w:line="216" w:lineRule="auto"/>
              <w:ind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rPr>
              <w:t>З іншого боку, якщо НКРЕКП заперечує транспозицію повного тексту РЕГЛАМЕНТУ КОМІСІЇ (ЄС) № 312/2014 від 26 березня 2014 року, положення статті 50 цього РЕГЛАМЕНТУ мають бути внесені  до  Кодексу газотранспортної системи максимально повно.</w:t>
            </w:r>
          </w:p>
        </w:tc>
        <w:tc>
          <w:tcPr>
            <w:tcW w:w="4170" w:type="dxa"/>
            <w:tcBorders>
              <w:top w:val="single" w:sz="4" w:space="0" w:color="000000"/>
            </w:tcBorders>
          </w:tcPr>
          <w:p w:rsidR="00B674F8" w:rsidRDefault="009E3065">
            <w:pPr>
              <w:spacing w:line="216"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B674F8" w:rsidRDefault="009E3065">
            <w:pPr>
              <w:spacing w:line="216" w:lineRule="auto"/>
              <w:ind w:firstLine="709"/>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Проєктом</w:t>
            </w:r>
            <w:proofErr w:type="spellEnd"/>
            <w:r>
              <w:rPr>
                <w:rFonts w:ascii="Times New Roman" w:eastAsia="Times New Roman" w:hAnsi="Times New Roman" w:cs="Times New Roman"/>
                <w:sz w:val="24"/>
                <w:szCs w:val="24"/>
              </w:rPr>
              <w:t xml:space="preserve"> передбачено імплементацію положень статті 46 Регламенту 312. Крім цього, Кодексом ГТС передбачено застосування допустимого відхилення з урахуванням вимог Регламенту 312.</w:t>
            </w:r>
          </w:p>
        </w:tc>
      </w:tr>
      <w:tr w:rsidR="00B674F8">
        <w:tc>
          <w:tcPr>
            <w:tcW w:w="15300" w:type="dxa"/>
            <w:gridSpan w:val="3"/>
            <w:tcBorders>
              <w:top w:val="single" w:sz="4" w:space="0" w:color="000000"/>
            </w:tcBorders>
          </w:tcPr>
          <w:p w:rsidR="00B674F8" w:rsidRDefault="009E3065">
            <w:pPr>
              <w:spacing w:line="216" w:lineRule="auto"/>
              <w:jc w:val="center"/>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b/>
                <w:color w:val="000000"/>
                <w:sz w:val="24"/>
                <w:szCs w:val="24"/>
                <w:highlight w:val="white"/>
              </w:rPr>
              <w:t>XVI. Правила обміну інформацією, пов’язаною з виконанням угод, балансуванням та управлінням перевантаженнями</w:t>
            </w:r>
          </w:p>
        </w:tc>
      </w:tr>
      <w:tr w:rsidR="00B674F8">
        <w:tc>
          <w:tcPr>
            <w:tcW w:w="15300" w:type="dxa"/>
            <w:gridSpan w:val="3"/>
            <w:tcBorders>
              <w:top w:val="single" w:sz="4" w:space="0" w:color="000000"/>
            </w:tcBorders>
          </w:tcPr>
          <w:p w:rsidR="00B674F8" w:rsidRDefault="009E3065">
            <w:pPr>
              <w:spacing w:line="216" w:lineRule="auto"/>
              <w:jc w:val="center"/>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b/>
                <w:color w:val="000000"/>
                <w:sz w:val="24"/>
                <w:szCs w:val="24"/>
                <w:highlight w:val="white"/>
              </w:rPr>
              <w:t>2. Відомості, які розміщуються та надсилаються оператором газотранспортної системи</w:t>
            </w:r>
          </w:p>
        </w:tc>
      </w:tr>
      <w:tr w:rsidR="00B674F8">
        <w:tc>
          <w:tcPr>
            <w:tcW w:w="5460" w:type="dxa"/>
            <w:tcBorders>
              <w:top w:val="single" w:sz="4" w:space="0" w:color="000000"/>
            </w:tcBorders>
          </w:tcPr>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t>
            </w:r>
          </w:p>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9. Оператор газотранспортної системи надає замовникам послуг транспортування інформацію щодо:</w:t>
            </w:r>
          </w:p>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обсягу природного газу в газотранспортній системі на початок кожної газової доби і прогноз обсягів природного газу в газотранспортній системі на кінець кожної газової доби. При цьому прогнозований обсяг газу на кінець газової доби повинен оновлюватися щогодини протягом газової доби;</w:t>
            </w:r>
          </w:p>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вчинення оператором газотранспортної системи балансуючих дій;</w:t>
            </w:r>
          </w:p>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подачі та відбору природного газу замовниками послуг транспортування, які визначаються відповідно до вимог розділу XII цього Кодексу.</w:t>
            </w:r>
          </w:p>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Інформація, визначена цим пунктом, надається оператором газотранспортної системи у такий спосіб:</w:t>
            </w:r>
          </w:p>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шляхом використання інформаційної платформи;</w:t>
            </w:r>
          </w:p>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безкоштовно всім замовникам послуг транспортування;</w:t>
            </w:r>
          </w:p>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у зручній та доступній формі;</w:t>
            </w:r>
          </w:p>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зрозуміло, доступно та у кількісному вираженні;</w:t>
            </w:r>
          </w:p>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 недискримінаційній основі;</w:t>
            </w:r>
          </w:p>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із використанням таких одиниць вимірювання: куб. м (</w:t>
            </w:r>
            <w:proofErr w:type="spellStart"/>
            <w:r>
              <w:rPr>
                <w:rFonts w:ascii="Times New Roman" w:eastAsia="Times New Roman" w:hAnsi="Times New Roman" w:cs="Times New Roman"/>
                <w:b/>
                <w:color w:val="000000"/>
                <w:sz w:val="24"/>
                <w:szCs w:val="24"/>
              </w:rPr>
              <w:t>кВт·год</w:t>
            </w:r>
            <w:proofErr w:type="spellEnd"/>
            <w:r>
              <w:rPr>
                <w:rFonts w:ascii="Times New Roman" w:eastAsia="Times New Roman" w:hAnsi="Times New Roman" w:cs="Times New Roman"/>
                <w:b/>
                <w:color w:val="000000"/>
                <w:sz w:val="24"/>
                <w:szCs w:val="24"/>
              </w:rPr>
              <w:t>) або куб. м/добу (</w:t>
            </w:r>
            <w:proofErr w:type="spellStart"/>
            <w:r>
              <w:rPr>
                <w:rFonts w:ascii="Times New Roman" w:eastAsia="Times New Roman" w:hAnsi="Times New Roman" w:cs="Times New Roman"/>
                <w:b/>
                <w:color w:val="000000"/>
                <w:sz w:val="24"/>
                <w:szCs w:val="24"/>
              </w:rPr>
              <w:t>кВт·год</w:t>
            </w:r>
            <w:proofErr w:type="spellEnd"/>
            <w:r>
              <w:rPr>
                <w:rFonts w:ascii="Times New Roman" w:eastAsia="Times New Roman" w:hAnsi="Times New Roman" w:cs="Times New Roman"/>
                <w:b/>
                <w:color w:val="000000"/>
                <w:sz w:val="24"/>
                <w:szCs w:val="24"/>
              </w:rPr>
              <w:t xml:space="preserve">/добу) та </w:t>
            </w:r>
            <w:proofErr w:type="spellStart"/>
            <w:r>
              <w:rPr>
                <w:rFonts w:ascii="Times New Roman" w:eastAsia="Times New Roman" w:hAnsi="Times New Roman" w:cs="Times New Roman"/>
                <w:b/>
                <w:color w:val="000000"/>
                <w:sz w:val="24"/>
                <w:szCs w:val="24"/>
              </w:rPr>
              <w:t>куб.м</w:t>
            </w:r>
            <w:proofErr w:type="spellEnd"/>
            <w:r>
              <w:rPr>
                <w:rFonts w:ascii="Times New Roman" w:eastAsia="Times New Roman" w:hAnsi="Times New Roman" w:cs="Times New Roman"/>
                <w:b/>
                <w:color w:val="000000"/>
                <w:sz w:val="24"/>
                <w:szCs w:val="24"/>
              </w:rPr>
              <w:t>/год (</w:t>
            </w:r>
            <w:proofErr w:type="spellStart"/>
            <w:r>
              <w:rPr>
                <w:rFonts w:ascii="Times New Roman" w:eastAsia="Times New Roman" w:hAnsi="Times New Roman" w:cs="Times New Roman"/>
                <w:b/>
                <w:color w:val="000000"/>
                <w:sz w:val="24"/>
                <w:szCs w:val="24"/>
              </w:rPr>
              <w:t>кВт·год</w:t>
            </w:r>
            <w:proofErr w:type="spellEnd"/>
            <w:r>
              <w:rPr>
                <w:rFonts w:ascii="Times New Roman" w:eastAsia="Times New Roman" w:hAnsi="Times New Roman" w:cs="Times New Roman"/>
                <w:b/>
                <w:color w:val="000000"/>
                <w:sz w:val="24"/>
                <w:szCs w:val="24"/>
              </w:rPr>
              <w:t>/год);</w:t>
            </w:r>
          </w:p>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українською та англійською мовами.</w:t>
            </w:r>
          </w:p>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Якщо обсяг природного газу не може бути виміряний на </w:t>
            </w:r>
            <w:proofErr w:type="spellStart"/>
            <w:r>
              <w:rPr>
                <w:rFonts w:ascii="Times New Roman" w:eastAsia="Times New Roman" w:hAnsi="Times New Roman" w:cs="Times New Roman"/>
                <w:b/>
                <w:color w:val="000000"/>
                <w:sz w:val="24"/>
                <w:szCs w:val="24"/>
              </w:rPr>
              <w:t>вузлі</w:t>
            </w:r>
            <w:proofErr w:type="spellEnd"/>
            <w:r>
              <w:rPr>
                <w:rFonts w:ascii="Times New Roman" w:eastAsia="Times New Roman" w:hAnsi="Times New Roman" w:cs="Times New Roman"/>
                <w:b/>
                <w:color w:val="000000"/>
                <w:sz w:val="24"/>
                <w:szCs w:val="24"/>
              </w:rPr>
              <w:t xml:space="preserve"> обліку, використовується розрахункова величина, визначена відповідно до вимог цього Кодексу. Ця розрахункова величина використовується як альтернативний показник, оператор газотранспортної системи не несе відповідальність за точність надання цієї інформації.</w:t>
            </w:r>
          </w:p>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Оператор газотранспортної системи не несе відповідальності за точність надання інформації, визначеної цим пунктом, крім відповідальності щодо забезпечення доступу цієї інформації на інформаційній платформі у визначеному оператором газотранспортної системи форматі та забезпечення можливості доступу до цієї інформації для замовників послуг транспортування за нормальних умов користування.</w:t>
            </w:r>
          </w:p>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Оператор газотранспортної системи оприлюднює на платформі ENTSOG інформацію, визначену в пунктах 3.1.2 та 3.3 додатку до Регламенту (ЄС) 715/2009 про умови доступу до мереж транспортування природного газу та яким скасовується Регламент (ЄС) 1775/2005, згідно з вимогами пункту 3.1.1 цього додатку.</w:t>
            </w:r>
          </w:p>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Інформація, визначена цим пунктом, оприлюднюється оператором</w:t>
            </w:r>
            <w:r>
              <w:rPr>
                <w:rFonts w:ascii="Times New Roman" w:eastAsia="Times New Roman" w:hAnsi="Times New Roman" w:cs="Times New Roman"/>
                <w:b/>
                <w:color w:val="000000"/>
                <w:sz w:val="24"/>
                <w:szCs w:val="24"/>
                <w:highlight w:val="white"/>
              </w:rPr>
              <w:t xml:space="preserve"> </w:t>
            </w:r>
            <w:r>
              <w:rPr>
                <w:rFonts w:ascii="Times New Roman" w:eastAsia="Times New Roman" w:hAnsi="Times New Roman" w:cs="Times New Roman"/>
                <w:b/>
                <w:color w:val="000000"/>
                <w:sz w:val="24"/>
                <w:szCs w:val="24"/>
              </w:rPr>
              <w:t>газотранспортної системи з урахуванням вимог постанови від 26 березня 2022 року № 349.</w:t>
            </w:r>
          </w:p>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5670" w:type="dxa"/>
            <w:tcBorders>
              <w:top w:val="single" w:sz="4" w:space="0" w:color="000000"/>
            </w:tcBorders>
          </w:tcPr>
          <w:p w:rsidR="00B674F8" w:rsidRDefault="009E3065">
            <w:pPr>
              <w:spacing w:line="216" w:lineRule="auto"/>
              <w:ind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ТОВ «Оператор ГТС України»</w:t>
            </w:r>
          </w:p>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t>
            </w:r>
          </w:p>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9. Оператор газотранспортної системи надає замовникам послуг транспортування інформацію щодо:</w:t>
            </w:r>
          </w:p>
          <w:p w:rsidR="00B674F8" w:rsidRDefault="009E3065">
            <w:pPr>
              <w:spacing w:line="216" w:lineRule="auto"/>
              <w:ind w:firstLine="709"/>
              <w:jc w:val="both"/>
              <w:rPr>
                <w:rFonts w:ascii="Times New Roman" w:eastAsia="Times New Roman" w:hAnsi="Times New Roman" w:cs="Times New Roman"/>
                <w:b/>
                <w:strike/>
                <w:color w:val="000000"/>
                <w:sz w:val="24"/>
                <w:szCs w:val="24"/>
              </w:rPr>
            </w:pPr>
            <w:r>
              <w:rPr>
                <w:rFonts w:ascii="Times New Roman" w:eastAsia="Times New Roman" w:hAnsi="Times New Roman" w:cs="Times New Roman"/>
                <w:b/>
                <w:strike/>
                <w:color w:val="000000"/>
                <w:sz w:val="24"/>
                <w:szCs w:val="24"/>
              </w:rPr>
              <w:t>обсягу природного газу в газотранспортній системі на початок кожної газової доби і прогноз обсягів природного газу в газотранспортній системі на кінець кожної газової доби. При цьому прогнозований обсяг газу на кінець газової доби повинен оновлюватися щогодини протягом газової доби;</w:t>
            </w:r>
          </w:p>
          <w:p w:rsidR="00B674F8" w:rsidRDefault="009E3065">
            <w:pPr>
              <w:spacing w:line="276" w:lineRule="auto"/>
              <w:ind w:firstLine="709"/>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w:t>
            </w:r>
          </w:p>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Інформація, визначена цим пунктом, надається оператором газотранспортної системи у такий спосіб:</w:t>
            </w:r>
          </w:p>
          <w:p w:rsidR="00B674F8" w:rsidRDefault="009E3065">
            <w:pPr>
              <w:spacing w:line="216"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шляхом використання</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вебсайту</w:t>
            </w:r>
            <w:proofErr w:type="spellEnd"/>
            <w:r>
              <w:rPr>
                <w:rFonts w:ascii="Times New Roman" w:eastAsia="Times New Roman" w:hAnsi="Times New Roman" w:cs="Times New Roman"/>
                <w:b/>
                <w:sz w:val="24"/>
                <w:szCs w:val="24"/>
              </w:rPr>
              <w:t xml:space="preserve"> оператора газотранспортної системи та/або </w:t>
            </w:r>
            <w:r>
              <w:rPr>
                <w:rFonts w:ascii="Times New Roman" w:eastAsia="Times New Roman" w:hAnsi="Times New Roman" w:cs="Times New Roman"/>
                <w:sz w:val="24"/>
                <w:szCs w:val="24"/>
              </w:rPr>
              <w:t>інформаційної платформи;</w:t>
            </w:r>
          </w:p>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Оператор газотранспортної системи оприлюднює на платформі ENTSOG</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sz w:val="24"/>
                <w:szCs w:val="24"/>
              </w:rPr>
              <w:t xml:space="preserve">та/або </w:t>
            </w:r>
            <w:proofErr w:type="spellStart"/>
            <w:r>
              <w:rPr>
                <w:rFonts w:ascii="Times New Roman" w:eastAsia="Times New Roman" w:hAnsi="Times New Roman" w:cs="Times New Roman"/>
                <w:b/>
                <w:sz w:val="24"/>
                <w:szCs w:val="24"/>
              </w:rPr>
              <w:t>вебсайті</w:t>
            </w:r>
            <w:proofErr w:type="spellEnd"/>
            <w:r>
              <w:rPr>
                <w:rFonts w:ascii="Times New Roman" w:eastAsia="Times New Roman" w:hAnsi="Times New Roman" w:cs="Times New Roman"/>
                <w:b/>
                <w:sz w:val="24"/>
                <w:szCs w:val="24"/>
              </w:rPr>
              <w:t xml:space="preserve"> оператора газотранспортної системи </w:t>
            </w:r>
            <w:r>
              <w:rPr>
                <w:rFonts w:ascii="Times New Roman" w:eastAsia="Times New Roman" w:hAnsi="Times New Roman" w:cs="Times New Roman"/>
                <w:sz w:val="24"/>
                <w:szCs w:val="24"/>
              </w:rPr>
              <w:t xml:space="preserve">інформацію </w:t>
            </w:r>
            <w:r>
              <w:rPr>
                <w:rFonts w:ascii="Times New Roman" w:eastAsia="Times New Roman" w:hAnsi="Times New Roman" w:cs="Times New Roman"/>
                <w:b/>
                <w:sz w:val="24"/>
                <w:szCs w:val="24"/>
              </w:rPr>
              <w:t>щодо точок міждержавного з’єднання</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визначену в пунктах 3.1.2 та 3.3 додатку до Регламенту (ЄС) </w:t>
            </w:r>
            <w:r>
              <w:rPr>
                <w:rFonts w:ascii="Times New Roman" w:eastAsia="Times New Roman" w:hAnsi="Times New Roman" w:cs="Times New Roman"/>
                <w:b/>
                <w:strike/>
                <w:color w:val="000000"/>
                <w:sz w:val="24"/>
                <w:szCs w:val="24"/>
              </w:rPr>
              <w:t>715/2009</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strike/>
                <w:color w:val="000000"/>
                <w:sz w:val="24"/>
                <w:szCs w:val="24"/>
              </w:rPr>
              <w:t>про умови доступу до мереж транспортування природного газу та яким скасовується Регламент (ЄС) 1775/2005</w:t>
            </w:r>
            <w:r>
              <w:rPr>
                <w:rFonts w:ascii="Times New Roman" w:eastAsia="Times New Roman" w:hAnsi="Times New Roman" w:cs="Times New Roman"/>
                <w:b/>
                <w:color w:val="000000"/>
                <w:sz w:val="24"/>
                <w:szCs w:val="24"/>
              </w:rPr>
              <w:t xml:space="preserve"> №2024/1789 про внутрішні ринки відновлюваного газу, природного газу та водню, про внесення змін до Регламентів (ЄС) № 1227/2011, (ЄС) 2017/1938, (ЄС) 2019/942 та (ЄС) 2022/869 і Рішення (ЄС) 2017/684 та про скасування Регламенту (ЄС) № 715/2009,</w:t>
            </w:r>
            <w:r>
              <w:rPr>
                <w:rFonts w:ascii="Times New Roman" w:eastAsia="Times New Roman" w:hAnsi="Times New Roman" w:cs="Times New Roman"/>
                <w:color w:val="000000"/>
                <w:sz w:val="24"/>
                <w:szCs w:val="24"/>
              </w:rPr>
              <w:t xml:space="preserve"> згідно з вимогами пункту 3.1.1 цього додатку.</w:t>
            </w:r>
          </w:p>
          <w:p w:rsidR="00B674F8" w:rsidRDefault="00B674F8">
            <w:pPr>
              <w:spacing w:line="216" w:lineRule="auto"/>
              <w:ind w:firstLine="709"/>
              <w:jc w:val="both"/>
              <w:rPr>
                <w:rFonts w:ascii="Times New Roman" w:eastAsia="Times New Roman" w:hAnsi="Times New Roman" w:cs="Times New Roman"/>
                <w:color w:val="000000"/>
                <w:sz w:val="24"/>
                <w:szCs w:val="24"/>
              </w:rPr>
            </w:pPr>
          </w:p>
          <w:p w:rsidR="00B674F8" w:rsidRDefault="009E3065">
            <w:pPr>
              <w:spacing w:line="216" w:lineRule="auto"/>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Обґрунтування</w:t>
            </w:r>
          </w:p>
          <w:p w:rsidR="00B674F8" w:rsidRDefault="009E3065">
            <w:pPr>
              <w:spacing w:line="21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Згідно з положеннями пункту 3.4(5) Додатку І до Регламенту (ЄС) № 2024/1789 оператор газотранспортної системи публікує обсяг газу в газотранспортній системі щогодини, якщо плата за небаланс розраховується щогодини.</w:t>
            </w:r>
          </w:p>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Відповідно до положень пункту 1 глави 6 розділу XIV Кодексу ГТС оператор газотранспортної системи розраховує обсяг добового небалансу  для кожного портфоліо балансування замовників послуг транспортування природного газу за кожну газову добу як різницю між алокаціями подач природного газу до газотранспортної системи та алокаціями відбору з газотранспортної системи (з урахуванням підтверджених торгових сповіщень).</w:t>
            </w:r>
          </w:p>
          <w:p w:rsidR="00B674F8" w:rsidRDefault="009E3065">
            <w:pPr>
              <w:spacing w:line="21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Згідно з пунктом 3 глави 6 розділу XIV Кодексу ГТС оператор газотранспортної системи на підставі попередніх алокацій подач та відборів замовника послуг транспортування природного газу (з урахуванням обсягів природного газу, відчужених чи набутих на віртуальній торговій точці) щодобово не пізніше ніж о 15:00 UTC (17:00 за київським часом) годині для зимового періоду або о 14:00 UTC (17:00 за київським часом) годині для літнього періоду </w:t>
            </w:r>
            <w:r>
              <w:rPr>
                <w:rFonts w:ascii="Times New Roman" w:eastAsia="Times New Roman" w:hAnsi="Times New Roman" w:cs="Times New Roman"/>
                <w:sz w:val="24"/>
                <w:szCs w:val="24"/>
                <w:u w:val="single"/>
              </w:rPr>
              <w:t>після закінчення газової доби (D) надає кожному замовнику послуг транспортування природного газу інформацію про його попередній добовий небаланс та розрахунок попередньої вартості за добовий небаланс.</w:t>
            </w:r>
          </w:p>
          <w:p w:rsidR="00B674F8" w:rsidRDefault="009E3065">
            <w:pPr>
              <w:spacing w:line="21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зв'язку з вищенаведеним запропоновані НКРЕКП положення не можуть застосовуватися до оператора газотранспортної системи, оскільки розрахунок попередньої вартості за добовий небаланс здійснюється щодоби.</w:t>
            </w:r>
          </w:p>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Також, у зв'язку із відсутністю щогодинної інформації телеметричних даних технологічних параметрів роботи ГТС та на безперервній основі доступу до метрологічних даних комерційних вузлів обліку газу у певних точках входу/виходу на міждержавному з'єднанні, до ГТС від видобувних підприємств, ПСГ тощо. Також відсутня технічна можливість та програмне забезпечення для щогодинного (прогнозного) розрахунку запасу газу в ГТС в автоматичному (безперервному) режимі.</w:t>
            </w:r>
          </w:p>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Частина інформації, передбачена пунктами 3.1.2 та 3.3 додатку до Регламенту (ЄС) № 2024/1789, не може бути опублікована на платформі ENTSOG через відсутність відповідного функціоналу (</w:t>
            </w:r>
            <w:proofErr w:type="spellStart"/>
            <w:r>
              <w:rPr>
                <w:rFonts w:ascii="Times New Roman" w:eastAsia="Times New Roman" w:hAnsi="Times New Roman" w:cs="Times New Roman"/>
                <w:color w:val="000000"/>
                <w:sz w:val="24"/>
                <w:szCs w:val="24"/>
              </w:rPr>
              <w:t>слотів</w:t>
            </w:r>
            <w:proofErr w:type="spellEnd"/>
            <w:r>
              <w:rPr>
                <w:rFonts w:ascii="Times New Roman" w:eastAsia="Times New Roman" w:hAnsi="Times New Roman" w:cs="Times New Roman"/>
                <w:color w:val="000000"/>
                <w:sz w:val="24"/>
                <w:szCs w:val="24"/>
              </w:rPr>
              <w:t>) для розміщення такої інформації.</w:t>
            </w:r>
          </w:p>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Крім цього, у зв'язку з скасуванням Регламенту (ЄС)№ 715/2009 пропонується редакційна правка для посилання на діючий нормативно-правовий акт ЄС.</w:t>
            </w:r>
          </w:p>
        </w:tc>
        <w:tc>
          <w:tcPr>
            <w:tcW w:w="4170" w:type="dxa"/>
            <w:tcBorders>
              <w:top w:val="single" w:sz="4" w:space="0" w:color="000000"/>
            </w:tcBorders>
          </w:tcPr>
          <w:p w:rsidR="00B674F8" w:rsidRDefault="009E3065">
            <w:pPr>
              <w:spacing w:line="216"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частково враховується у редакції:</w:t>
            </w:r>
          </w:p>
          <w:p w:rsidR="00B674F8" w:rsidRDefault="009E3065">
            <w:pPr>
              <w:spacing w:line="21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 Оператор газотранспортної системи надає замовникам послуг транспортування інформацію щодо:</w:t>
            </w:r>
          </w:p>
          <w:p w:rsidR="00B674F8" w:rsidRDefault="009E3065">
            <w:pPr>
              <w:spacing w:line="21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B674F8" w:rsidRDefault="009E3065">
            <w:pPr>
              <w:spacing w:line="21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Оператор газотранспортної системи оприлюднює на платформі ENTSOG інформацію, визначену в пунктах 3.1.2 та 3.3 додатку до Регламенту (ЄС) </w:t>
            </w:r>
            <w:r>
              <w:rPr>
                <w:rFonts w:ascii="Times New Roman" w:eastAsia="Times New Roman" w:hAnsi="Times New Roman" w:cs="Times New Roman"/>
                <w:b/>
                <w:sz w:val="24"/>
                <w:szCs w:val="24"/>
              </w:rPr>
              <w:t>2024/1789</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про внутрішні ринки відновлювального газу, природного газу та водню, яким вносяться зміни до Регламентів (ЄС) № 1227/2011, (ЄС) 2017/1938, (ЄС) 2019/942 та (ЄС) 2022/869 і Рішення (ЄС) 2017/684 та скасовується Регламенту (ЄС) № 715/2009</w:t>
            </w:r>
            <w:r>
              <w:rPr>
                <w:rFonts w:ascii="Times New Roman" w:eastAsia="Times New Roman" w:hAnsi="Times New Roman" w:cs="Times New Roman"/>
                <w:sz w:val="24"/>
                <w:szCs w:val="24"/>
              </w:rPr>
              <w:t xml:space="preserve"> згідно з вимогами пункту 3.1.1 цього додатку.</w:t>
            </w:r>
          </w:p>
          <w:p w:rsidR="00B674F8" w:rsidRDefault="009E3065">
            <w:pPr>
              <w:spacing w:line="21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B674F8" w:rsidRDefault="009E3065">
            <w:pPr>
              <w:spacing w:line="21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Інші пропозиції протирічать нормам Регламенту (ЄС) 2024/1789.</w:t>
            </w:r>
          </w:p>
        </w:tc>
      </w:tr>
      <w:tr w:rsidR="00B674F8">
        <w:tc>
          <w:tcPr>
            <w:tcW w:w="15300" w:type="dxa"/>
            <w:gridSpan w:val="3"/>
          </w:tcPr>
          <w:p w:rsidR="00B674F8" w:rsidRDefault="009E3065">
            <w:pPr>
              <w:pBdr>
                <w:top w:val="nil"/>
                <w:left w:val="nil"/>
                <w:bottom w:val="nil"/>
                <w:right w:val="nil"/>
                <w:between w:val="nil"/>
              </w:pBdr>
              <w:jc w:val="center"/>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ТИПОВИЙ ДОГОВІР ТРАНСПОРТУВАННЯ ПРИРОДНОГО ГАЗУ</w:t>
            </w:r>
          </w:p>
        </w:tc>
      </w:tr>
      <w:tr w:rsidR="00B674F8">
        <w:tc>
          <w:tcPr>
            <w:tcW w:w="15300" w:type="dxa"/>
            <w:gridSpan w:val="3"/>
          </w:tcPr>
          <w:p w:rsidR="00B674F8" w:rsidRDefault="009E3065">
            <w:pPr>
              <w:spacing w:line="21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VІІІ. Визначення вартості та порядок розрахунків за договірну потужність</w:t>
            </w:r>
          </w:p>
        </w:tc>
      </w:tr>
      <w:tr w:rsidR="00B674F8">
        <w:tc>
          <w:tcPr>
            <w:tcW w:w="5460" w:type="dxa"/>
            <w:tcBorders>
              <w:top w:val="nil"/>
              <w:left w:val="single" w:sz="4" w:space="0" w:color="000000"/>
              <w:bottom w:val="single" w:sz="4" w:space="0" w:color="000000"/>
              <w:right w:val="single" w:sz="4" w:space="0" w:color="000000"/>
            </w:tcBorders>
          </w:tcPr>
          <w:p w:rsidR="00B674F8" w:rsidRDefault="009E3065">
            <w:pPr>
              <w:spacing w:line="216" w:lineRule="auto"/>
              <w:ind w:firstLine="709"/>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b/>
                <w:color w:val="000000"/>
                <w:sz w:val="24"/>
                <w:szCs w:val="24"/>
              </w:rPr>
              <w:t>Проєктом</w:t>
            </w:r>
            <w:proofErr w:type="spellEnd"/>
            <w:r>
              <w:rPr>
                <w:rFonts w:ascii="Times New Roman" w:eastAsia="Times New Roman" w:hAnsi="Times New Roman" w:cs="Times New Roman"/>
                <w:b/>
                <w:color w:val="000000"/>
                <w:sz w:val="24"/>
                <w:szCs w:val="24"/>
              </w:rPr>
              <w:t xml:space="preserve"> постанови запропоновані зміни не передбачені.</w:t>
            </w:r>
          </w:p>
        </w:tc>
        <w:tc>
          <w:tcPr>
            <w:tcW w:w="5670" w:type="dxa"/>
            <w:tcBorders>
              <w:top w:val="nil"/>
              <w:left w:val="single" w:sz="4" w:space="0" w:color="000000"/>
              <w:bottom w:val="single" w:sz="4" w:space="0" w:color="000000"/>
              <w:right w:val="single" w:sz="4" w:space="0" w:color="000000"/>
            </w:tcBorders>
          </w:tcPr>
          <w:p w:rsidR="00B674F8" w:rsidRDefault="009E3065">
            <w:pPr>
              <w:spacing w:line="216" w:lineRule="auto"/>
              <w:ind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ТОВ «Оператор ГТС України»</w:t>
            </w:r>
          </w:p>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8.5. Замовник зобов’язаний відповідно до вимог Кодексу повідомити Оператора про намір змінити умови (обмеження) потужності з обмеженнями та сплатити на рахунок Оператора плату за зміну умов (обмежень) потужності з обмеженнями не пізніше завершення банківського дня, що передує зміні умов (обмежень) потужності з обмеженнями.</w:t>
            </w:r>
          </w:p>
          <w:p w:rsidR="00B674F8" w:rsidRDefault="009E3065">
            <w:pPr>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B674F8" w:rsidRDefault="009E3065">
            <w:pPr>
              <w:spacing w:line="216" w:lineRule="auto"/>
              <w:ind w:firstLine="720"/>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Цзу</w:t>
            </w:r>
            <w:proofErr w:type="spellEnd"/>
            <w:r>
              <w:rPr>
                <w:rFonts w:ascii="Times New Roman" w:eastAsia="Times New Roman" w:hAnsi="Times New Roman" w:cs="Times New Roman"/>
                <w:sz w:val="24"/>
                <w:szCs w:val="24"/>
              </w:rPr>
              <w:tab/>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ab/>
            </w:r>
            <w:r>
              <w:rPr>
                <w:rFonts w:ascii="Times New Roman" w:eastAsia="Times New Roman" w:hAnsi="Times New Roman" w:cs="Times New Roman"/>
                <w:color w:val="000000"/>
                <w:sz w:val="24"/>
                <w:szCs w:val="24"/>
              </w:rPr>
              <w:t xml:space="preserve">ціна зміни умов (обмежень) потужності з обмеженнями для 1000 куб. м природного газу, яка дорівнює розміру тарифу на послуги транспортування природного газу для транскордонних точок входу в газотранспортну систему України, встановленому Регулятором, що застосовується у розмірі </w:t>
            </w:r>
            <w:proofErr w:type="spellStart"/>
            <w:r>
              <w:rPr>
                <w:rFonts w:ascii="Times New Roman" w:eastAsia="Times New Roman" w:hAnsi="Times New Roman" w:cs="Times New Roman"/>
                <w:strike/>
                <w:color w:val="000000"/>
                <w:sz w:val="24"/>
                <w:szCs w:val="24"/>
              </w:rPr>
              <w:t>д</w:t>
            </w:r>
            <w:r>
              <w:rPr>
                <w:rFonts w:ascii="Times New Roman" w:eastAsia="Times New Roman" w:hAnsi="Times New Roman" w:cs="Times New Roman"/>
                <w:b/>
                <w:strike/>
                <w:color w:val="000000"/>
                <w:sz w:val="24"/>
                <w:szCs w:val="24"/>
              </w:rPr>
              <w:t>ол</w:t>
            </w:r>
            <w:proofErr w:type="spellEnd"/>
            <w:r>
              <w:rPr>
                <w:rFonts w:ascii="Times New Roman" w:eastAsia="Times New Roman" w:hAnsi="Times New Roman" w:cs="Times New Roman"/>
                <w:b/>
                <w:strike/>
                <w:color w:val="000000"/>
                <w:sz w:val="24"/>
                <w:szCs w:val="24"/>
              </w:rPr>
              <w:t>. США</w:t>
            </w:r>
            <w:r>
              <w:rPr>
                <w:rFonts w:ascii="Times New Roman" w:eastAsia="Times New Roman" w:hAnsi="Times New Roman" w:cs="Times New Roman"/>
                <w:b/>
                <w:color w:val="000000"/>
                <w:sz w:val="24"/>
                <w:szCs w:val="24"/>
              </w:rPr>
              <w:t xml:space="preserve"> ЄВРО (EUR)</w:t>
            </w:r>
            <w:r>
              <w:rPr>
                <w:rFonts w:ascii="Times New Roman" w:eastAsia="Times New Roman" w:hAnsi="Times New Roman" w:cs="Times New Roman"/>
                <w:color w:val="000000"/>
                <w:sz w:val="24"/>
                <w:szCs w:val="24"/>
              </w:rPr>
              <w:t xml:space="preserve"> за 1000 куб. м без ПДВ, та чинному у період зміни умов (обмежень) потужності з обмеженнями;</w:t>
            </w:r>
          </w:p>
          <w:p w:rsidR="00B674F8" w:rsidRDefault="009E3065">
            <w:pPr>
              <w:spacing w:line="216"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B674F8" w:rsidRDefault="009E3065">
            <w:pPr>
              <w:spacing w:line="216" w:lineRule="auto"/>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Обґрунтування</w:t>
            </w:r>
          </w:p>
          <w:p w:rsidR="00B674F8" w:rsidRDefault="009E3065">
            <w:pPr>
              <w:spacing w:line="216" w:lineRule="auto"/>
              <w:ind w:firstLine="709"/>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4"/>
                <w:szCs w:val="24"/>
              </w:rPr>
              <w:t>Правка пропонується з метою приведення у відповідність одиниць до постанови НКРЕКП від 30.12.2024  № 2387.</w:t>
            </w:r>
          </w:p>
        </w:tc>
        <w:tc>
          <w:tcPr>
            <w:tcW w:w="4170" w:type="dxa"/>
            <w:tcBorders>
              <w:top w:val="nil"/>
              <w:left w:val="single" w:sz="4" w:space="0" w:color="000000"/>
              <w:bottom w:val="single" w:sz="4" w:space="0" w:color="000000"/>
              <w:right w:val="single" w:sz="4" w:space="0" w:color="000000"/>
            </w:tcBorders>
          </w:tcPr>
          <w:p w:rsidR="00B674F8" w:rsidRDefault="009E3065">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Попередньо приймається</w:t>
            </w:r>
          </w:p>
        </w:tc>
      </w:tr>
      <w:tr w:rsidR="00B674F8">
        <w:trPr>
          <w:trHeight w:val="5096"/>
        </w:trPr>
        <w:tc>
          <w:tcPr>
            <w:tcW w:w="5460" w:type="dxa"/>
            <w:tcBorders>
              <w:top w:val="single" w:sz="4" w:space="0" w:color="000000"/>
            </w:tcBorders>
            <w:shd w:val="clear" w:color="auto" w:fill="FFFFFF"/>
          </w:tcPr>
          <w:p w:rsidR="00B674F8" w:rsidRDefault="00B674F8">
            <w:pPr>
              <w:spacing w:line="216" w:lineRule="auto"/>
              <w:jc w:val="both"/>
              <w:rPr>
                <w:rFonts w:ascii="Times New Roman" w:eastAsia="Times New Roman" w:hAnsi="Times New Roman" w:cs="Times New Roman"/>
                <w:color w:val="000000"/>
                <w:sz w:val="24"/>
                <w:szCs w:val="24"/>
              </w:rPr>
            </w:pPr>
          </w:p>
          <w:p w:rsidR="00B674F8" w:rsidRDefault="009E3065">
            <w:pPr>
              <w:spacing w:line="21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noProof/>
                <w:color w:val="000000"/>
                <w:sz w:val="24"/>
                <w:szCs w:val="24"/>
              </w:rPr>
              <w:drawing>
                <wp:inline distT="0" distB="0" distL="0" distR="0">
                  <wp:extent cx="3435367" cy="2261135"/>
                  <wp:effectExtent l="0" t="0" r="0" b="0"/>
                  <wp:docPr id="1972251239" name="image3.png" descr="Зображення, що містить текст, схема, ряд, Паралель&#10;&#10;Вміст, створений ШІ, може бути неправильним."/>
                  <wp:cNvGraphicFramePr/>
                  <a:graphic xmlns:a="http://schemas.openxmlformats.org/drawingml/2006/main">
                    <a:graphicData uri="http://schemas.openxmlformats.org/drawingml/2006/picture">
                      <pic:pic xmlns:pic="http://schemas.openxmlformats.org/drawingml/2006/picture">
                        <pic:nvPicPr>
                          <pic:cNvPr id="0" name="image3.png" descr="Зображення, що містить текст, схема, ряд, Паралель&#10;&#10;Вміст, створений ШІ, може бути неправильним."/>
                          <pic:cNvPicPr preferRelativeResize="0"/>
                        </pic:nvPicPr>
                        <pic:blipFill>
                          <a:blip r:embed="rId7"/>
                          <a:srcRect/>
                          <a:stretch>
                            <a:fillRect/>
                          </a:stretch>
                        </pic:blipFill>
                        <pic:spPr>
                          <a:xfrm>
                            <a:off x="0" y="0"/>
                            <a:ext cx="3435367" cy="2261135"/>
                          </a:xfrm>
                          <a:prstGeom prst="rect">
                            <a:avLst/>
                          </a:prstGeom>
                          <a:ln/>
                        </pic:spPr>
                      </pic:pic>
                    </a:graphicData>
                  </a:graphic>
                </wp:inline>
              </w:drawing>
            </w:r>
          </w:p>
        </w:tc>
        <w:tc>
          <w:tcPr>
            <w:tcW w:w="5670" w:type="dxa"/>
            <w:tcBorders>
              <w:top w:val="single" w:sz="4" w:space="0" w:color="000000"/>
            </w:tcBorders>
            <w:shd w:val="clear" w:color="auto" w:fill="FFFFFF"/>
          </w:tcPr>
          <w:p w:rsidR="00B674F8" w:rsidRDefault="009E3065">
            <w:pPr>
              <w:spacing w:line="216" w:lineRule="auto"/>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ТОВ «Оператор ГТС України»</w:t>
            </w:r>
          </w:p>
          <w:p w:rsidR="00B674F8" w:rsidRDefault="00B674F8">
            <w:pPr>
              <w:spacing w:line="216" w:lineRule="auto"/>
              <w:jc w:val="both"/>
              <w:rPr>
                <w:rFonts w:ascii="Times New Roman" w:eastAsia="Times New Roman" w:hAnsi="Times New Roman" w:cs="Times New Roman"/>
                <w:color w:val="000000"/>
                <w:sz w:val="24"/>
                <w:szCs w:val="24"/>
              </w:rPr>
            </w:pPr>
          </w:p>
          <w:p w:rsidR="00B674F8" w:rsidRDefault="009E3065">
            <w:pPr>
              <w:spacing w:line="216" w:lineRule="auto"/>
              <w:jc w:val="both"/>
              <w:rPr>
                <w:rFonts w:ascii="Times New Roman" w:eastAsia="Times New Roman" w:hAnsi="Times New Roman" w:cs="Times New Roman"/>
                <w:color w:val="000000"/>
                <w:sz w:val="24"/>
                <w:szCs w:val="24"/>
              </w:rPr>
            </w:pPr>
            <w:r>
              <w:rPr>
                <w:noProof/>
              </w:rPr>
              <w:drawing>
                <wp:inline distT="0" distB="0" distL="0" distR="0">
                  <wp:extent cx="2966400" cy="1897200"/>
                  <wp:effectExtent l="0" t="0" r="0" b="0"/>
                  <wp:docPr id="197225124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2966400" cy="1897200"/>
                          </a:xfrm>
                          <a:prstGeom prst="rect">
                            <a:avLst/>
                          </a:prstGeom>
                          <a:ln/>
                        </pic:spPr>
                      </pic:pic>
                    </a:graphicData>
                  </a:graphic>
                </wp:inline>
              </w:drawing>
            </w:r>
          </w:p>
        </w:tc>
        <w:tc>
          <w:tcPr>
            <w:tcW w:w="4170" w:type="dxa"/>
            <w:tcBorders>
              <w:top w:val="single" w:sz="4" w:space="0" w:color="000000"/>
            </w:tcBorders>
            <w:shd w:val="clear" w:color="auto" w:fill="FFFFFF"/>
          </w:tcPr>
          <w:p w:rsidR="00B674F8" w:rsidRDefault="009E3065">
            <w:pPr>
              <w:spacing w:line="21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Попередньо приймається</w:t>
            </w:r>
          </w:p>
        </w:tc>
      </w:tr>
      <w:tr w:rsidR="00B674F8">
        <w:tc>
          <w:tcPr>
            <w:tcW w:w="5460" w:type="dxa"/>
          </w:tcPr>
          <w:p w:rsidR="00B674F8" w:rsidRDefault="009E3065">
            <w:pPr>
              <w:spacing w:line="216" w:lineRule="auto"/>
              <w:rPr>
                <w:rFonts w:ascii="Times New Roman" w:eastAsia="Times New Roman" w:hAnsi="Times New Roman" w:cs="Times New Roman"/>
                <w:b/>
                <w:color w:val="000000"/>
                <w:sz w:val="24"/>
                <w:szCs w:val="24"/>
              </w:rPr>
            </w:pPr>
            <w:r>
              <w:rPr>
                <w:rFonts w:ascii="Times New Roman" w:eastAsia="Times New Roman" w:hAnsi="Times New Roman" w:cs="Times New Roman"/>
                <w:noProof/>
                <w:sz w:val="24"/>
                <w:szCs w:val="24"/>
              </w:rPr>
              <w:drawing>
                <wp:inline distT="0" distB="0" distL="0" distR="0">
                  <wp:extent cx="3469137" cy="2185953"/>
                  <wp:effectExtent l="0" t="0" r="0" b="0"/>
                  <wp:docPr id="1972251240" name="image1.png" descr="Зображення, що містить текст, схема, Паралель, квитанція&#10;&#10;Вміст, створений ШІ, може бути неправильним."/>
                  <wp:cNvGraphicFramePr/>
                  <a:graphic xmlns:a="http://schemas.openxmlformats.org/drawingml/2006/main">
                    <a:graphicData uri="http://schemas.openxmlformats.org/drawingml/2006/picture">
                      <pic:pic xmlns:pic="http://schemas.openxmlformats.org/drawingml/2006/picture">
                        <pic:nvPicPr>
                          <pic:cNvPr id="0" name="image1.png" descr="Зображення, що містить текст, схема, Паралель, квитанція&#10;&#10;Вміст, створений ШІ, може бути неправильним."/>
                          <pic:cNvPicPr preferRelativeResize="0"/>
                        </pic:nvPicPr>
                        <pic:blipFill>
                          <a:blip r:embed="rId9"/>
                          <a:srcRect/>
                          <a:stretch>
                            <a:fillRect/>
                          </a:stretch>
                        </pic:blipFill>
                        <pic:spPr>
                          <a:xfrm>
                            <a:off x="0" y="0"/>
                            <a:ext cx="3469137" cy="2185953"/>
                          </a:xfrm>
                          <a:prstGeom prst="rect">
                            <a:avLst/>
                          </a:prstGeom>
                          <a:ln/>
                        </pic:spPr>
                      </pic:pic>
                    </a:graphicData>
                  </a:graphic>
                </wp:inline>
              </w:drawing>
            </w:r>
          </w:p>
        </w:tc>
        <w:tc>
          <w:tcPr>
            <w:tcW w:w="5670" w:type="dxa"/>
          </w:tcPr>
          <w:p w:rsidR="00B674F8" w:rsidRDefault="009E3065">
            <w:pPr>
              <w:spacing w:line="216" w:lineRule="auto"/>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ТОВ «Оператор ГТС України»</w:t>
            </w:r>
          </w:p>
          <w:p w:rsidR="00B674F8" w:rsidRDefault="00B674F8">
            <w:pPr>
              <w:spacing w:line="216" w:lineRule="auto"/>
              <w:rPr>
                <w:rFonts w:ascii="Times New Roman" w:eastAsia="Times New Roman" w:hAnsi="Times New Roman" w:cs="Times New Roman"/>
                <w:sz w:val="24"/>
                <w:szCs w:val="24"/>
              </w:rPr>
            </w:pPr>
          </w:p>
          <w:p w:rsidR="00B674F8" w:rsidRDefault="009E3065">
            <w:pPr>
              <w:spacing w:line="216" w:lineRule="auto"/>
              <w:rPr>
                <w:rFonts w:ascii="Times New Roman" w:eastAsia="Times New Roman" w:hAnsi="Times New Roman" w:cs="Times New Roman"/>
                <w:sz w:val="24"/>
                <w:szCs w:val="24"/>
              </w:rPr>
            </w:pPr>
            <w:r>
              <w:rPr>
                <w:noProof/>
              </w:rPr>
              <w:drawing>
                <wp:inline distT="0" distB="0" distL="0" distR="0">
                  <wp:extent cx="3081600" cy="2062800"/>
                  <wp:effectExtent l="0" t="0" r="0" b="0"/>
                  <wp:docPr id="197225124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3081600" cy="2062800"/>
                          </a:xfrm>
                          <a:prstGeom prst="rect">
                            <a:avLst/>
                          </a:prstGeom>
                          <a:ln/>
                        </pic:spPr>
                      </pic:pic>
                    </a:graphicData>
                  </a:graphic>
                </wp:inline>
              </w:drawing>
            </w:r>
          </w:p>
        </w:tc>
        <w:tc>
          <w:tcPr>
            <w:tcW w:w="4170" w:type="dxa"/>
          </w:tcPr>
          <w:p w:rsidR="00B674F8" w:rsidRDefault="009E3065">
            <w:pPr>
              <w:spacing w:line="216"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Попередньо приймається</w:t>
            </w:r>
          </w:p>
        </w:tc>
      </w:tr>
    </w:tbl>
    <w:p w:rsidR="00B674F8" w:rsidRDefault="00B674F8">
      <w:pPr>
        <w:spacing w:after="0" w:line="216" w:lineRule="auto"/>
        <w:rPr>
          <w:rFonts w:ascii="Times New Roman" w:eastAsia="Times New Roman" w:hAnsi="Times New Roman" w:cs="Times New Roman"/>
          <w:b/>
          <w:color w:val="000000"/>
          <w:sz w:val="24"/>
          <w:szCs w:val="24"/>
        </w:rPr>
      </w:pPr>
    </w:p>
    <w:p w:rsidR="00B674F8" w:rsidRDefault="00B674F8">
      <w:pPr>
        <w:spacing w:after="0" w:line="216" w:lineRule="auto"/>
        <w:rPr>
          <w:rFonts w:ascii="Times New Roman" w:eastAsia="Times New Roman" w:hAnsi="Times New Roman" w:cs="Times New Roman"/>
          <w:b/>
          <w:color w:val="000000"/>
          <w:sz w:val="24"/>
          <w:szCs w:val="24"/>
        </w:rPr>
      </w:pPr>
    </w:p>
    <w:p w:rsidR="00B674F8" w:rsidRDefault="00B674F8">
      <w:pPr>
        <w:spacing w:after="0" w:line="216" w:lineRule="auto"/>
        <w:rPr>
          <w:rFonts w:ascii="Times New Roman" w:eastAsia="Times New Roman" w:hAnsi="Times New Roman" w:cs="Times New Roman"/>
          <w:b/>
          <w:color w:val="000000"/>
          <w:sz w:val="24"/>
          <w:szCs w:val="24"/>
        </w:rPr>
      </w:pPr>
    </w:p>
    <w:p w:rsidR="00B674F8" w:rsidRDefault="009E3065">
      <w:pPr>
        <w:spacing w:after="0" w:line="216"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Директор Департаменту</w:t>
      </w:r>
    </w:p>
    <w:p w:rsidR="00B674F8" w:rsidRDefault="009E3065">
      <w:pPr>
        <w:spacing w:after="0" w:line="216"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із регулювання відносин у нафтогазовій сфері </w:t>
      </w: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t xml:space="preserve">            Олександр КОСЯНЧУК </w:t>
      </w:r>
    </w:p>
    <w:sectPr w:rsidR="00B674F8" w:rsidSect="009E3065">
      <w:footerReference w:type="default" r:id="rId11"/>
      <w:pgSz w:w="16838" w:h="11906" w:orient="landscape"/>
      <w:pgMar w:top="1135" w:right="850" w:bottom="1560" w:left="85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57C9" w:rsidRDefault="00C257C9">
      <w:pPr>
        <w:spacing w:after="0" w:line="240" w:lineRule="auto"/>
      </w:pPr>
      <w:r>
        <w:separator/>
      </w:r>
    </w:p>
  </w:endnote>
  <w:endnote w:type="continuationSeparator" w:id="0">
    <w:p w:rsidR="00C257C9" w:rsidRDefault="00C257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1529037"/>
      <w:docPartObj>
        <w:docPartGallery w:val="Page Numbers (Bottom of Page)"/>
        <w:docPartUnique/>
      </w:docPartObj>
    </w:sdtPr>
    <w:sdtEndPr/>
    <w:sdtContent>
      <w:p w:rsidR="009E3065" w:rsidRDefault="009E3065">
        <w:pPr>
          <w:pStyle w:val="ab"/>
          <w:jc w:val="right"/>
        </w:pPr>
        <w:r>
          <w:fldChar w:fldCharType="begin"/>
        </w:r>
        <w:r>
          <w:instrText>PAGE   \* MERGEFORMAT</w:instrText>
        </w:r>
        <w:r>
          <w:fldChar w:fldCharType="separate"/>
        </w:r>
        <w:r>
          <w:t>2</w:t>
        </w:r>
        <w:r>
          <w:fldChar w:fldCharType="end"/>
        </w:r>
      </w:p>
    </w:sdtContent>
  </w:sdt>
  <w:p w:rsidR="00B674F8" w:rsidRDefault="00B674F8">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57C9" w:rsidRDefault="00C257C9">
      <w:pPr>
        <w:spacing w:after="0" w:line="240" w:lineRule="auto"/>
      </w:pPr>
      <w:r>
        <w:separator/>
      </w:r>
    </w:p>
  </w:footnote>
  <w:footnote w:type="continuationSeparator" w:id="0">
    <w:p w:rsidR="00C257C9" w:rsidRDefault="00C257C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4F8"/>
    <w:rsid w:val="00155DE3"/>
    <w:rsid w:val="002E65C1"/>
    <w:rsid w:val="00610ECD"/>
    <w:rsid w:val="009E3065"/>
    <w:rsid w:val="00B674F8"/>
    <w:rsid w:val="00C257C9"/>
    <w:rsid w:val="00FD3E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81890"/>
  <w15:docId w15:val="{EF29E56F-EDC1-450C-B84B-84D4C679A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spacing w:after="160" w:line="25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B148D"/>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link w:val="30"/>
    <w:uiPriority w:val="9"/>
    <w:semiHidden/>
    <w:unhideWhenUsed/>
    <w:qFormat/>
    <w:rsid w:val="00A96938"/>
    <w:pPr>
      <w:keepNext/>
      <w:keepLines/>
      <w:spacing w:before="160" w:after="80" w:line="276" w:lineRule="auto"/>
      <w:outlineLvl w:val="2"/>
    </w:pPr>
    <w:rPr>
      <w:rFonts w:eastAsiaTheme="majorEastAsia" w:cstheme="majorBidi"/>
      <w:color w:val="2F5496" w:themeColor="accent1" w:themeShade="BF"/>
      <w:sz w:val="28"/>
      <w:szCs w:val="28"/>
      <w:lang w:eastAsia="en-US"/>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39"/>
    <w:rsid w:val="00ED19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47565F"/>
    <w:rPr>
      <w:color w:val="0563C1" w:themeColor="hyperlink"/>
      <w:u w:val="single"/>
    </w:rPr>
  </w:style>
  <w:style w:type="paragraph" w:customStyle="1" w:styleId="rvps2">
    <w:name w:val="rvps2"/>
    <w:basedOn w:val="a"/>
    <w:rsid w:val="00D34802"/>
    <w:pPr>
      <w:spacing w:before="100" w:beforeAutospacing="1" w:after="100" w:afterAutospacing="1" w:line="240" w:lineRule="auto"/>
    </w:pPr>
    <w:rPr>
      <w:rFonts w:ascii="Times New Roman" w:hAnsi="Times New Roman" w:cs="Times New Roman"/>
      <w:sz w:val="24"/>
      <w:szCs w:val="24"/>
    </w:rPr>
  </w:style>
  <w:style w:type="character" w:customStyle="1" w:styleId="30">
    <w:name w:val="Заголовок 3 Знак"/>
    <w:basedOn w:val="a0"/>
    <w:link w:val="3"/>
    <w:uiPriority w:val="9"/>
    <w:semiHidden/>
    <w:rsid w:val="00A96938"/>
    <w:rPr>
      <w:rFonts w:ascii="Calibri" w:eastAsiaTheme="majorEastAsia" w:hAnsi="Calibri" w:cstheme="majorBidi"/>
      <w:color w:val="2F5496" w:themeColor="accent1" w:themeShade="BF"/>
      <w:sz w:val="28"/>
      <w:szCs w:val="28"/>
    </w:rPr>
  </w:style>
  <w:style w:type="paragraph" w:customStyle="1" w:styleId="rvps7">
    <w:name w:val="rvps7"/>
    <w:basedOn w:val="a"/>
    <w:rsid w:val="008C05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8C0554"/>
  </w:style>
  <w:style w:type="character" w:customStyle="1" w:styleId="rvts46">
    <w:name w:val="rvts46"/>
    <w:basedOn w:val="a0"/>
    <w:rsid w:val="00153365"/>
  </w:style>
  <w:style w:type="paragraph" w:styleId="a6">
    <w:name w:val="Body Text Indent"/>
    <w:basedOn w:val="a"/>
    <w:link w:val="a7"/>
    <w:rsid w:val="0085294A"/>
    <w:pPr>
      <w:spacing w:after="0" w:line="240" w:lineRule="auto"/>
      <w:ind w:firstLine="708"/>
      <w:jc w:val="both"/>
    </w:pPr>
    <w:rPr>
      <w:rFonts w:ascii="Times New Roman" w:hAnsi="Times New Roman" w:cs="Times New Roman"/>
      <w:sz w:val="20"/>
      <w:szCs w:val="20"/>
      <w:lang w:eastAsia="ru-RU"/>
    </w:rPr>
  </w:style>
  <w:style w:type="character" w:customStyle="1" w:styleId="a7">
    <w:name w:val="Основний текст з відступом Знак"/>
    <w:basedOn w:val="a0"/>
    <w:link w:val="a6"/>
    <w:rsid w:val="0085294A"/>
    <w:rPr>
      <w:rFonts w:ascii="Times New Roman" w:eastAsia="Calibri" w:hAnsi="Times New Roman" w:cs="Times New Roman"/>
      <w:sz w:val="20"/>
      <w:szCs w:val="20"/>
      <w:lang w:eastAsia="ru-RU"/>
    </w:rPr>
  </w:style>
  <w:style w:type="paragraph" w:styleId="a8">
    <w:name w:val="Normal (Web)"/>
    <w:basedOn w:val="a"/>
    <w:uiPriority w:val="99"/>
    <w:rsid w:val="0085294A"/>
    <w:pPr>
      <w:spacing w:before="100" w:beforeAutospacing="1" w:after="100" w:afterAutospacing="1" w:line="240" w:lineRule="auto"/>
    </w:pPr>
    <w:rPr>
      <w:rFonts w:ascii="Times New Roman" w:hAnsi="Times New Roman" w:cs="Times New Roman"/>
      <w:sz w:val="24"/>
      <w:szCs w:val="24"/>
      <w:lang w:val="ru-RU" w:eastAsia="ru-RU"/>
    </w:rPr>
  </w:style>
  <w:style w:type="character" w:customStyle="1" w:styleId="st42">
    <w:name w:val="st42"/>
    <w:uiPriority w:val="99"/>
    <w:rsid w:val="00D6042F"/>
    <w:rPr>
      <w:color w:val="000000"/>
    </w:rPr>
  </w:style>
  <w:style w:type="paragraph" w:styleId="a9">
    <w:name w:val="header"/>
    <w:basedOn w:val="a"/>
    <w:link w:val="aa"/>
    <w:uiPriority w:val="99"/>
    <w:unhideWhenUsed/>
    <w:rsid w:val="00AD19CB"/>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AD19CB"/>
    <w:rPr>
      <w:rFonts w:ascii="Calibri" w:eastAsia="Calibri" w:hAnsi="Calibri" w:cs="Calibri"/>
      <w:lang w:eastAsia="uk-UA"/>
    </w:rPr>
  </w:style>
  <w:style w:type="paragraph" w:styleId="ab">
    <w:name w:val="footer"/>
    <w:basedOn w:val="a"/>
    <w:link w:val="ac"/>
    <w:uiPriority w:val="99"/>
    <w:unhideWhenUsed/>
    <w:rsid w:val="00AD19CB"/>
    <w:pPr>
      <w:tabs>
        <w:tab w:val="center" w:pos="4819"/>
        <w:tab w:val="right" w:pos="9639"/>
      </w:tabs>
      <w:spacing w:after="0" w:line="240" w:lineRule="auto"/>
    </w:pPr>
  </w:style>
  <w:style w:type="character" w:customStyle="1" w:styleId="ac">
    <w:name w:val="Нижній колонтитул Знак"/>
    <w:basedOn w:val="a0"/>
    <w:link w:val="ab"/>
    <w:uiPriority w:val="99"/>
    <w:rsid w:val="00AD19CB"/>
    <w:rPr>
      <w:rFonts w:ascii="Calibri" w:eastAsia="Calibri" w:hAnsi="Calibri" w:cs="Calibri"/>
      <w:lang w:eastAsia="uk-UA"/>
    </w:rPr>
  </w:style>
  <w:style w:type="paragraph" w:styleId="ad">
    <w:name w:val="No Spacing"/>
    <w:uiPriority w:val="1"/>
    <w:qFormat/>
    <w:rsid w:val="001C39C7"/>
    <w:pPr>
      <w:spacing w:after="0" w:line="240" w:lineRule="auto"/>
    </w:pPr>
    <w:rPr>
      <w:sz w:val="24"/>
      <w:szCs w:val="24"/>
      <w:lang w:val="ru-RU"/>
    </w:rPr>
  </w:style>
  <w:style w:type="paragraph" w:styleId="ae">
    <w:name w:val="Balloon Text"/>
    <w:basedOn w:val="a"/>
    <w:link w:val="af"/>
    <w:uiPriority w:val="99"/>
    <w:semiHidden/>
    <w:unhideWhenUsed/>
    <w:rsid w:val="004B148D"/>
    <w:pPr>
      <w:spacing w:after="0" w:line="240" w:lineRule="auto"/>
    </w:pPr>
    <w:rPr>
      <w:rFonts w:ascii="Segoe UI" w:hAnsi="Segoe UI" w:cs="Segoe UI"/>
      <w:sz w:val="18"/>
      <w:szCs w:val="18"/>
    </w:rPr>
  </w:style>
  <w:style w:type="character" w:customStyle="1" w:styleId="af">
    <w:name w:val="Текст у виносці Знак"/>
    <w:basedOn w:val="a0"/>
    <w:link w:val="ae"/>
    <w:uiPriority w:val="99"/>
    <w:semiHidden/>
    <w:rsid w:val="004B148D"/>
    <w:rPr>
      <w:rFonts w:ascii="Segoe UI" w:eastAsia="Calibri" w:hAnsi="Segoe UI" w:cs="Segoe UI"/>
      <w:sz w:val="18"/>
      <w:szCs w:val="18"/>
      <w:lang w:eastAsia="uk-UA"/>
    </w:rPr>
  </w:style>
  <w:style w:type="paragraph" w:styleId="af0">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1">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G1YFNBcu+643JSaG4+7yhE4TJQ==">CgMxLjAyD2lkLjk4djIwbXZtbDl2bDIPaWQuMnJ4Z3hpejNrcnpkMg9pZC5sN21ieGV3bTJ1MTcyD2lkLml6NWJpanNtb3ZuNjIPaWQuZW8yM3Npd3J6ZDJuMg9pZC5pNm5zenhuaTd4NTIyD2lkLjI1eDNqNmZqeWNrNTIPaWQuaHZxc3h5OHZ4eXg4Mg9pZC5kem9meGZlemZnNGIyD2lkLmczZWRqcGtidDI0bzIPaWQubXE1ZGhuNWFnc2NkMg5oLnhrbG54Y3dpMGg5YjIPaWQuc3RuYTd3ODZnNDd2Mg9pZC50M3Fta2lueXN5ZTYyD2lkLnI2YTA5dWk3bjdwZjIPaWQuZjRpOXNkNTNyY3VrMg9pZC5tZnVoZ2p4ZnRlaXUyD2lkLmpxM2ZsMHhjYjAwODIPaWQuZHhqbHQ1djh0OTRrMg9pZC50c3pmd3V3eDNmYnEyD2lkLnJ3Y3RrcGYwZzZwNzIPaWQudm80ZTJqMzBzMXV5Mg9pZC5xenp0dmY4NGJndXQyD2lkLjJzYmlkaGJ6cnJwejIPaWQudXpzMzZqanMwMTN5Mg9pZC40ZnhjN2k5cHpiN2kyD2lkLnQ4cjZ2cGlyeWFlbTIPaWQucDdkcnZ3NXpzYmRxMg9pZC50ZGtnejB6YjB6bHAyD2lkLmk5YWY2eng5ZnB5MTIPaWQud3RkZW1pcHdydjZpOAByITFCN1BDNjIxNnVVYkgtZFpNRUhNUnR2NDBQMkVSU1hhe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25394</Words>
  <Characters>14476</Characters>
  <Application>Microsoft Office Word</Application>
  <DocSecurity>0</DocSecurity>
  <Lines>120</Lines>
  <Paragraphs>79</Paragraphs>
  <ScaleCrop>false</ScaleCrop>
  <HeadingPairs>
    <vt:vector size="2" baseType="variant">
      <vt:variant>
        <vt:lpstr>Назва</vt:lpstr>
      </vt:variant>
      <vt:variant>
        <vt:i4>1</vt:i4>
      </vt:variant>
    </vt:vector>
  </HeadingPairs>
  <TitlesOfParts>
    <vt:vector size="1" baseType="lpstr">
      <vt:lpstr/>
    </vt:vector>
  </TitlesOfParts>
  <Company>NEURC</Company>
  <LinksUpToDate>false</LinksUpToDate>
  <CharactersWithSpaces>39791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Кулаковська</dc:creator>
  <cp:lastModifiedBy>Марина Різанова</cp:lastModifiedBy>
  <cp:revision>2</cp:revision>
  <cp:lastPrinted>2025-06-19T13:46:00Z</cp:lastPrinted>
  <dcterms:created xsi:type="dcterms:W3CDTF">2025-06-19T13:47:00Z</dcterms:created>
  <dcterms:modified xsi:type="dcterms:W3CDTF">2025-06-19T13:47:00Z</dcterms:modified>
</cp:coreProperties>
</file>