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807B" w14:textId="150438AA" w:rsidR="00992E46" w:rsidRPr="0033000E" w:rsidRDefault="00135205" w:rsidP="00CD0B24">
      <w:pPr>
        <w:shd w:val="clear" w:color="auto" w:fill="FFFFFF"/>
        <w:tabs>
          <w:tab w:val="left" w:pos="14459"/>
        </w:tabs>
        <w:spacing w:after="0" w:line="240" w:lineRule="auto"/>
        <w:ind w:right="-30"/>
        <w:jc w:val="center"/>
        <w:rPr>
          <w:rFonts w:ascii="Times New Roman" w:hAnsi="Times New Roman" w:cs="Times New Roman"/>
          <w:b/>
          <w:color w:val="000000" w:themeColor="text1"/>
          <w:sz w:val="28"/>
          <w:szCs w:val="28"/>
        </w:rPr>
      </w:pPr>
      <w:bookmarkStart w:id="0" w:name="n281"/>
      <w:bookmarkEnd w:id="0"/>
      <w:r w:rsidRPr="0033000E">
        <w:rPr>
          <w:rFonts w:ascii="Times New Roman" w:eastAsia="Times New Roman" w:hAnsi="Times New Roman" w:cs="Times New Roman"/>
          <w:b/>
          <w:bCs/>
          <w:color w:val="000000" w:themeColor="text1"/>
          <w:sz w:val="28"/>
          <w:szCs w:val="28"/>
          <w:lang w:eastAsia="uk-UA"/>
        </w:rPr>
        <w:t>УЗАГАЛЬНЕНІ ЗАУВАЖЕННЯ</w:t>
      </w:r>
      <w:r w:rsidRPr="0033000E">
        <w:rPr>
          <w:rFonts w:ascii="Times New Roman" w:eastAsia="Times New Roman" w:hAnsi="Times New Roman" w:cs="Times New Roman"/>
          <w:color w:val="000000" w:themeColor="text1"/>
          <w:sz w:val="28"/>
          <w:szCs w:val="28"/>
          <w:lang w:eastAsia="uk-UA"/>
        </w:rPr>
        <w:br/>
      </w:r>
      <w:r w:rsidRPr="0033000E">
        <w:rPr>
          <w:rFonts w:ascii="Times New Roman" w:eastAsia="Times New Roman" w:hAnsi="Times New Roman" w:cs="Times New Roman"/>
          <w:b/>
          <w:bCs/>
          <w:color w:val="000000" w:themeColor="text1"/>
          <w:sz w:val="28"/>
          <w:szCs w:val="28"/>
          <w:lang w:eastAsia="uk-UA"/>
        </w:rPr>
        <w:t xml:space="preserve">та пропозиції до проекту рішення НКРЕКП, що має ознаки регуляторного акта, - </w:t>
      </w:r>
      <w:r w:rsidRPr="0033000E">
        <w:rPr>
          <w:rFonts w:ascii="Times New Roman" w:hAnsi="Times New Roman" w:cs="Times New Roman"/>
          <w:b/>
          <w:color w:val="000000" w:themeColor="text1"/>
          <w:sz w:val="28"/>
          <w:szCs w:val="28"/>
        </w:rPr>
        <w:t xml:space="preserve">постанови НКРЕКП </w:t>
      </w:r>
      <w:r w:rsidR="00FD763B" w:rsidRPr="0033000E">
        <w:rPr>
          <w:rFonts w:ascii="Times New Roman" w:hAnsi="Times New Roman" w:cs="Times New Roman"/>
          <w:b/>
          <w:color w:val="000000" w:themeColor="text1"/>
          <w:sz w:val="28"/>
          <w:szCs w:val="28"/>
        </w:rPr>
        <w:t>«Про затвердження Змін до деяких постанов НКРЕКП»</w:t>
      </w:r>
      <w:r w:rsidR="00CD0B24" w:rsidRPr="0033000E">
        <w:rPr>
          <w:rFonts w:ascii="Times New Roman" w:hAnsi="Times New Roman" w:cs="Times New Roman"/>
          <w:b/>
          <w:color w:val="000000" w:themeColor="text1"/>
          <w:sz w:val="28"/>
          <w:szCs w:val="28"/>
        </w:rPr>
        <w:t xml:space="preserve"> (далі – Проєкт постанови)</w:t>
      </w:r>
    </w:p>
    <w:tbl>
      <w:tblPr>
        <w:tblStyle w:val="a3"/>
        <w:tblW w:w="16021" w:type="dxa"/>
        <w:jc w:val="center"/>
        <w:tblLayout w:type="fixed"/>
        <w:tblLook w:val="04A0" w:firstRow="1" w:lastRow="0" w:firstColumn="1" w:lastColumn="0" w:noHBand="0" w:noVBand="1"/>
      </w:tblPr>
      <w:tblGrid>
        <w:gridCol w:w="6377"/>
        <w:gridCol w:w="5957"/>
        <w:gridCol w:w="3687"/>
      </w:tblGrid>
      <w:tr w:rsidR="00135205" w:rsidRPr="0033000E" w14:paraId="4C8006A4" w14:textId="77777777" w:rsidTr="00135205">
        <w:trPr>
          <w:jc w:val="center"/>
        </w:trPr>
        <w:tc>
          <w:tcPr>
            <w:tcW w:w="6377" w:type="dxa"/>
            <w:vAlign w:val="center"/>
          </w:tcPr>
          <w:p w14:paraId="55B0A75E" w14:textId="77777777" w:rsidR="00135205" w:rsidRPr="0033000E" w:rsidRDefault="00135205" w:rsidP="00C62432">
            <w:pPr>
              <w:jc w:val="center"/>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t>Редакція проєкту рішення НКРЕКП</w:t>
            </w:r>
          </w:p>
          <w:p w14:paraId="75119793" w14:textId="77777777" w:rsidR="00135205" w:rsidRPr="0033000E" w:rsidRDefault="00135205" w:rsidP="00C62432">
            <w:pPr>
              <w:jc w:val="center"/>
              <w:rPr>
                <w:rFonts w:ascii="Times New Roman" w:hAnsi="Times New Roman" w:cs="Times New Roman"/>
                <w:b/>
                <w:bCs/>
                <w:iCs/>
                <w:color w:val="000000" w:themeColor="text1"/>
                <w:sz w:val="24"/>
                <w:szCs w:val="24"/>
                <w:lang w:val="uk-UA"/>
              </w:rPr>
            </w:pPr>
          </w:p>
        </w:tc>
        <w:tc>
          <w:tcPr>
            <w:tcW w:w="5957" w:type="dxa"/>
            <w:vAlign w:val="center"/>
          </w:tcPr>
          <w:p w14:paraId="3EF0E36E" w14:textId="77777777" w:rsidR="00135205" w:rsidRPr="0033000E" w:rsidRDefault="00135205" w:rsidP="00C62432">
            <w:pPr>
              <w:jc w:val="center"/>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t>Зауваження та пропозиції</w:t>
            </w:r>
          </w:p>
          <w:p w14:paraId="3A51C4B5" w14:textId="77777777" w:rsidR="00135205" w:rsidRPr="0033000E" w:rsidRDefault="00135205" w:rsidP="00C62432">
            <w:pPr>
              <w:jc w:val="center"/>
              <w:rPr>
                <w:rFonts w:ascii="Times New Roman" w:hAnsi="Times New Roman" w:cs="Times New Roman"/>
                <w:b/>
                <w:bCs/>
                <w:iCs/>
                <w:color w:val="000000" w:themeColor="text1"/>
                <w:sz w:val="24"/>
                <w:szCs w:val="24"/>
                <w:lang w:val="uk-UA"/>
              </w:rPr>
            </w:pPr>
            <w:r w:rsidRPr="0033000E">
              <w:rPr>
                <w:rFonts w:ascii="Times New Roman" w:hAnsi="Times New Roman" w:cs="Times New Roman"/>
                <w:b/>
                <w:bCs/>
                <w:iCs/>
                <w:color w:val="000000" w:themeColor="text1"/>
                <w:sz w:val="24"/>
                <w:szCs w:val="24"/>
                <w:shd w:val="clear" w:color="auto" w:fill="FFFFFF"/>
                <w:lang w:val="uk-UA"/>
              </w:rPr>
              <w:t>до проєкту рішення НКРЕКП</w:t>
            </w:r>
          </w:p>
        </w:tc>
        <w:tc>
          <w:tcPr>
            <w:tcW w:w="3687" w:type="dxa"/>
            <w:vAlign w:val="center"/>
          </w:tcPr>
          <w:p w14:paraId="6DF4341C" w14:textId="77777777" w:rsidR="00135205" w:rsidRPr="0033000E" w:rsidRDefault="00135205" w:rsidP="00C62432">
            <w:pPr>
              <w:jc w:val="center"/>
              <w:rPr>
                <w:rFonts w:ascii="Times New Roman" w:hAnsi="Times New Roman" w:cs="Times New Roman"/>
                <w:b/>
                <w:bCs/>
                <w:iCs/>
                <w:color w:val="000000" w:themeColor="text1"/>
                <w:sz w:val="24"/>
                <w:szCs w:val="24"/>
                <w:lang w:val="uk-UA"/>
              </w:rPr>
            </w:pPr>
            <w:r w:rsidRPr="0033000E">
              <w:rPr>
                <w:rFonts w:ascii="Times New Roman" w:eastAsia="Times New Roman" w:hAnsi="Times New Roman" w:cs="Times New Roman"/>
                <w:b/>
                <w:color w:val="000000" w:themeColor="text1"/>
                <w:sz w:val="24"/>
                <w:szCs w:val="24"/>
                <w:lang w:val="uk-UA" w:eastAsia="uk-UA"/>
              </w:rPr>
              <w:t>Попередня позиція НКРЕКП щодо наданих зауважень та пропозицій з обґрунтуваннями щодо прийняття або відхилення</w:t>
            </w:r>
          </w:p>
        </w:tc>
      </w:tr>
      <w:tr w:rsidR="00295C7A" w:rsidRPr="0033000E" w14:paraId="12CB0115" w14:textId="77777777" w:rsidTr="00EF77B7">
        <w:trPr>
          <w:jc w:val="center"/>
        </w:trPr>
        <w:tc>
          <w:tcPr>
            <w:tcW w:w="16021" w:type="dxa"/>
            <w:gridSpan w:val="3"/>
            <w:vAlign w:val="center"/>
          </w:tcPr>
          <w:p w14:paraId="0D2BDF22" w14:textId="77777777" w:rsidR="00FD763B" w:rsidRPr="0033000E" w:rsidRDefault="00FD763B" w:rsidP="00FD763B">
            <w:pPr>
              <w:jc w:val="center"/>
              <w:rPr>
                <w:rFonts w:ascii="Times New Roman" w:hAnsi="Times New Roman" w:cs="Times New Roman"/>
                <w:b/>
                <w:sz w:val="24"/>
                <w:szCs w:val="20"/>
                <w:lang w:val="uk-UA"/>
              </w:rPr>
            </w:pPr>
            <w:r w:rsidRPr="0033000E">
              <w:rPr>
                <w:rFonts w:ascii="Times New Roman" w:hAnsi="Times New Roman" w:cs="Times New Roman"/>
                <w:b/>
                <w:sz w:val="24"/>
                <w:szCs w:val="20"/>
                <w:lang w:val="uk-UA"/>
              </w:rPr>
              <w:t>Методика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p>
          <w:p w14:paraId="668B8DC7" w14:textId="671BD15F" w:rsidR="00295C7A" w:rsidRPr="0033000E" w:rsidRDefault="00FD763B" w:rsidP="00FD763B">
            <w:pPr>
              <w:jc w:val="center"/>
              <w:rPr>
                <w:rFonts w:ascii="Times New Roman" w:eastAsia="Times New Roman" w:hAnsi="Times New Roman" w:cs="Times New Roman"/>
                <w:b/>
                <w:color w:val="000000" w:themeColor="text1"/>
                <w:sz w:val="28"/>
                <w:szCs w:val="28"/>
                <w:lang w:val="uk-UA" w:eastAsia="uk-UA"/>
              </w:rPr>
            </w:pPr>
            <w:r w:rsidRPr="0033000E">
              <w:rPr>
                <w:rFonts w:ascii="Times New Roman" w:hAnsi="Times New Roman" w:cs="Times New Roman"/>
                <w:b/>
                <w:sz w:val="24"/>
                <w:szCs w:val="20"/>
                <w:lang w:val="uk-UA"/>
              </w:rPr>
              <w:t>(Постанова НКРЕКП від 13.06.2016 № 1131)</w:t>
            </w:r>
          </w:p>
        </w:tc>
      </w:tr>
      <w:tr w:rsidR="00295C7A" w:rsidRPr="0033000E" w14:paraId="2D42D7CA" w14:textId="77777777" w:rsidTr="00AD50A6">
        <w:trPr>
          <w:jc w:val="center"/>
        </w:trPr>
        <w:tc>
          <w:tcPr>
            <w:tcW w:w="16021" w:type="dxa"/>
            <w:gridSpan w:val="3"/>
            <w:vAlign w:val="center"/>
          </w:tcPr>
          <w:p w14:paraId="10F54ACA" w14:textId="2057E389" w:rsidR="00295C7A" w:rsidRPr="0033000E" w:rsidRDefault="00A34E68" w:rsidP="00295C7A">
            <w:pPr>
              <w:ind w:hanging="115"/>
              <w:jc w:val="center"/>
              <w:rPr>
                <w:rFonts w:ascii="Times New Roman" w:eastAsia="Times New Roman" w:hAnsi="Times New Roman" w:cs="Times New Roman"/>
                <w:b/>
                <w:color w:val="000000" w:themeColor="text1"/>
                <w:sz w:val="24"/>
                <w:szCs w:val="24"/>
                <w:lang w:val="uk-UA" w:eastAsia="uk-UA"/>
              </w:rPr>
            </w:pPr>
            <w:bookmarkStart w:id="1" w:name="_Hlk198641620"/>
            <w:bookmarkStart w:id="2" w:name="_Hlk198641505"/>
            <w:r w:rsidRPr="0033000E">
              <w:rPr>
                <w:rFonts w:ascii="Times New Roman" w:hAnsi="Times New Roman" w:cs="Times New Roman"/>
                <w:b/>
                <w:sz w:val="24"/>
                <w:szCs w:val="20"/>
                <w:lang w:val="uk-UA"/>
              </w:rPr>
              <w:t>VI.</w:t>
            </w:r>
            <w:bookmarkEnd w:id="1"/>
            <w:r w:rsidRPr="0033000E">
              <w:rPr>
                <w:rFonts w:ascii="Times New Roman" w:hAnsi="Times New Roman" w:cs="Times New Roman"/>
                <w:b/>
                <w:sz w:val="24"/>
                <w:szCs w:val="20"/>
                <w:lang w:val="uk-UA"/>
              </w:rPr>
              <w:t xml:space="preserve"> Коригування планованої тарифної виручки</w:t>
            </w:r>
            <w:bookmarkEnd w:id="2"/>
          </w:p>
        </w:tc>
      </w:tr>
      <w:tr w:rsidR="001D7C4C" w:rsidRPr="0033000E" w14:paraId="12E35162" w14:textId="77777777" w:rsidTr="002C166D">
        <w:trPr>
          <w:jc w:val="center"/>
        </w:trPr>
        <w:tc>
          <w:tcPr>
            <w:tcW w:w="6377" w:type="dxa"/>
            <w:vAlign w:val="center"/>
          </w:tcPr>
          <w:p w14:paraId="1CEDF345" w14:textId="77777777" w:rsidR="001D7C4C" w:rsidRPr="0033000E" w:rsidRDefault="001D7C4C" w:rsidP="001D7C4C">
            <w:pPr>
              <w:pStyle w:val="2"/>
              <w:ind w:firstLine="709"/>
              <w:contextualSpacing/>
              <w:jc w:val="both"/>
              <w:rPr>
                <w:b w:val="0"/>
                <w:bCs w:val="0"/>
                <w:iCs/>
                <w:color w:val="000000" w:themeColor="text1"/>
                <w:sz w:val="24"/>
                <w:szCs w:val="24"/>
                <w:shd w:val="clear" w:color="auto" w:fill="FFFFFF"/>
                <w:lang w:val="uk-UA"/>
              </w:rPr>
            </w:pPr>
          </w:p>
          <w:p w14:paraId="225018D6" w14:textId="6F9A6ACA" w:rsidR="001D7C4C" w:rsidRPr="0033000E" w:rsidRDefault="001D7C4C" w:rsidP="001D7C4C">
            <w:pPr>
              <w:pStyle w:val="2"/>
              <w:contextualSpacing/>
              <w:jc w:val="both"/>
              <w:rPr>
                <w:b w:val="0"/>
                <w:bCs w:val="0"/>
                <w:iCs/>
                <w:color w:val="000000" w:themeColor="text1"/>
                <w:sz w:val="24"/>
                <w:szCs w:val="24"/>
                <w:shd w:val="clear" w:color="auto" w:fill="FFFFFF"/>
                <w:lang w:val="uk-UA"/>
              </w:rPr>
            </w:pPr>
            <w:r w:rsidRPr="0033000E">
              <w:rPr>
                <w:b w:val="0"/>
                <w:bCs w:val="0"/>
                <w:iCs/>
                <w:color w:val="000000" w:themeColor="text1"/>
                <w:sz w:val="24"/>
                <w:szCs w:val="24"/>
                <w:shd w:val="clear" w:color="auto" w:fill="FFFFFF"/>
                <w:lang w:val="uk-UA"/>
              </w:rPr>
              <w:t>1. При розрахунку тарифу на послуги зберігання (закачування, відбору) природного газу до складу планованої тарифної виручки може включатися коригування планованої тарифної виручки, яке може мати як додатне, так і від'ємне значення, що визначається з урахуванням:</w:t>
            </w:r>
          </w:p>
          <w:p w14:paraId="75D588AE" w14:textId="77777777" w:rsidR="001D7C4C" w:rsidRPr="0033000E" w:rsidRDefault="001D7C4C" w:rsidP="001D7C4C">
            <w:pPr>
              <w:pStyle w:val="2"/>
              <w:ind w:firstLine="709"/>
              <w:contextualSpacing/>
              <w:jc w:val="both"/>
              <w:rPr>
                <w:b w:val="0"/>
                <w:bCs w:val="0"/>
                <w:iCs/>
                <w:color w:val="000000" w:themeColor="text1"/>
                <w:sz w:val="24"/>
                <w:szCs w:val="24"/>
                <w:shd w:val="clear" w:color="auto" w:fill="FFFFFF"/>
                <w:lang w:val="uk-UA"/>
              </w:rPr>
            </w:pPr>
            <w:r w:rsidRPr="0033000E">
              <w:rPr>
                <w:b w:val="0"/>
                <w:bCs w:val="0"/>
                <w:iCs/>
                <w:color w:val="000000" w:themeColor="text1"/>
                <w:sz w:val="24"/>
                <w:szCs w:val="24"/>
                <w:shd w:val="clear" w:color="auto" w:fill="FFFFFF"/>
                <w:lang w:val="uk-UA"/>
              </w:rPr>
              <w:t xml:space="preserve">фінансування компенсації витрат </w:t>
            </w:r>
            <w:r w:rsidRPr="0033000E">
              <w:rPr>
                <w:b w:val="0"/>
                <w:bCs w:val="0"/>
                <w:iCs/>
                <w:strike/>
                <w:color w:val="000000" w:themeColor="text1"/>
                <w:sz w:val="24"/>
                <w:szCs w:val="24"/>
                <w:shd w:val="clear" w:color="auto" w:fill="FFFFFF"/>
                <w:lang w:val="uk-UA"/>
              </w:rPr>
              <w:t>(збитків)</w:t>
            </w:r>
            <w:r w:rsidRPr="0033000E">
              <w:rPr>
                <w:b w:val="0"/>
                <w:bCs w:val="0"/>
                <w:iCs/>
                <w:color w:val="000000" w:themeColor="text1"/>
                <w:sz w:val="24"/>
                <w:szCs w:val="24"/>
                <w:shd w:val="clear" w:color="auto" w:fill="FFFFFF"/>
                <w:lang w:val="uk-UA"/>
              </w:rPr>
              <w:t>, яких зазнало підприємство, та інших обґрунтованих потреб фінансово-господарської діяльності суб'єкта господарювання,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визначені відповідно до положень розділу III Податкового кодексу України;</w:t>
            </w:r>
          </w:p>
          <w:p w14:paraId="1BE96B3B" w14:textId="77777777" w:rsidR="001D7C4C" w:rsidRPr="0033000E" w:rsidRDefault="001D7C4C" w:rsidP="001D7C4C">
            <w:pPr>
              <w:pStyle w:val="2"/>
              <w:ind w:firstLine="709"/>
              <w:contextualSpacing/>
              <w:jc w:val="both"/>
              <w:rPr>
                <w:b w:val="0"/>
                <w:bCs w:val="0"/>
                <w:iCs/>
                <w:color w:val="000000" w:themeColor="text1"/>
                <w:sz w:val="24"/>
                <w:szCs w:val="24"/>
                <w:shd w:val="clear" w:color="auto" w:fill="FFFFFF"/>
                <w:lang w:val="uk-UA"/>
              </w:rPr>
            </w:pPr>
            <w:r w:rsidRPr="0033000E">
              <w:rPr>
                <w:b w:val="0"/>
                <w:bCs w:val="0"/>
                <w:iCs/>
                <w:color w:val="000000" w:themeColor="text1"/>
                <w:sz w:val="24"/>
                <w:szCs w:val="24"/>
                <w:shd w:val="clear" w:color="auto" w:fill="FFFFFF"/>
                <w:lang w:val="uk-UA"/>
              </w:rPr>
              <w:t xml:space="preserve">коригування планованої тарифної виручки за результатами проведення планового та/або позапланового заходу державного нагляду (контролю) щодо дотримання суб’єктом господарювання вимог законодавства у нафтогазовій сфері та Ліцензійних умов провадження  </w:t>
            </w:r>
            <w:r w:rsidRPr="0033000E">
              <w:rPr>
                <w:b w:val="0"/>
                <w:bCs w:val="0"/>
                <w:iCs/>
                <w:color w:val="000000" w:themeColor="text1"/>
                <w:sz w:val="24"/>
                <w:szCs w:val="24"/>
                <w:shd w:val="clear" w:color="auto" w:fill="FFFFFF"/>
                <w:lang w:val="uk-UA"/>
              </w:rPr>
              <w:lastRenderedPageBreak/>
              <w:t>господарської діяльності із зберігання (закачування, відбору) природного газу, затверджених постановою НКРЕКП від 16 лютого 2017 року № 201;</w:t>
            </w:r>
          </w:p>
          <w:p w14:paraId="64C37F30" w14:textId="77777777" w:rsidR="001D7C4C" w:rsidRPr="0033000E" w:rsidRDefault="001D7C4C" w:rsidP="001D7C4C">
            <w:pPr>
              <w:pStyle w:val="2"/>
              <w:ind w:firstLine="709"/>
              <w:contextualSpacing/>
              <w:jc w:val="both"/>
              <w:rPr>
                <w:b w:val="0"/>
                <w:bCs w:val="0"/>
                <w:iCs/>
                <w:color w:val="000000" w:themeColor="text1"/>
                <w:sz w:val="24"/>
                <w:szCs w:val="24"/>
                <w:shd w:val="clear" w:color="auto" w:fill="FFFFFF"/>
                <w:lang w:val="uk-UA"/>
              </w:rPr>
            </w:pPr>
            <w:r w:rsidRPr="0033000E">
              <w:rPr>
                <w:b w:val="0"/>
                <w:bCs w:val="0"/>
                <w:iCs/>
                <w:color w:val="000000" w:themeColor="text1"/>
                <w:sz w:val="24"/>
                <w:szCs w:val="24"/>
                <w:shd w:val="clear" w:color="auto" w:fill="FFFFFF"/>
                <w:lang w:val="uk-UA"/>
              </w:rPr>
              <w:t>коригування планованої тарифної виручки у зв'язку із відхиленням фактичних обсягів надання послуг зберігання (закачування, відбору) природного газу від планованих, у тому числі за рахунок надання доступу до потужності строком на місяць та на добу наперед;</w:t>
            </w:r>
          </w:p>
          <w:p w14:paraId="606F89AF" w14:textId="3AF33C97" w:rsidR="001D7C4C" w:rsidRPr="0033000E" w:rsidRDefault="001D7C4C" w:rsidP="001D7C4C">
            <w:pPr>
              <w:pStyle w:val="2"/>
              <w:ind w:firstLine="709"/>
              <w:contextualSpacing/>
              <w:jc w:val="both"/>
              <w:rPr>
                <w:iCs/>
                <w:color w:val="000000" w:themeColor="text1"/>
                <w:sz w:val="24"/>
                <w:szCs w:val="24"/>
                <w:shd w:val="clear" w:color="auto" w:fill="FFFFFF"/>
                <w:lang w:val="uk-UA"/>
              </w:rPr>
            </w:pPr>
            <w:r w:rsidRPr="0033000E">
              <w:rPr>
                <w:b w:val="0"/>
                <w:bCs w:val="0"/>
                <w:iCs/>
                <w:color w:val="000000" w:themeColor="text1"/>
                <w:sz w:val="24"/>
                <w:szCs w:val="24"/>
                <w:shd w:val="clear" w:color="auto" w:fill="FFFFFF"/>
                <w:lang w:val="uk-UA"/>
              </w:rPr>
              <w:t>інших відхилень планованої тарифної виручки від здійснення діяльності із зберігання (закачування, відбору) природного газу.</w:t>
            </w:r>
          </w:p>
        </w:tc>
        <w:tc>
          <w:tcPr>
            <w:tcW w:w="5957" w:type="dxa"/>
          </w:tcPr>
          <w:p w14:paraId="3E5CE68B" w14:textId="79213061" w:rsidR="001D7C4C" w:rsidRPr="0033000E" w:rsidRDefault="001D7C4C" w:rsidP="0095299B">
            <w:pPr>
              <w:tabs>
                <w:tab w:val="left" w:pos="1185"/>
              </w:tabs>
              <w:ind w:firstLine="452"/>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lastRenderedPageBreak/>
              <w:t>Пропозиція АТ «Укртрансгаз»</w:t>
            </w:r>
          </w:p>
          <w:p w14:paraId="240A2ED0" w14:textId="77777777" w:rsidR="001D7C4C" w:rsidRPr="0033000E" w:rsidRDefault="001D7C4C" w:rsidP="001D7C4C">
            <w:pPr>
              <w:pStyle w:val="rvps2"/>
              <w:shd w:val="clear" w:color="auto" w:fill="FFFFFF"/>
              <w:spacing w:before="0" w:beforeAutospacing="0" w:after="120" w:afterAutospacing="0"/>
              <w:ind w:firstLine="448"/>
              <w:contextualSpacing/>
              <w:jc w:val="both"/>
              <w:rPr>
                <w:lang w:val="uk-UA"/>
              </w:rPr>
            </w:pPr>
            <w:r w:rsidRPr="0033000E">
              <w:rPr>
                <w:b/>
                <w:lang w:val="uk-UA"/>
              </w:rPr>
              <w:t>1.</w:t>
            </w:r>
            <w:r w:rsidRPr="0033000E">
              <w:rPr>
                <w:lang w:val="uk-UA"/>
              </w:rPr>
              <w:t xml:space="preserve"> При розрахунку тарифу на послуги зберігання (закачування, відбору) природного газу до складу планованої тарифної виручки може включатися коригування планованої тарифної виручки, яке може мати як додатне, так і від'ємне значення, що визначається з урахуванням:</w:t>
            </w:r>
          </w:p>
          <w:p w14:paraId="052F0D63" w14:textId="35B2ADEA" w:rsidR="001D7C4C" w:rsidRPr="0033000E" w:rsidRDefault="001D7C4C" w:rsidP="001D7C4C">
            <w:pPr>
              <w:tabs>
                <w:tab w:val="left" w:pos="1185"/>
              </w:tabs>
              <w:jc w:val="both"/>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sz w:val="24"/>
                <w:szCs w:val="24"/>
                <w:lang w:val="uk-UA"/>
              </w:rPr>
              <w:t xml:space="preserve">фінансування компенсації витрат </w:t>
            </w:r>
            <w:r w:rsidRPr="0033000E">
              <w:rPr>
                <w:rFonts w:ascii="Times New Roman" w:hAnsi="Times New Roman" w:cs="Times New Roman"/>
                <w:b/>
                <w:strike/>
                <w:sz w:val="24"/>
                <w:szCs w:val="24"/>
                <w:lang w:val="uk-UA"/>
              </w:rPr>
              <w:t>(збитків), яких</w:t>
            </w:r>
            <w:r w:rsidRPr="0033000E">
              <w:rPr>
                <w:rFonts w:ascii="Times New Roman" w:hAnsi="Times New Roman" w:cs="Times New Roman"/>
                <w:b/>
                <w:bCs/>
                <w:strike/>
                <w:sz w:val="24"/>
                <w:szCs w:val="24"/>
                <w:lang w:val="uk-UA"/>
              </w:rPr>
              <w:t xml:space="preserve"> зазнало</w:t>
            </w:r>
            <w:r w:rsidRPr="0033000E">
              <w:rPr>
                <w:rFonts w:ascii="Times New Roman" w:hAnsi="Times New Roman" w:cs="Times New Roman"/>
                <w:sz w:val="24"/>
                <w:szCs w:val="24"/>
                <w:lang w:val="uk-UA"/>
              </w:rPr>
              <w:t xml:space="preserve"> </w:t>
            </w:r>
            <w:r w:rsidRPr="0033000E">
              <w:rPr>
                <w:rFonts w:ascii="Times New Roman" w:hAnsi="Times New Roman" w:cs="Times New Roman"/>
                <w:b/>
                <w:bCs/>
                <w:sz w:val="24"/>
                <w:szCs w:val="24"/>
                <w:u w:val="single"/>
                <w:lang w:val="uk-UA"/>
              </w:rPr>
              <w:t>понесених підприємством</w:t>
            </w:r>
            <w:r w:rsidRPr="0033000E">
              <w:rPr>
                <w:rFonts w:ascii="Times New Roman" w:hAnsi="Times New Roman" w:cs="Times New Roman"/>
                <w:sz w:val="24"/>
                <w:szCs w:val="24"/>
                <w:lang w:val="uk-UA"/>
              </w:rPr>
              <w:t>, та інших обґрунтованих потреб фінансово-господарської діяльності суб'єкта господарювання,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визначені відповідно до положень </w:t>
            </w:r>
            <w:hyperlink r:id="rId6" w:anchor="n2502" w:tgtFrame="_blank" w:history="1">
              <w:r w:rsidRPr="0033000E">
                <w:rPr>
                  <w:rFonts w:ascii="Times New Roman" w:hAnsi="Times New Roman" w:cs="Times New Roman"/>
                  <w:sz w:val="24"/>
                  <w:szCs w:val="24"/>
                  <w:lang w:val="uk-UA"/>
                </w:rPr>
                <w:t>розділу III</w:t>
              </w:r>
            </w:hyperlink>
            <w:r w:rsidRPr="0033000E">
              <w:rPr>
                <w:rFonts w:ascii="Times New Roman" w:hAnsi="Times New Roman" w:cs="Times New Roman"/>
                <w:sz w:val="24"/>
                <w:szCs w:val="24"/>
                <w:lang w:val="uk-UA"/>
              </w:rPr>
              <w:t> Податкового кодексу України;</w:t>
            </w:r>
          </w:p>
          <w:p w14:paraId="7A5DD5FB" w14:textId="77777777" w:rsidR="00A021EB" w:rsidRDefault="00A021EB" w:rsidP="001D7C4C">
            <w:pPr>
              <w:tabs>
                <w:tab w:val="left" w:pos="1185"/>
              </w:tabs>
              <w:rPr>
                <w:rFonts w:ascii="Times New Roman" w:hAnsi="Times New Roman" w:cs="Times New Roman"/>
                <w:b/>
                <w:sz w:val="24"/>
                <w:szCs w:val="24"/>
                <w:lang w:val="uk-UA"/>
              </w:rPr>
            </w:pPr>
          </w:p>
          <w:p w14:paraId="424749E8" w14:textId="77777777" w:rsidR="00A021EB" w:rsidRDefault="00A021EB" w:rsidP="001D7C4C">
            <w:pPr>
              <w:tabs>
                <w:tab w:val="left" w:pos="1185"/>
              </w:tabs>
              <w:rPr>
                <w:rFonts w:ascii="Times New Roman" w:hAnsi="Times New Roman" w:cs="Times New Roman"/>
                <w:b/>
                <w:sz w:val="24"/>
                <w:szCs w:val="24"/>
                <w:lang w:val="uk-UA"/>
              </w:rPr>
            </w:pPr>
          </w:p>
          <w:p w14:paraId="2C538918" w14:textId="77777777" w:rsidR="00A021EB" w:rsidRDefault="00A021EB" w:rsidP="001D7C4C">
            <w:pPr>
              <w:tabs>
                <w:tab w:val="left" w:pos="1185"/>
              </w:tabs>
              <w:rPr>
                <w:rFonts w:ascii="Times New Roman" w:hAnsi="Times New Roman" w:cs="Times New Roman"/>
                <w:b/>
                <w:sz w:val="24"/>
                <w:szCs w:val="24"/>
                <w:lang w:val="uk-UA"/>
              </w:rPr>
            </w:pPr>
          </w:p>
          <w:p w14:paraId="7B01BB6B" w14:textId="43EB1363" w:rsidR="001D7C4C" w:rsidRPr="0033000E" w:rsidRDefault="001D7C4C" w:rsidP="006F2253">
            <w:pPr>
              <w:tabs>
                <w:tab w:val="left" w:pos="1185"/>
              </w:tabs>
              <w:ind w:firstLine="450"/>
              <w:rPr>
                <w:rFonts w:ascii="Times New Roman" w:hAnsi="Times New Roman" w:cs="Times New Roman"/>
                <w:b/>
                <w:sz w:val="24"/>
                <w:szCs w:val="24"/>
                <w:lang w:val="uk-UA"/>
              </w:rPr>
            </w:pPr>
            <w:r w:rsidRPr="0033000E">
              <w:rPr>
                <w:rFonts w:ascii="Times New Roman" w:hAnsi="Times New Roman" w:cs="Times New Roman"/>
                <w:b/>
                <w:sz w:val="24"/>
                <w:szCs w:val="24"/>
                <w:lang w:val="uk-UA"/>
              </w:rPr>
              <w:lastRenderedPageBreak/>
              <w:t>Обґрунтування:</w:t>
            </w:r>
          </w:p>
          <w:p w14:paraId="3201D62B" w14:textId="29CE3AC9" w:rsidR="001D7C4C" w:rsidRPr="0033000E" w:rsidRDefault="001D7C4C" w:rsidP="001D7C4C">
            <w:pPr>
              <w:tabs>
                <w:tab w:val="left" w:pos="1185"/>
              </w:tabs>
              <w:jc w:val="both"/>
              <w:rPr>
                <w:rFonts w:ascii="Times New Roman" w:hAnsi="Times New Roman" w:cs="Times New Roman"/>
                <w:iCs/>
                <w:color w:val="000000" w:themeColor="text1"/>
                <w:sz w:val="24"/>
                <w:szCs w:val="24"/>
                <w:shd w:val="clear" w:color="auto" w:fill="FFFFFF"/>
                <w:lang w:val="uk-UA"/>
              </w:rPr>
            </w:pPr>
            <w:r w:rsidRPr="0033000E">
              <w:rPr>
                <w:rFonts w:ascii="Times New Roman" w:hAnsi="Times New Roman" w:cs="Times New Roman"/>
                <w:iCs/>
                <w:color w:val="000000" w:themeColor="text1"/>
                <w:sz w:val="24"/>
                <w:szCs w:val="24"/>
                <w:shd w:val="clear" w:color="auto" w:fill="FFFFFF"/>
                <w:lang w:val="uk-UA"/>
              </w:rPr>
              <w:t>Метою пропозицій є узгодження використаних термінів із практикою їх використання в інших нормативно-правових актах, зокрема, в ПК України.</w:t>
            </w:r>
          </w:p>
        </w:tc>
        <w:tc>
          <w:tcPr>
            <w:tcW w:w="3687" w:type="dxa"/>
          </w:tcPr>
          <w:p w14:paraId="0B81F010" w14:textId="7F7CDC4F" w:rsidR="001D7C4C" w:rsidRPr="0033000E" w:rsidRDefault="0039260E" w:rsidP="00097613">
            <w:pPr>
              <w:jc w:val="both"/>
              <w:rPr>
                <w:rFonts w:ascii="Times New Roman" w:eastAsia="Times New Roman" w:hAnsi="Times New Roman" w:cs="Times New Roman"/>
                <w:b/>
                <w:color w:val="000000" w:themeColor="text1"/>
                <w:sz w:val="24"/>
                <w:szCs w:val="24"/>
                <w:lang w:val="uk-UA" w:eastAsia="uk-UA"/>
              </w:rPr>
            </w:pPr>
            <w:r w:rsidRPr="0033000E">
              <w:rPr>
                <w:rFonts w:ascii="Times New Roman" w:eastAsia="Times New Roman" w:hAnsi="Times New Roman" w:cs="Times New Roman"/>
                <w:b/>
                <w:color w:val="000000" w:themeColor="text1"/>
                <w:sz w:val="24"/>
                <w:szCs w:val="24"/>
                <w:lang w:val="uk-UA" w:eastAsia="uk-UA"/>
              </w:rPr>
              <w:lastRenderedPageBreak/>
              <w:t xml:space="preserve">Попередньо </w:t>
            </w:r>
            <w:r w:rsidR="0095299B">
              <w:rPr>
                <w:rFonts w:ascii="Times New Roman" w:eastAsia="Times New Roman" w:hAnsi="Times New Roman" w:cs="Times New Roman"/>
                <w:b/>
                <w:color w:val="000000" w:themeColor="text1"/>
                <w:sz w:val="24"/>
                <w:szCs w:val="24"/>
                <w:lang w:val="uk-UA" w:eastAsia="uk-UA"/>
              </w:rPr>
              <w:t>приймається</w:t>
            </w:r>
          </w:p>
        </w:tc>
      </w:tr>
      <w:tr w:rsidR="00FA36B4" w:rsidRPr="0033000E" w14:paraId="04093BE8" w14:textId="77777777" w:rsidTr="002C166D">
        <w:trPr>
          <w:jc w:val="center"/>
        </w:trPr>
        <w:tc>
          <w:tcPr>
            <w:tcW w:w="6377" w:type="dxa"/>
            <w:vMerge w:val="restart"/>
            <w:vAlign w:val="center"/>
          </w:tcPr>
          <w:p w14:paraId="66D1C0F7" w14:textId="77777777" w:rsidR="00FA36B4" w:rsidRPr="0033000E" w:rsidRDefault="00FA36B4" w:rsidP="00A34E68">
            <w:pPr>
              <w:pStyle w:val="2"/>
              <w:ind w:firstLine="709"/>
              <w:contextualSpacing/>
              <w:jc w:val="both"/>
              <w:rPr>
                <w:iCs/>
                <w:color w:val="000000" w:themeColor="text1"/>
                <w:sz w:val="24"/>
                <w:szCs w:val="24"/>
                <w:shd w:val="clear" w:color="auto" w:fill="FFFFFF"/>
                <w:lang w:val="uk-UA"/>
              </w:rPr>
            </w:pPr>
            <w:r w:rsidRPr="0033000E">
              <w:rPr>
                <w:iCs/>
                <w:color w:val="000000" w:themeColor="text1"/>
                <w:sz w:val="24"/>
                <w:szCs w:val="24"/>
                <w:shd w:val="clear" w:color="auto" w:fill="FFFFFF"/>
                <w:lang w:val="uk-UA"/>
              </w:rPr>
              <w:t>2. При визначенні коригування планованої тарифної виручки не враховуються:</w:t>
            </w:r>
          </w:p>
          <w:p w14:paraId="17E4B879" w14:textId="77777777" w:rsidR="00FA36B4" w:rsidRPr="0033000E" w:rsidRDefault="00FA36B4" w:rsidP="00A34E68">
            <w:pPr>
              <w:pStyle w:val="2"/>
              <w:ind w:firstLine="709"/>
              <w:contextualSpacing/>
              <w:jc w:val="both"/>
              <w:rPr>
                <w:iCs/>
                <w:color w:val="000000" w:themeColor="text1"/>
                <w:sz w:val="24"/>
                <w:szCs w:val="24"/>
                <w:shd w:val="clear" w:color="auto" w:fill="FFFFFF"/>
                <w:lang w:val="uk-UA"/>
              </w:rPr>
            </w:pPr>
            <w:r w:rsidRPr="0033000E">
              <w:rPr>
                <w:iCs/>
                <w:color w:val="000000" w:themeColor="text1"/>
                <w:sz w:val="24"/>
                <w:szCs w:val="24"/>
                <w:shd w:val="clear" w:color="auto" w:fill="FFFFFF"/>
                <w:lang w:val="uk-UA"/>
              </w:rPr>
              <w:t>1) суми недофінансування витрат на оплату праці у разі зменшення  оператором газосховища таких витрат за рахунок оптимізації штату працівників, безпосередньо задіяних при здійсненні діяльності із зберігання (закачування, відбору) природного газу (за умови дотримання норм технічної безпеки надання послуг зберігання (закачування, відбору) природного газу), у випадку направлення такої економії коштів для фінансування заходів з підвищення рівня середньомісячної заробітної плати працівників, безпосередньо задіяних при здійсненні діяльності зі зберігання (закачування, відбору) природного газу, у році, наступному за роком, у якому сформувалась економія коштів.</w:t>
            </w:r>
          </w:p>
          <w:p w14:paraId="3C85AD49" w14:textId="77777777" w:rsidR="00FA36B4" w:rsidRPr="0033000E" w:rsidRDefault="00FA36B4" w:rsidP="00A34E68">
            <w:pPr>
              <w:pStyle w:val="2"/>
              <w:ind w:firstLine="709"/>
              <w:contextualSpacing/>
              <w:jc w:val="both"/>
              <w:rPr>
                <w:iCs/>
                <w:color w:val="000000" w:themeColor="text1"/>
                <w:sz w:val="24"/>
                <w:szCs w:val="24"/>
                <w:shd w:val="clear" w:color="auto" w:fill="FFFFFF"/>
                <w:lang w:val="uk-UA"/>
              </w:rPr>
            </w:pPr>
            <w:r w:rsidRPr="0033000E">
              <w:rPr>
                <w:iCs/>
                <w:color w:val="000000" w:themeColor="text1"/>
                <w:sz w:val="24"/>
                <w:szCs w:val="24"/>
                <w:shd w:val="clear" w:color="auto" w:fill="FFFFFF"/>
                <w:lang w:val="uk-UA"/>
              </w:rPr>
              <w:t>З метою використання такої економії коштів оператор газосховищ зобов’язаний до 01 березня року, наступного за роком, у якому сформувалась економія коштів, надати до НКРЕКП інформацію щодо обсягу та напрямку її використання.</w:t>
            </w:r>
          </w:p>
          <w:p w14:paraId="6F558D41" w14:textId="77777777" w:rsidR="00FA36B4" w:rsidRPr="0033000E" w:rsidRDefault="00FA36B4" w:rsidP="00A34E68">
            <w:pPr>
              <w:pStyle w:val="2"/>
              <w:ind w:firstLine="709"/>
              <w:contextualSpacing/>
              <w:jc w:val="both"/>
              <w:rPr>
                <w:iCs/>
                <w:color w:val="000000" w:themeColor="text1"/>
                <w:sz w:val="24"/>
                <w:szCs w:val="24"/>
                <w:shd w:val="clear" w:color="auto" w:fill="FFFFFF"/>
                <w:lang w:val="uk-UA"/>
              </w:rPr>
            </w:pPr>
            <w:r w:rsidRPr="0033000E">
              <w:rPr>
                <w:iCs/>
                <w:color w:val="000000" w:themeColor="text1"/>
                <w:sz w:val="24"/>
                <w:szCs w:val="24"/>
                <w:shd w:val="clear" w:color="auto" w:fill="FFFFFF"/>
                <w:lang w:val="uk-UA"/>
              </w:rPr>
              <w:lastRenderedPageBreak/>
              <w:t>Оператор газосховищ не має права зменшувати витрати, пов’язані з фінансуванням фонду оплати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тарифу на послуги зберігання (закачування, відбору) природного газу, встановленого НКРЕКП.</w:t>
            </w:r>
          </w:p>
          <w:p w14:paraId="4018D83F" w14:textId="77777777" w:rsidR="00FA36B4" w:rsidRPr="0033000E" w:rsidRDefault="00FA36B4" w:rsidP="00A34E68">
            <w:pPr>
              <w:pStyle w:val="2"/>
              <w:ind w:firstLine="709"/>
              <w:contextualSpacing/>
              <w:jc w:val="both"/>
              <w:rPr>
                <w:iCs/>
                <w:color w:val="000000" w:themeColor="text1"/>
                <w:sz w:val="24"/>
                <w:szCs w:val="24"/>
                <w:shd w:val="clear" w:color="auto" w:fill="FFFFFF"/>
                <w:lang w:val="uk-UA"/>
              </w:rPr>
            </w:pPr>
            <w:r w:rsidRPr="0033000E">
              <w:rPr>
                <w:iCs/>
                <w:color w:val="000000" w:themeColor="text1"/>
                <w:sz w:val="24"/>
                <w:szCs w:val="24"/>
                <w:shd w:val="clear" w:color="auto" w:fill="FFFFFF"/>
                <w:lang w:val="uk-UA"/>
              </w:rPr>
              <w:t>2) суми недофінансування (економії) витрат, пов’язаних з використанням природного газу на ВТВ, за рахунок зменшення фактичних обсягів ВТВ порівняно з врахованими при визначенні та розрахунку тарифів на послуги зберігання (закачування, відбору) природного газу, за умови рівності або збільшення фактичних обсягів закачування/відбору природного газу до планованих у разі направлення за рішенням Регулятора такої економії коштів у році, у якому сформувалась економія коштів, або у році, наступному за роком, у якому сформувалась економія коштів, для фінансування:</w:t>
            </w:r>
          </w:p>
          <w:p w14:paraId="142CB671" w14:textId="77777777" w:rsidR="00FA36B4" w:rsidRPr="0033000E" w:rsidRDefault="00FA36B4" w:rsidP="00A34E68">
            <w:pPr>
              <w:pStyle w:val="2"/>
              <w:ind w:firstLine="709"/>
              <w:contextualSpacing/>
              <w:jc w:val="both"/>
              <w:rPr>
                <w:iCs/>
                <w:color w:val="000000" w:themeColor="text1"/>
                <w:sz w:val="24"/>
                <w:szCs w:val="24"/>
                <w:shd w:val="clear" w:color="auto" w:fill="FFFFFF"/>
                <w:lang w:val="uk-UA"/>
              </w:rPr>
            </w:pPr>
            <w:r w:rsidRPr="0033000E">
              <w:rPr>
                <w:iCs/>
                <w:color w:val="000000" w:themeColor="text1"/>
                <w:sz w:val="24"/>
                <w:szCs w:val="24"/>
                <w:shd w:val="clear" w:color="auto" w:fill="FFFFFF"/>
                <w:lang w:val="uk-UA"/>
              </w:rPr>
              <w:t>заходів забезпечення безпеки постачання, зокрема закупівлі буферного газу довгострокового зберігання;</w:t>
            </w:r>
          </w:p>
          <w:p w14:paraId="125FC074" w14:textId="77777777" w:rsidR="00FA36B4" w:rsidRPr="0033000E" w:rsidRDefault="00FA36B4" w:rsidP="00A34E68">
            <w:pPr>
              <w:pStyle w:val="2"/>
              <w:ind w:firstLine="709"/>
              <w:contextualSpacing/>
              <w:jc w:val="both"/>
              <w:rPr>
                <w:iCs/>
                <w:color w:val="000000" w:themeColor="text1"/>
                <w:sz w:val="24"/>
                <w:szCs w:val="24"/>
                <w:shd w:val="clear" w:color="auto" w:fill="FFFFFF"/>
                <w:lang w:val="uk-UA"/>
              </w:rPr>
            </w:pPr>
            <w:r w:rsidRPr="0033000E">
              <w:rPr>
                <w:iCs/>
                <w:color w:val="000000" w:themeColor="text1"/>
                <w:sz w:val="24"/>
                <w:szCs w:val="24"/>
                <w:shd w:val="clear" w:color="auto" w:fill="FFFFFF"/>
                <w:lang w:val="uk-UA"/>
              </w:rPr>
              <w:t>заходів, передбачених розділами І та ІІ інвестиційної програми;</w:t>
            </w:r>
          </w:p>
          <w:p w14:paraId="4FAF5C47" w14:textId="7E66ECD7" w:rsidR="00FA36B4" w:rsidRPr="0033000E" w:rsidRDefault="00FA36B4" w:rsidP="00A34E68">
            <w:pPr>
              <w:pStyle w:val="2"/>
              <w:ind w:firstLine="709"/>
              <w:contextualSpacing/>
              <w:jc w:val="both"/>
              <w:rPr>
                <w:b w:val="0"/>
                <w:bCs w:val="0"/>
                <w:iCs/>
                <w:color w:val="000000" w:themeColor="text1"/>
                <w:sz w:val="24"/>
                <w:szCs w:val="24"/>
                <w:shd w:val="clear" w:color="auto" w:fill="FFFFFF"/>
                <w:lang w:val="uk-UA"/>
              </w:rPr>
            </w:pPr>
            <w:r w:rsidRPr="0033000E">
              <w:rPr>
                <w:iCs/>
                <w:color w:val="000000" w:themeColor="text1"/>
                <w:sz w:val="24"/>
                <w:szCs w:val="24"/>
                <w:shd w:val="clear" w:color="auto" w:fill="FFFFFF"/>
                <w:lang w:val="uk-UA"/>
              </w:rPr>
              <w:t>заходів з підвищення рівня середньомісячної заробітної плати працівників, безпосередньо задіяних при здійсненні діяльності із зберігання (закачування, відбору) природного газу.</w:t>
            </w:r>
          </w:p>
        </w:tc>
        <w:tc>
          <w:tcPr>
            <w:tcW w:w="5957" w:type="dxa"/>
          </w:tcPr>
          <w:p w14:paraId="1573EECE" w14:textId="77777777" w:rsidR="00FA36B4" w:rsidRPr="0033000E" w:rsidRDefault="00FA36B4" w:rsidP="0095299B">
            <w:pPr>
              <w:tabs>
                <w:tab w:val="left" w:pos="1185"/>
              </w:tabs>
              <w:ind w:firstLine="452"/>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lastRenderedPageBreak/>
              <w:t>Пропозиція Бакулін О.:</w:t>
            </w:r>
          </w:p>
          <w:p w14:paraId="5C0EF9C1" w14:textId="36657B6A" w:rsidR="00FA36B4" w:rsidRPr="0095299B" w:rsidRDefault="00FA36B4" w:rsidP="00295C7A">
            <w:pPr>
              <w:tabs>
                <w:tab w:val="left" w:pos="1185"/>
              </w:tabs>
              <w:ind w:firstLine="452"/>
              <w:rPr>
                <w:rFonts w:ascii="Times New Roman" w:hAnsi="Times New Roman" w:cs="Times New Roman"/>
                <w:sz w:val="24"/>
                <w:szCs w:val="24"/>
                <w:lang w:val="uk-UA"/>
              </w:rPr>
            </w:pPr>
            <w:r w:rsidRPr="0095299B">
              <w:rPr>
                <w:rFonts w:ascii="Times New Roman" w:hAnsi="Times New Roman" w:cs="Times New Roman"/>
                <w:sz w:val="24"/>
                <w:szCs w:val="24"/>
                <w:lang w:val="uk-UA"/>
              </w:rPr>
              <w:t xml:space="preserve">Не приймати </w:t>
            </w:r>
          </w:p>
          <w:p w14:paraId="1ED8080A" w14:textId="77777777" w:rsidR="00FA36B4" w:rsidRPr="0095299B" w:rsidRDefault="00FA36B4" w:rsidP="00295C7A">
            <w:pPr>
              <w:tabs>
                <w:tab w:val="left" w:pos="1185"/>
              </w:tabs>
              <w:ind w:firstLine="452"/>
              <w:rPr>
                <w:rFonts w:ascii="Times New Roman" w:hAnsi="Times New Roman" w:cs="Times New Roman"/>
                <w:b/>
                <w:sz w:val="24"/>
                <w:szCs w:val="24"/>
                <w:lang w:val="uk-UA"/>
              </w:rPr>
            </w:pPr>
          </w:p>
          <w:p w14:paraId="4590467E" w14:textId="77777777" w:rsidR="00FA36B4" w:rsidRPr="0095299B" w:rsidRDefault="00FA36B4" w:rsidP="00295C7A">
            <w:pPr>
              <w:tabs>
                <w:tab w:val="left" w:pos="1185"/>
              </w:tabs>
              <w:ind w:firstLine="452"/>
              <w:rPr>
                <w:rFonts w:ascii="Times New Roman" w:hAnsi="Times New Roman" w:cs="Times New Roman"/>
                <w:b/>
                <w:sz w:val="24"/>
                <w:szCs w:val="24"/>
                <w:lang w:val="uk-UA"/>
              </w:rPr>
            </w:pPr>
            <w:r w:rsidRPr="0095299B">
              <w:rPr>
                <w:rFonts w:ascii="Times New Roman" w:hAnsi="Times New Roman" w:cs="Times New Roman"/>
                <w:b/>
                <w:sz w:val="24"/>
                <w:szCs w:val="24"/>
                <w:lang w:val="uk-UA"/>
              </w:rPr>
              <w:t>Обґрунтування:</w:t>
            </w:r>
          </w:p>
          <w:p w14:paraId="2FD49123" w14:textId="77777777" w:rsidR="00FA36B4" w:rsidRPr="0095299B" w:rsidRDefault="00FA36B4" w:rsidP="00A34E68">
            <w:pPr>
              <w:pStyle w:val="a9"/>
              <w:ind w:firstLine="452"/>
              <w:jc w:val="both"/>
              <w:rPr>
                <w:rFonts w:ascii="Times New Roman" w:hAnsi="Times New Roman" w:cs="Times New Roman"/>
                <w:sz w:val="24"/>
                <w:szCs w:val="24"/>
                <w:lang w:val="uk-UA"/>
              </w:rPr>
            </w:pPr>
            <w:r w:rsidRPr="0095299B">
              <w:rPr>
                <w:rFonts w:ascii="Times New Roman" w:hAnsi="Times New Roman" w:cs="Times New Roman"/>
                <w:sz w:val="24"/>
                <w:szCs w:val="24"/>
                <w:shd w:val="clear" w:color="auto" w:fill="FFFFFF"/>
                <w:lang w:val="uk-UA"/>
              </w:rPr>
              <w:t xml:space="preserve">Відповідно до статті 4  Закону України «Про ринок природного газу», статті17  Закону України «Про Національну комісію, що здійснює державне регулювання у сферах енергетики та комунальних послуг», НКРЕКП  затверджує методології та встановлює тарифи </w:t>
            </w:r>
            <w:r w:rsidRPr="0095299B">
              <w:rPr>
                <w:rFonts w:ascii="Times New Roman" w:hAnsi="Times New Roman" w:cs="Times New Roman"/>
                <w:sz w:val="24"/>
                <w:szCs w:val="24"/>
                <w:lang w:val="uk-UA"/>
              </w:rPr>
              <w:t>на послуги зберігання (закачування, відбору) природного газу.</w:t>
            </w:r>
          </w:p>
          <w:p w14:paraId="08D0B17A" w14:textId="77777777" w:rsidR="00FA36B4" w:rsidRPr="0095299B" w:rsidRDefault="00FA36B4" w:rsidP="00A34E68">
            <w:pPr>
              <w:pStyle w:val="a9"/>
              <w:ind w:firstLine="452"/>
              <w:jc w:val="both"/>
              <w:rPr>
                <w:rFonts w:ascii="Times New Roman" w:hAnsi="Times New Roman" w:cs="Times New Roman"/>
                <w:sz w:val="24"/>
                <w:szCs w:val="24"/>
                <w:lang w:val="uk-UA"/>
              </w:rPr>
            </w:pPr>
            <w:r w:rsidRPr="0095299B">
              <w:rPr>
                <w:rFonts w:ascii="Times New Roman" w:hAnsi="Times New Roman" w:cs="Times New Roman"/>
                <w:sz w:val="24"/>
                <w:szCs w:val="24"/>
                <w:lang w:val="uk-UA"/>
              </w:rPr>
              <w:t xml:space="preserve">Якщо оператор газосховищ  має можливість здійснювати </w:t>
            </w:r>
            <w:proofErr w:type="spellStart"/>
            <w:r w:rsidRPr="0095299B">
              <w:rPr>
                <w:rFonts w:ascii="Times New Roman" w:hAnsi="Times New Roman" w:cs="Times New Roman"/>
                <w:sz w:val="24"/>
                <w:szCs w:val="24"/>
                <w:lang w:val="uk-UA"/>
              </w:rPr>
              <w:t>недофінансувати</w:t>
            </w:r>
            <w:proofErr w:type="spellEnd"/>
            <w:r w:rsidRPr="0095299B">
              <w:rPr>
                <w:rFonts w:ascii="Times New Roman" w:hAnsi="Times New Roman" w:cs="Times New Roman"/>
                <w:sz w:val="24"/>
                <w:szCs w:val="24"/>
                <w:lang w:val="uk-UA"/>
              </w:rPr>
              <w:t xml:space="preserve"> (економію) витрат, пов’язаних з використанням природного газу на ВТВ, зазначена обставина свідчить про недосконалість відповідної методології та необґрунтованість встановлених тарифів в цій частині.</w:t>
            </w:r>
          </w:p>
          <w:p w14:paraId="49354CEB" w14:textId="77777777" w:rsidR="00FA36B4" w:rsidRPr="0095299B" w:rsidRDefault="00FA36B4" w:rsidP="00A34E68">
            <w:pPr>
              <w:pStyle w:val="a9"/>
              <w:ind w:firstLine="452"/>
              <w:jc w:val="both"/>
              <w:rPr>
                <w:rFonts w:ascii="Times New Roman" w:hAnsi="Times New Roman" w:cs="Times New Roman"/>
                <w:sz w:val="24"/>
                <w:szCs w:val="24"/>
                <w:lang w:val="uk-UA"/>
              </w:rPr>
            </w:pPr>
            <w:r w:rsidRPr="0095299B">
              <w:rPr>
                <w:rFonts w:ascii="Times New Roman" w:hAnsi="Times New Roman" w:cs="Times New Roman"/>
                <w:sz w:val="24"/>
                <w:szCs w:val="24"/>
                <w:lang w:val="uk-UA"/>
              </w:rPr>
              <w:t xml:space="preserve">Іншим аспектом є те, що відповідно до Кодексу газосховищ, затвердженого  постановою НКРЕКП від </w:t>
            </w:r>
            <w:r w:rsidRPr="0095299B">
              <w:rPr>
                <w:rFonts w:ascii="Times New Roman" w:eastAsia="Times New Roman" w:hAnsi="Times New Roman" w:cs="Times New Roman"/>
                <w:bCs/>
                <w:sz w:val="24"/>
                <w:szCs w:val="24"/>
                <w:lang w:val="uk-UA" w:eastAsia="ru-RU"/>
              </w:rPr>
              <w:t xml:space="preserve">30.09.2015 року № 2495, </w:t>
            </w:r>
            <w:r w:rsidRPr="0095299B">
              <w:rPr>
                <w:rFonts w:ascii="Times New Roman" w:hAnsi="Times New Roman" w:cs="Times New Roman"/>
                <w:sz w:val="24"/>
                <w:szCs w:val="24"/>
                <w:shd w:val="clear" w:color="auto" w:fill="FFFFFF"/>
                <w:lang w:val="uk-UA"/>
              </w:rPr>
              <w:t xml:space="preserve"> буферний об’єм газу - технологічно і економічно обґрунтований обсяг природного газу, який не підлягає відбору та постійно </w:t>
            </w:r>
            <w:r w:rsidRPr="0095299B">
              <w:rPr>
                <w:rFonts w:ascii="Times New Roman" w:hAnsi="Times New Roman" w:cs="Times New Roman"/>
                <w:sz w:val="24"/>
                <w:szCs w:val="24"/>
                <w:shd w:val="clear" w:color="auto" w:fill="FFFFFF"/>
                <w:lang w:val="uk-UA"/>
              </w:rPr>
              <w:lastRenderedPageBreak/>
              <w:t xml:space="preserve">зберігається (знаходиться) у газосховищі, технологічно виконує функції носія енергії, що підтримує енергію пласта для відбору активного газу, забезпечує необхідні </w:t>
            </w:r>
            <w:proofErr w:type="spellStart"/>
            <w:r w:rsidRPr="0095299B">
              <w:rPr>
                <w:rFonts w:ascii="Times New Roman" w:hAnsi="Times New Roman" w:cs="Times New Roman"/>
                <w:sz w:val="24"/>
                <w:szCs w:val="24"/>
                <w:shd w:val="clear" w:color="auto" w:fill="FFFFFF"/>
                <w:lang w:val="uk-UA"/>
              </w:rPr>
              <w:t>проєктні</w:t>
            </w:r>
            <w:proofErr w:type="spellEnd"/>
            <w:r w:rsidRPr="0095299B">
              <w:rPr>
                <w:rFonts w:ascii="Times New Roman" w:hAnsi="Times New Roman" w:cs="Times New Roman"/>
                <w:sz w:val="24"/>
                <w:szCs w:val="24"/>
                <w:shd w:val="clear" w:color="auto" w:fill="FFFFFF"/>
                <w:lang w:val="uk-UA"/>
              </w:rPr>
              <w:t xml:space="preserve"> параметри роботи основного технологічного обладнання газосховища, добової продуктивності газосховища, розділяє газову частину пласта-</w:t>
            </w:r>
            <w:proofErr w:type="spellStart"/>
            <w:r w:rsidRPr="0095299B">
              <w:rPr>
                <w:rFonts w:ascii="Times New Roman" w:hAnsi="Times New Roman" w:cs="Times New Roman"/>
                <w:sz w:val="24"/>
                <w:szCs w:val="24"/>
                <w:shd w:val="clear" w:color="auto" w:fill="FFFFFF"/>
                <w:lang w:val="uk-UA"/>
              </w:rPr>
              <w:t>колектора</w:t>
            </w:r>
            <w:proofErr w:type="spellEnd"/>
            <w:r w:rsidRPr="0095299B">
              <w:rPr>
                <w:rFonts w:ascii="Times New Roman" w:hAnsi="Times New Roman" w:cs="Times New Roman"/>
                <w:sz w:val="24"/>
                <w:szCs w:val="24"/>
                <w:shd w:val="clear" w:color="auto" w:fill="FFFFFF"/>
                <w:lang w:val="uk-UA"/>
              </w:rPr>
              <w:t xml:space="preserve"> від його </w:t>
            </w:r>
            <w:proofErr w:type="spellStart"/>
            <w:r w:rsidRPr="0095299B">
              <w:rPr>
                <w:rFonts w:ascii="Times New Roman" w:hAnsi="Times New Roman" w:cs="Times New Roman"/>
                <w:sz w:val="24"/>
                <w:szCs w:val="24"/>
                <w:shd w:val="clear" w:color="auto" w:fill="FFFFFF"/>
                <w:lang w:val="uk-UA"/>
              </w:rPr>
              <w:t>водонасиченої</w:t>
            </w:r>
            <w:proofErr w:type="spellEnd"/>
            <w:r w:rsidRPr="0095299B">
              <w:rPr>
                <w:rFonts w:ascii="Times New Roman" w:hAnsi="Times New Roman" w:cs="Times New Roman"/>
                <w:sz w:val="24"/>
                <w:szCs w:val="24"/>
                <w:shd w:val="clear" w:color="auto" w:fill="FFFFFF"/>
                <w:lang w:val="uk-UA"/>
              </w:rPr>
              <w:t xml:space="preserve"> частини та запобігає обводненню окремих свердловин і штучного газового покладу загалом;</w:t>
            </w:r>
          </w:p>
          <w:p w14:paraId="1CD4A4AC" w14:textId="77777777" w:rsidR="00FA36B4" w:rsidRPr="0095299B" w:rsidRDefault="00FA36B4" w:rsidP="00A34E68">
            <w:pPr>
              <w:pStyle w:val="a9"/>
              <w:ind w:firstLine="452"/>
              <w:jc w:val="both"/>
              <w:rPr>
                <w:rFonts w:ascii="Times New Roman" w:hAnsi="Times New Roman" w:cs="Times New Roman"/>
                <w:sz w:val="24"/>
                <w:szCs w:val="24"/>
                <w:lang w:val="uk-UA"/>
              </w:rPr>
            </w:pPr>
            <w:bookmarkStart w:id="3" w:name="n13"/>
            <w:bookmarkEnd w:id="3"/>
            <w:r w:rsidRPr="0095299B">
              <w:rPr>
                <w:rFonts w:ascii="Times New Roman" w:hAnsi="Times New Roman" w:cs="Times New Roman"/>
                <w:sz w:val="24"/>
                <w:szCs w:val="24"/>
                <w:lang w:val="uk-UA"/>
              </w:rPr>
              <w:t>Тому, закупівлі буферного газу довгострокового зберігання, як це пропонує НКРЕКП, неможлива.</w:t>
            </w:r>
          </w:p>
          <w:p w14:paraId="420EA1DC" w14:textId="313C284B" w:rsidR="00FA36B4" w:rsidRPr="0033000E" w:rsidRDefault="00FA36B4" w:rsidP="00295C7A">
            <w:pPr>
              <w:tabs>
                <w:tab w:val="left" w:pos="1185"/>
              </w:tabs>
              <w:jc w:val="both"/>
              <w:rPr>
                <w:rFonts w:ascii="Times New Roman" w:hAnsi="Times New Roman" w:cs="Times New Roman"/>
                <w:sz w:val="24"/>
                <w:szCs w:val="24"/>
                <w:lang w:val="uk-UA"/>
              </w:rPr>
            </w:pPr>
          </w:p>
        </w:tc>
        <w:tc>
          <w:tcPr>
            <w:tcW w:w="3687" w:type="dxa"/>
          </w:tcPr>
          <w:p w14:paraId="6725B678" w14:textId="77777777" w:rsidR="00FA36B4" w:rsidRPr="0033000E" w:rsidRDefault="00FA36B4" w:rsidP="00FA36B4">
            <w:pPr>
              <w:ind w:firstLine="304"/>
              <w:jc w:val="both"/>
              <w:rPr>
                <w:rFonts w:ascii="Times New Roman" w:eastAsia="Times New Roman" w:hAnsi="Times New Roman" w:cs="Times New Roman"/>
                <w:b/>
                <w:color w:val="000000" w:themeColor="text1"/>
                <w:sz w:val="24"/>
                <w:szCs w:val="24"/>
                <w:lang w:val="uk-UA" w:eastAsia="uk-UA"/>
              </w:rPr>
            </w:pPr>
            <w:r w:rsidRPr="0033000E">
              <w:rPr>
                <w:rFonts w:ascii="Times New Roman" w:eastAsia="Times New Roman" w:hAnsi="Times New Roman" w:cs="Times New Roman"/>
                <w:b/>
                <w:color w:val="000000" w:themeColor="text1"/>
                <w:sz w:val="24"/>
                <w:szCs w:val="24"/>
                <w:lang w:val="uk-UA" w:eastAsia="uk-UA"/>
              </w:rPr>
              <w:lastRenderedPageBreak/>
              <w:t>Попередньо відхилено</w:t>
            </w:r>
          </w:p>
          <w:p w14:paraId="46645594" w14:textId="75F22FEE" w:rsidR="00FA36B4" w:rsidRPr="0033000E" w:rsidRDefault="00FA36B4" w:rsidP="00FA36B4">
            <w:pPr>
              <w:ind w:firstLine="304"/>
              <w:jc w:val="both"/>
              <w:rPr>
                <w:rFonts w:ascii="Times New Roman" w:eastAsia="Times New Roman" w:hAnsi="Times New Roman" w:cs="Times New Roman"/>
                <w:b/>
                <w:color w:val="000000" w:themeColor="text1"/>
                <w:sz w:val="24"/>
                <w:szCs w:val="24"/>
                <w:lang w:val="uk-UA" w:eastAsia="uk-UA"/>
              </w:rPr>
            </w:pPr>
          </w:p>
          <w:p w14:paraId="21C893C1" w14:textId="6C13F983" w:rsidR="00C54AB8" w:rsidRDefault="00C54AB8" w:rsidP="00FA36B4">
            <w:pPr>
              <w:ind w:firstLine="304"/>
              <w:jc w:val="both"/>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color w:val="000000" w:themeColor="text1"/>
                <w:sz w:val="24"/>
                <w:szCs w:val="24"/>
                <w:lang w:val="uk-UA" w:eastAsia="uk-UA"/>
              </w:rPr>
              <w:t xml:space="preserve">Положення Проєкту постанови передбачають можливість використання економії </w:t>
            </w:r>
            <w:r w:rsidRPr="00C54AB8">
              <w:rPr>
                <w:rFonts w:ascii="Times New Roman" w:eastAsia="Times New Roman" w:hAnsi="Times New Roman" w:cs="Times New Roman"/>
                <w:color w:val="000000" w:themeColor="text1"/>
                <w:sz w:val="24"/>
                <w:szCs w:val="24"/>
                <w:lang w:val="uk-UA" w:eastAsia="uk-UA"/>
              </w:rPr>
              <w:t>витрат, пов’язаних з використанням природного газу на виробничо-технологічні витрат</w:t>
            </w:r>
            <w:r>
              <w:rPr>
                <w:rFonts w:ascii="Times New Roman" w:eastAsia="Times New Roman" w:hAnsi="Times New Roman" w:cs="Times New Roman"/>
                <w:color w:val="000000" w:themeColor="text1"/>
                <w:sz w:val="24"/>
                <w:szCs w:val="24"/>
                <w:lang w:val="uk-UA" w:eastAsia="uk-UA"/>
              </w:rPr>
              <w:t>и</w:t>
            </w:r>
            <w:r w:rsidRPr="00C54AB8">
              <w:rPr>
                <w:rFonts w:ascii="Times New Roman" w:eastAsia="Times New Roman" w:hAnsi="Times New Roman" w:cs="Times New Roman"/>
                <w:color w:val="000000" w:themeColor="text1"/>
                <w:sz w:val="24"/>
                <w:szCs w:val="24"/>
                <w:lang w:val="uk-UA" w:eastAsia="uk-UA"/>
              </w:rPr>
              <w:t>, нормативн</w:t>
            </w:r>
            <w:r>
              <w:rPr>
                <w:rFonts w:ascii="Times New Roman" w:eastAsia="Times New Roman" w:hAnsi="Times New Roman" w:cs="Times New Roman"/>
                <w:color w:val="000000" w:themeColor="text1"/>
                <w:sz w:val="24"/>
                <w:szCs w:val="24"/>
                <w:lang w:val="uk-UA" w:eastAsia="uk-UA"/>
              </w:rPr>
              <w:t>і</w:t>
            </w:r>
            <w:r w:rsidRPr="00C54AB8">
              <w:rPr>
                <w:rFonts w:ascii="Times New Roman" w:eastAsia="Times New Roman" w:hAnsi="Times New Roman" w:cs="Times New Roman"/>
                <w:color w:val="000000" w:themeColor="text1"/>
                <w:sz w:val="24"/>
                <w:szCs w:val="24"/>
                <w:lang w:val="uk-UA" w:eastAsia="uk-UA"/>
              </w:rPr>
              <w:t xml:space="preserve"> та питом</w:t>
            </w:r>
            <w:r>
              <w:rPr>
                <w:rFonts w:ascii="Times New Roman" w:eastAsia="Times New Roman" w:hAnsi="Times New Roman" w:cs="Times New Roman"/>
                <w:color w:val="000000" w:themeColor="text1"/>
                <w:sz w:val="24"/>
                <w:szCs w:val="24"/>
                <w:lang w:val="uk-UA" w:eastAsia="uk-UA"/>
              </w:rPr>
              <w:t>і</w:t>
            </w:r>
            <w:r w:rsidRPr="00C54AB8">
              <w:rPr>
                <w:rFonts w:ascii="Times New Roman" w:eastAsia="Times New Roman" w:hAnsi="Times New Roman" w:cs="Times New Roman"/>
                <w:color w:val="000000" w:themeColor="text1"/>
                <w:sz w:val="24"/>
                <w:szCs w:val="24"/>
                <w:lang w:val="uk-UA" w:eastAsia="uk-UA"/>
              </w:rPr>
              <w:t xml:space="preserve"> втрат</w:t>
            </w:r>
            <w:r>
              <w:rPr>
                <w:rFonts w:ascii="Times New Roman" w:eastAsia="Times New Roman" w:hAnsi="Times New Roman" w:cs="Times New Roman"/>
                <w:color w:val="000000" w:themeColor="text1"/>
                <w:sz w:val="24"/>
                <w:szCs w:val="24"/>
                <w:lang w:val="uk-UA" w:eastAsia="uk-UA"/>
              </w:rPr>
              <w:t>и</w:t>
            </w:r>
            <w:r w:rsidRPr="00C54AB8">
              <w:rPr>
                <w:rFonts w:ascii="Times New Roman" w:eastAsia="Times New Roman" w:hAnsi="Times New Roman" w:cs="Times New Roman"/>
                <w:color w:val="000000" w:themeColor="text1"/>
                <w:sz w:val="24"/>
                <w:szCs w:val="24"/>
                <w:lang w:val="uk-UA" w:eastAsia="uk-UA"/>
              </w:rPr>
              <w:t xml:space="preserve"> </w:t>
            </w:r>
            <w:r>
              <w:rPr>
                <w:rFonts w:ascii="Times New Roman" w:eastAsia="Times New Roman" w:hAnsi="Times New Roman" w:cs="Times New Roman"/>
                <w:color w:val="000000" w:themeColor="text1"/>
                <w:sz w:val="24"/>
                <w:szCs w:val="24"/>
                <w:lang w:val="uk-UA" w:eastAsia="uk-UA"/>
              </w:rPr>
              <w:t>(далі – В</w:t>
            </w:r>
            <w:r w:rsidRPr="00C54AB8">
              <w:rPr>
                <w:rFonts w:ascii="Times New Roman" w:eastAsia="Times New Roman" w:hAnsi="Times New Roman" w:cs="Times New Roman"/>
                <w:color w:val="000000" w:themeColor="text1"/>
                <w:sz w:val="24"/>
                <w:szCs w:val="24"/>
                <w:lang w:val="uk-UA" w:eastAsia="uk-UA"/>
              </w:rPr>
              <w:t>ТВ</w:t>
            </w:r>
            <w:r>
              <w:rPr>
                <w:rFonts w:ascii="Times New Roman" w:eastAsia="Times New Roman" w:hAnsi="Times New Roman" w:cs="Times New Roman"/>
                <w:color w:val="000000" w:themeColor="text1"/>
                <w:sz w:val="24"/>
                <w:szCs w:val="24"/>
                <w:lang w:val="uk-UA" w:eastAsia="uk-UA"/>
              </w:rPr>
              <w:t xml:space="preserve">) лише у випадку </w:t>
            </w:r>
            <w:r w:rsidRPr="00C54AB8">
              <w:rPr>
                <w:rFonts w:ascii="Times New Roman" w:eastAsia="Times New Roman" w:hAnsi="Times New Roman" w:cs="Times New Roman"/>
                <w:color w:val="000000" w:themeColor="text1"/>
                <w:sz w:val="24"/>
                <w:szCs w:val="24"/>
                <w:lang w:val="uk-UA" w:eastAsia="uk-UA"/>
              </w:rPr>
              <w:t>зменшення фактичних обсягів ВТВ порівняно з врахованими при визначенні та розрахунку тарифів на послуги зберігання (закачування, відбору) природного газу</w:t>
            </w:r>
            <w:r>
              <w:rPr>
                <w:rFonts w:ascii="Times New Roman" w:eastAsia="Times New Roman" w:hAnsi="Times New Roman" w:cs="Times New Roman"/>
                <w:color w:val="000000" w:themeColor="text1"/>
                <w:sz w:val="24"/>
                <w:szCs w:val="24"/>
                <w:lang w:val="uk-UA" w:eastAsia="uk-UA"/>
              </w:rPr>
              <w:t>.</w:t>
            </w:r>
          </w:p>
          <w:p w14:paraId="518CA3E6" w14:textId="77777777" w:rsidR="00C54AB8" w:rsidRDefault="00C54AB8" w:rsidP="00FA36B4">
            <w:pPr>
              <w:ind w:firstLine="304"/>
              <w:jc w:val="both"/>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color w:val="000000" w:themeColor="text1"/>
                <w:sz w:val="24"/>
                <w:szCs w:val="24"/>
                <w:lang w:val="uk-UA" w:eastAsia="uk-UA"/>
              </w:rPr>
              <w:t>Таким чином</w:t>
            </w:r>
            <w:r w:rsidRPr="00C54AB8">
              <w:rPr>
                <w:rFonts w:ascii="Times New Roman" w:eastAsia="Times New Roman" w:hAnsi="Times New Roman" w:cs="Times New Roman"/>
                <w:color w:val="000000" w:themeColor="text1"/>
                <w:sz w:val="24"/>
                <w:szCs w:val="24"/>
                <w:lang w:val="uk-UA" w:eastAsia="uk-UA"/>
              </w:rPr>
              <w:t xml:space="preserve">, положення Проєкту постанови спрямовані на стимулювання Оператора газосховищ до скорочення обсягів </w:t>
            </w:r>
            <w:r>
              <w:rPr>
                <w:rFonts w:ascii="Times New Roman" w:eastAsia="Times New Roman" w:hAnsi="Times New Roman" w:cs="Times New Roman"/>
                <w:color w:val="000000" w:themeColor="text1"/>
                <w:sz w:val="24"/>
                <w:szCs w:val="24"/>
                <w:lang w:val="uk-UA" w:eastAsia="uk-UA"/>
              </w:rPr>
              <w:t>ВТВ.</w:t>
            </w:r>
          </w:p>
          <w:p w14:paraId="4B329E41" w14:textId="741CD09C" w:rsidR="00FA36B4" w:rsidRPr="0033000E" w:rsidRDefault="00C54AB8" w:rsidP="00FA36B4">
            <w:pPr>
              <w:ind w:firstLine="304"/>
              <w:jc w:val="both"/>
              <w:rPr>
                <w:rFonts w:ascii="Times New Roman" w:eastAsia="Times New Roman" w:hAnsi="Times New Roman" w:cs="Times New Roman"/>
                <w:bCs/>
                <w:color w:val="000000" w:themeColor="text1"/>
                <w:sz w:val="24"/>
                <w:szCs w:val="24"/>
                <w:lang w:val="uk-UA" w:eastAsia="uk-UA"/>
              </w:rPr>
            </w:pPr>
            <w:r>
              <w:rPr>
                <w:rFonts w:ascii="Times New Roman" w:eastAsia="Times New Roman" w:hAnsi="Times New Roman" w:cs="Times New Roman"/>
                <w:color w:val="000000" w:themeColor="text1"/>
                <w:sz w:val="24"/>
                <w:szCs w:val="24"/>
                <w:lang w:val="uk-UA" w:eastAsia="uk-UA"/>
              </w:rPr>
              <w:lastRenderedPageBreak/>
              <w:t>Окрема варто зазначити, що г</w:t>
            </w:r>
            <w:r w:rsidRPr="0033000E">
              <w:rPr>
                <w:rFonts w:ascii="Times New Roman" w:eastAsia="Times New Roman" w:hAnsi="Times New Roman" w:cs="Times New Roman"/>
                <w:color w:val="000000" w:themeColor="text1"/>
                <w:sz w:val="24"/>
                <w:szCs w:val="24"/>
                <w:lang w:val="uk-UA" w:eastAsia="uk-UA"/>
              </w:rPr>
              <w:t xml:space="preserve">лавою </w:t>
            </w:r>
            <w:r w:rsidR="00FA36B4" w:rsidRPr="0033000E">
              <w:rPr>
                <w:rFonts w:ascii="Times New Roman" w:eastAsia="Times New Roman" w:hAnsi="Times New Roman" w:cs="Times New Roman"/>
                <w:color w:val="000000" w:themeColor="text1"/>
                <w:sz w:val="24"/>
                <w:szCs w:val="24"/>
                <w:lang w:val="uk-UA" w:eastAsia="uk-UA"/>
              </w:rPr>
              <w:t>3 розділу І Кодексу газосховищ визначено обов’язки оператора газосховищ, зокрема щодо вжиття заходів із забезпечення безпеки постачання природного газу, включаючи безаварійну та безперебійну роботу газосховища (газосховищ). Так,</w:t>
            </w:r>
            <w:r w:rsidR="00FA36B4" w:rsidRPr="0033000E">
              <w:rPr>
                <w:rFonts w:ascii="Times New Roman" w:eastAsia="Times New Roman" w:hAnsi="Times New Roman" w:cs="Times New Roman"/>
                <w:bCs/>
                <w:color w:val="000000" w:themeColor="text1"/>
                <w:sz w:val="24"/>
                <w:szCs w:val="24"/>
                <w:lang w:val="uk-UA" w:eastAsia="uk-UA"/>
              </w:rPr>
              <w:t xml:space="preserve"> Оператор газосховищ забезпечує надійну та безпечну експлуатацію, підтримання у належному технічному стані та розвиток (у тому числі нове будівництво та реконструкцію) одного або декількох газосховищ, якими він користується на законних підставах, в тому числі підтримку параметрів роботи газосховищ, передбачених </w:t>
            </w:r>
            <w:proofErr w:type="spellStart"/>
            <w:r w:rsidR="00FA36B4" w:rsidRPr="0033000E">
              <w:rPr>
                <w:rFonts w:ascii="Times New Roman" w:eastAsia="Times New Roman" w:hAnsi="Times New Roman" w:cs="Times New Roman"/>
                <w:bCs/>
                <w:color w:val="000000" w:themeColor="text1"/>
                <w:sz w:val="24"/>
                <w:szCs w:val="24"/>
                <w:lang w:val="uk-UA" w:eastAsia="uk-UA"/>
              </w:rPr>
              <w:t>проєктною</w:t>
            </w:r>
            <w:proofErr w:type="spellEnd"/>
            <w:r w:rsidR="00FA36B4" w:rsidRPr="0033000E">
              <w:rPr>
                <w:rFonts w:ascii="Times New Roman" w:eastAsia="Times New Roman" w:hAnsi="Times New Roman" w:cs="Times New Roman"/>
                <w:bCs/>
                <w:color w:val="000000" w:themeColor="text1"/>
                <w:sz w:val="24"/>
                <w:szCs w:val="24"/>
                <w:lang w:val="uk-UA" w:eastAsia="uk-UA"/>
              </w:rPr>
              <w:t xml:space="preserve"> документацією.</w:t>
            </w:r>
          </w:p>
          <w:p w14:paraId="2E632F54" w14:textId="107BF214" w:rsidR="00FA36B4" w:rsidRPr="0033000E" w:rsidRDefault="00FA36B4" w:rsidP="00FA36B4">
            <w:pPr>
              <w:ind w:firstLine="304"/>
              <w:jc w:val="both"/>
              <w:rPr>
                <w:rFonts w:ascii="Times New Roman" w:eastAsia="Times New Roman" w:hAnsi="Times New Roman" w:cs="Times New Roman"/>
                <w:bCs/>
                <w:color w:val="000000" w:themeColor="text1"/>
                <w:sz w:val="24"/>
                <w:szCs w:val="24"/>
                <w:lang w:val="uk-UA" w:eastAsia="uk-UA"/>
              </w:rPr>
            </w:pPr>
            <w:r w:rsidRPr="0033000E">
              <w:rPr>
                <w:rFonts w:ascii="Times New Roman" w:eastAsia="Times New Roman" w:hAnsi="Times New Roman" w:cs="Times New Roman"/>
                <w:bCs/>
                <w:color w:val="000000" w:themeColor="text1"/>
                <w:sz w:val="24"/>
                <w:szCs w:val="24"/>
                <w:lang w:val="uk-UA" w:eastAsia="uk-UA"/>
              </w:rPr>
              <w:t xml:space="preserve">Разом з цим, можливість додаткового фінансування придбання буферного газу </w:t>
            </w:r>
            <w:r>
              <w:rPr>
                <w:rFonts w:ascii="Times New Roman" w:eastAsia="Times New Roman" w:hAnsi="Times New Roman" w:cs="Times New Roman"/>
                <w:bCs/>
                <w:color w:val="000000" w:themeColor="text1"/>
                <w:sz w:val="24"/>
                <w:szCs w:val="24"/>
                <w:lang w:val="uk-UA" w:eastAsia="uk-UA"/>
              </w:rPr>
              <w:t xml:space="preserve">дозволить в майбутньому </w:t>
            </w:r>
            <w:r w:rsidRPr="0033000E">
              <w:rPr>
                <w:rFonts w:ascii="Times New Roman" w:eastAsia="Times New Roman" w:hAnsi="Times New Roman" w:cs="Times New Roman"/>
                <w:bCs/>
                <w:color w:val="000000" w:themeColor="text1"/>
                <w:sz w:val="24"/>
                <w:szCs w:val="24"/>
                <w:lang w:val="uk-UA" w:eastAsia="uk-UA"/>
              </w:rPr>
              <w:t>збільшити доступний для відбору обсяг активного газу.</w:t>
            </w:r>
          </w:p>
          <w:p w14:paraId="783FABA5" w14:textId="6CCD9B6B" w:rsidR="00FA36B4" w:rsidRPr="0033000E" w:rsidRDefault="00FA36B4" w:rsidP="00FA36B4">
            <w:pPr>
              <w:ind w:firstLine="304"/>
              <w:jc w:val="both"/>
              <w:rPr>
                <w:rFonts w:ascii="Times New Roman" w:eastAsia="Times New Roman" w:hAnsi="Times New Roman" w:cs="Times New Roman"/>
                <w:bCs/>
                <w:sz w:val="24"/>
                <w:szCs w:val="24"/>
                <w:lang w:val="uk-UA" w:eastAsia="uk-UA"/>
              </w:rPr>
            </w:pPr>
            <w:r w:rsidRPr="0033000E">
              <w:rPr>
                <w:rFonts w:ascii="Times New Roman" w:eastAsia="Times New Roman" w:hAnsi="Times New Roman" w:cs="Times New Roman"/>
                <w:bCs/>
                <w:sz w:val="24"/>
                <w:szCs w:val="24"/>
                <w:lang w:val="uk-UA" w:eastAsia="uk-UA"/>
              </w:rPr>
              <w:t xml:space="preserve">Таким чином, можливість закупівлі буферного газу довгострокового зберігання є </w:t>
            </w:r>
            <w:r>
              <w:rPr>
                <w:rFonts w:ascii="Times New Roman" w:eastAsia="Times New Roman" w:hAnsi="Times New Roman" w:cs="Times New Roman"/>
                <w:bCs/>
                <w:sz w:val="24"/>
                <w:szCs w:val="24"/>
                <w:lang w:val="uk-UA" w:eastAsia="uk-UA"/>
              </w:rPr>
              <w:t>однією з умов</w:t>
            </w:r>
            <w:r w:rsidRPr="0033000E">
              <w:rPr>
                <w:rFonts w:ascii="Times New Roman" w:eastAsia="Times New Roman" w:hAnsi="Times New Roman" w:cs="Times New Roman"/>
                <w:bCs/>
                <w:sz w:val="24"/>
                <w:szCs w:val="24"/>
                <w:lang w:val="uk-UA" w:eastAsia="uk-UA"/>
              </w:rPr>
              <w:t xml:space="preserve"> стабільного функціонування </w:t>
            </w:r>
            <w:r>
              <w:rPr>
                <w:rFonts w:ascii="Times New Roman" w:eastAsia="Times New Roman" w:hAnsi="Times New Roman" w:cs="Times New Roman"/>
                <w:bCs/>
                <w:sz w:val="24"/>
                <w:szCs w:val="24"/>
                <w:lang w:val="uk-UA" w:eastAsia="uk-UA"/>
              </w:rPr>
              <w:t>газосховищ</w:t>
            </w:r>
            <w:r w:rsidRPr="0033000E">
              <w:rPr>
                <w:rFonts w:ascii="Times New Roman" w:eastAsia="Times New Roman" w:hAnsi="Times New Roman" w:cs="Times New Roman"/>
                <w:bCs/>
                <w:sz w:val="24"/>
                <w:szCs w:val="24"/>
                <w:lang w:val="uk-UA" w:eastAsia="uk-UA"/>
              </w:rPr>
              <w:t>.</w:t>
            </w:r>
          </w:p>
          <w:p w14:paraId="62D798AE" w14:textId="0D0B3AB2" w:rsidR="00FA36B4" w:rsidRPr="0033000E" w:rsidRDefault="00C54AB8" w:rsidP="00FA36B4">
            <w:pPr>
              <w:ind w:firstLine="304"/>
              <w:jc w:val="both"/>
              <w:rPr>
                <w:rFonts w:ascii="Times New Roman" w:eastAsia="Times New Roman" w:hAnsi="Times New Roman" w:cs="Times New Roman"/>
                <w:bCs/>
                <w:color w:val="000000" w:themeColor="text1"/>
                <w:sz w:val="24"/>
                <w:szCs w:val="24"/>
                <w:lang w:val="uk-UA" w:eastAsia="uk-UA"/>
              </w:rPr>
            </w:pPr>
            <w:r>
              <w:rPr>
                <w:rFonts w:ascii="Times New Roman" w:eastAsia="Times New Roman" w:hAnsi="Times New Roman" w:cs="Times New Roman"/>
                <w:bCs/>
                <w:sz w:val="24"/>
                <w:szCs w:val="24"/>
                <w:lang w:val="uk-UA" w:eastAsia="uk-UA"/>
              </w:rPr>
              <w:lastRenderedPageBreak/>
              <w:t>Крім того</w:t>
            </w:r>
            <w:r w:rsidR="00FA36B4" w:rsidRPr="0033000E">
              <w:rPr>
                <w:rFonts w:ascii="Times New Roman" w:eastAsia="Times New Roman" w:hAnsi="Times New Roman" w:cs="Times New Roman"/>
                <w:bCs/>
                <w:sz w:val="24"/>
                <w:szCs w:val="24"/>
                <w:lang w:val="uk-UA" w:eastAsia="uk-UA"/>
              </w:rPr>
              <w:t xml:space="preserve">, </w:t>
            </w:r>
            <w:r w:rsidR="00FA36B4" w:rsidRPr="0033000E">
              <w:rPr>
                <w:rFonts w:ascii="Times New Roman" w:eastAsia="Times New Roman" w:hAnsi="Times New Roman" w:cs="Times New Roman"/>
                <w:bCs/>
                <w:color w:val="000000" w:themeColor="text1"/>
                <w:sz w:val="24"/>
                <w:szCs w:val="24"/>
                <w:lang w:val="uk-UA" w:eastAsia="uk-UA"/>
              </w:rPr>
              <w:t xml:space="preserve">зміни в Проєкті постанови забезпечать унормування положень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затвердженої постановою НКРЕКП від 13.06.2016  № 1131 (далі – Методика № 1131) з положеннями Методики визначення сум додатково отриманого або недоотриманого доходу від здійснення діяльності із зберігання (закачування, відбору) природного газу, що є </w:t>
            </w:r>
            <w:r w:rsidR="00FA36B4" w:rsidRPr="0033000E">
              <w:rPr>
                <w:rFonts w:ascii="Times New Roman" w:eastAsia="Times New Roman" w:hAnsi="Times New Roman" w:cs="Times New Roman"/>
                <w:bCs/>
                <w:color w:val="000000" w:themeColor="text1"/>
                <w:sz w:val="24"/>
                <w:szCs w:val="24"/>
                <w:lang w:val="uk-UA" w:eastAsia="uk-UA"/>
              </w:rPr>
              <w:br/>
              <w:t>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14.06.2018  № 428 (зі змінами) (Далі – Методика</w:t>
            </w:r>
            <w:r w:rsidR="00FA36B4">
              <w:rPr>
                <w:rFonts w:ascii="Times New Roman" w:eastAsia="Times New Roman" w:hAnsi="Times New Roman" w:cs="Times New Roman"/>
                <w:bCs/>
                <w:color w:val="000000" w:themeColor="text1"/>
                <w:sz w:val="24"/>
                <w:szCs w:val="24"/>
                <w:lang w:val="uk-UA" w:eastAsia="uk-UA"/>
              </w:rPr>
              <w:t xml:space="preserve"> Порядку контролю</w:t>
            </w:r>
            <w:r w:rsidR="00FA36B4" w:rsidRPr="0033000E">
              <w:rPr>
                <w:rFonts w:ascii="Times New Roman" w:eastAsia="Times New Roman" w:hAnsi="Times New Roman" w:cs="Times New Roman"/>
                <w:bCs/>
                <w:color w:val="000000" w:themeColor="text1"/>
                <w:sz w:val="24"/>
                <w:szCs w:val="24"/>
                <w:lang w:val="uk-UA" w:eastAsia="uk-UA"/>
              </w:rPr>
              <w:t>).</w:t>
            </w:r>
          </w:p>
        </w:tc>
      </w:tr>
      <w:tr w:rsidR="00FA36B4" w:rsidRPr="0033000E" w14:paraId="37A7BE90" w14:textId="77777777" w:rsidTr="002C166D">
        <w:trPr>
          <w:jc w:val="center"/>
        </w:trPr>
        <w:tc>
          <w:tcPr>
            <w:tcW w:w="6377" w:type="dxa"/>
            <w:vMerge/>
            <w:vAlign w:val="center"/>
          </w:tcPr>
          <w:p w14:paraId="3F87742D" w14:textId="77777777" w:rsidR="00FA36B4" w:rsidRPr="0033000E" w:rsidRDefault="00FA36B4" w:rsidP="00A34E68">
            <w:pPr>
              <w:pStyle w:val="2"/>
              <w:ind w:firstLine="709"/>
              <w:contextualSpacing/>
              <w:jc w:val="both"/>
              <w:rPr>
                <w:iCs/>
                <w:color w:val="000000" w:themeColor="text1"/>
                <w:sz w:val="24"/>
                <w:szCs w:val="24"/>
                <w:shd w:val="clear" w:color="auto" w:fill="FFFFFF"/>
                <w:lang w:val="uk-UA"/>
              </w:rPr>
            </w:pPr>
          </w:p>
        </w:tc>
        <w:tc>
          <w:tcPr>
            <w:tcW w:w="5957" w:type="dxa"/>
          </w:tcPr>
          <w:p w14:paraId="3D5242F8" w14:textId="77777777" w:rsidR="00FA36B4" w:rsidRPr="0033000E" w:rsidRDefault="00FA36B4" w:rsidP="00FA45B3">
            <w:pPr>
              <w:tabs>
                <w:tab w:val="left" w:pos="1185"/>
              </w:tabs>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t>Пропозиція АТ «Укртрансгаз»</w:t>
            </w:r>
          </w:p>
          <w:p w14:paraId="3946688A" w14:textId="77777777" w:rsidR="00FA36B4" w:rsidRPr="0033000E" w:rsidRDefault="00FA36B4" w:rsidP="00FA45B3">
            <w:pPr>
              <w:pStyle w:val="rvps2"/>
              <w:shd w:val="clear" w:color="auto" w:fill="FFFFFF"/>
              <w:spacing w:before="0" w:beforeAutospacing="0" w:after="120" w:afterAutospacing="0"/>
              <w:ind w:firstLine="448"/>
              <w:contextualSpacing/>
              <w:jc w:val="both"/>
              <w:rPr>
                <w:bCs/>
                <w:lang w:val="uk-UA"/>
              </w:rPr>
            </w:pPr>
            <w:r w:rsidRPr="0033000E">
              <w:rPr>
                <w:bCs/>
                <w:lang w:val="uk-UA"/>
              </w:rPr>
              <w:t>2. При визначенні коригування планованої тарифної виручки не враховуються:</w:t>
            </w:r>
          </w:p>
          <w:p w14:paraId="5D2541E2" w14:textId="77777777" w:rsidR="00FA36B4" w:rsidRPr="0033000E" w:rsidRDefault="00FA36B4" w:rsidP="00FA45B3">
            <w:pPr>
              <w:pStyle w:val="rvps2"/>
              <w:shd w:val="clear" w:color="auto" w:fill="FFFFFF"/>
              <w:spacing w:before="0" w:beforeAutospacing="0" w:after="120" w:afterAutospacing="0"/>
              <w:ind w:firstLine="448"/>
              <w:contextualSpacing/>
              <w:jc w:val="both"/>
              <w:rPr>
                <w:bCs/>
                <w:lang w:val="uk-UA"/>
              </w:rPr>
            </w:pPr>
            <w:r w:rsidRPr="0033000E">
              <w:rPr>
                <w:bCs/>
                <w:lang w:val="uk-UA"/>
              </w:rPr>
              <w:lastRenderedPageBreak/>
              <w:t xml:space="preserve">1) суми недофінансування витрат на оплату праці у разі зменшення оператором газосховища таких витрат за рахунок оптимізації штату працівників, безпосередньо задіяних при здійсненні діяльності із зберігання (закачування, відбору) природного газу (за умови дотримання норм технічної безпеки надання послуг зберігання (закачування, відбору) природного газу), у випадку направлення такої економії коштів для фінансування заходів з підвищення рівня середньомісячної заробітної плати працівників, безпосередньо задіяних при здійсненні діяльності зі зберігання (закачування, відбору) природного газу, у році, наступному за роком, у якому сформувалась економія </w:t>
            </w:r>
            <w:r w:rsidRPr="0033000E">
              <w:rPr>
                <w:b/>
                <w:strike/>
                <w:lang w:val="uk-UA"/>
              </w:rPr>
              <w:t>коштів</w:t>
            </w:r>
            <w:r w:rsidRPr="0033000E">
              <w:rPr>
                <w:b/>
                <w:lang w:val="uk-UA"/>
              </w:rPr>
              <w:t xml:space="preserve"> </w:t>
            </w:r>
            <w:r w:rsidRPr="0033000E">
              <w:rPr>
                <w:b/>
                <w:u w:val="single"/>
                <w:lang w:val="uk-UA"/>
              </w:rPr>
              <w:t>витрат</w:t>
            </w:r>
            <w:r w:rsidRPr="0033000E">
              <w:rPr>
                <w:bCs/>
                <w:lang w:val="uk-UA"/>
              </w:rPr>
              <w:t>.</w:t>
            </w:r>
          </w:p>
          <w:p w14:paraId="795D6D70" w14:textId="77777777" w:rsidR="00FA36B4" w:rsidRPr="0033000E" w:rsidRDefault="00FA36B4" w:rsidP="00FA45B3">
            <w:pPr>
              <w:pStyle w:val="rvps2"/>
              <w:shd w:val="clear" w:color="auto" w:fill="FFFFFF"/>
              <w:spacing w:before="0" w:beforeAutospacing="0" w:after="120" w:afterAutospacing="0"/>
              <w:ind w:firstLine="538"/>
              <w:contextualSpacing/>
              <w:jc w:val="both"/>
              <w:rPr>
                <w:bCs/>
                <w:lang w:val="uk-UA"/>
              </w:rPr>
            </w:pPr>
            <w:r w:rsidRPr="0033000E">
              <w:rPr>
                <w:bCs/>
                <w:lang w:val="uk-UA"/>
              </w:rPr>
              <w:t xml:space="preserve">З метою використання такої економії </w:t>
            </w:r>
            <w:r w:rsidRPr="0033000E">
              <w:rPr>
                <w:b/>
                <w:strike/>
                <w:lang w:val="uk-UA"/>
              </w:rPr>
              <w:t>коштів</w:t>
            </w:r>
            <w:r w:rsidRPr="0033000E">
              <w:rPr>
                <w:b/>
                <w:lang w:val="uk-UA"/>
              </w:rPr>
              <w:t xml:space="preserve"> </w:t>
            </w:r>
            <w:r w:rsidRPr="0033000E">
              <w:rPr>
                <w:b/>
                <w:u w:val="single"/>
                <w:lang w:val="uk-UA"/>
              </w:rPr>
              <w:t>витрат</w:t>
            </w:r>
            <w:r w:rsidRPr="0033000E">
              <w:rPr>
                <w:bCs/>
                <w:lang w:val="uk-UA"/>
              </w:rPr>
              <w:t xml:space="preserve"> оператор газосховищ зобов’язаний до 01 березня року, наступного за роком, у якому сформувалась економія </w:t>
            </w:r>
            <w:r w:rsidRPr="0033000E">
              <w:rPr>
                <w:b/>
                <w:strike/>
                <w:lang w:val="uk-UA"/>
              </w:rPr>
              <w:t>коштів</w:t>
            </w:r>
            <w:r w:rsidRPr="0033000E">
              <w:rPr>
                <w:b/>
                <w:lang w:val="uk-UA"/>
              </w:rPr>
              <w:t xml:space="preserve"> </w:t>
            </w:r>
            <w:r w:rsidRPr="0033000E">
              <w:rPr>
                <w:b/>
                <w:u w:val="single"/>
                <w:lang w:val="uk-UA"/>
              </w:rPr>
              <w:t>витрат</w:t>
            </w:r>
            <w:r w:rsidRPr="0033000E">
              <w:rPr>
                <w:bCs/>
                <w:lang w:val="uk-UA"/>
              </w:rPr>
              <w:t>, надати до НКРЕКП інформацію щодо обсягу та напрямку її використання.</w:t>
            </w:r>
          </w:p>
          <w:p w14:paraId="103C68F0" w14:textId="77777777" w:rsidR="00FA36B4" w:rsidRPr="0033000E" w:rsidRDefault="00FA36B4" w:rsidP="00FA45B3">
            <w:pPr>
              <w:pStyle w:val="rvps2"/>
              <w:shd w:val="clear" w:color="auto" w:fill="FFFFFF"/>
              <w:spacing w:before="0" w:beforeAutospacing="0" w:after="120" w:afterAutospacing="0"/>
              <w:ind w:firstLine="448"/>
              <w:contextualSpacing/>
              <w:jc w:val="both"/>
              <w:rPr>
                <w:bCs/>
                <w:lang w:val="uk-UA"/>
              </w:rPr>
            </w:pPr>
            <w:r w:rsidRPr="0033000E">
              <w:rPr>
                <w:bCs/>
                <w:lang w:val="uk-UA"/>
              </w:rPr>
              <w:t>Оператор газосховищ не має права зменшувати витрати</w:t>
            </w:r>
            <w:r w:rsidRPr="0033000E">
              <w:rPr>
                <w:b/>
                <w:strike/>
                <w:lang w:val="uk-UA"/>
              </w:rPr>
              <w:t xml:space="preserve">, </w:t>
            </w:r>
            <w:r w:rsidRPr="0033000E">
              <w:rPr>
                <w:b/>
                <w:bCs/>
                <w:strike/>
                <w:lang w:val="uk-UA"/>
              </w:rPr>
              <w:t>пов’язані з фінансуванням фонду оплати</w:t>
            </w:r>
            <w:r w:rsidRPr="0033000E">
              <w:rPr>
                <w:b/>
                <w:bCs/>
                <w:lang w:val="uk-UA"/>
              </w:rPr>
              <w:t xml:space="preserve"> </w:t>
            </w:r>
            <w:r w:rsidRPr="0033000E">
              <w:rPr>
                <w:b/>
                <w:bCs/>
                <w:u w:val="single"/>
                <w:lang w:val="uk-UA"/>
              </w:rPr>
              <w:t>на оплату</w:t>
            </w:r>
            <w:r w:rsidRPr="0033000E">
              <w:rPr>
                <w:bCs/>
                <w:lang w:val="uk-UA"/>
              </w:rPr>
              <w:t xml:space="preserve">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тарифу на послуги зберігання (закачування, відбору) природного газу, встановленого НКРЕКП.</w:t>
            </w:r>
          </w:p>
          <w:p w14:paraId="30E4BF11" w14:textId="77777777" w:rsidR="00FA36B4" w:rsidRPr="0033000E" w:rsidRDefault="00FA36B4" w:rsidP="00FA45B3">
            <w:pPr>
              <w:pStyle w:val="rvps2"/>
              <w:shd w:val="clear" w:color="auto" w:fill="FFFFFF"/>
              <w:spacing w:before="0" w:beforeAutospacing="0" w:after="120" w:afterAutospacing="0"/>
              <w:ind w:firstLine="448"/>
              <w:contextualSpacing/>
              <w:jc w:val="both"/>
              <w:rPr>
                <w:bCs/>
                <w:lang w:val="uk-UA"/>
              </w:rPr>
            </w:pPr>
          </w:p>
          <w:p w14:paraId="026A3EFE" w14:textId="77777777" w:rsidR="00FA36B4" w:rsidRPr="0033000E" w:rsidRDefault="00FA36B4" w:rsidP="00FA45B3">
            <w:pPr>
              <w:tabs>
                <w:tab w:val="left" w:pos="1185"/>
              </w:tabs>
              <w:rPr>
                <w:rFonts w:ascii="Times New Roman" w:hAnsi="Times New Roman" w:cs="Times New Roman"/>
                <w:b/>
                <w:sz w:val="24"/>
                <w:szCs w:val="24"/>
                <w:lang w:val="uk-UA"/>
              </w:rPr>
            </w:pPr>
            <w:r w:rsidRPr="0033000E">
              <w:rPr>
                <w:rFonts w:ascii="Times New Roman" w:hAnsi="Times New Roman" w:cs="Times New Roman"/>
                <w:b/>
                <w:sz w:val="24"/>
                <w:szCs w:val="24"/>
                <w:lang w:val="uk-UA"/>
              </w:rPr>
              <w:t>Обґрунтування:</w:t>
            </w:r>
          </w:p>
          <w:p w14:paraId="72C76F1D" w14:textId="77777777" w:rsidR="00FA36B4" w:rsidRPr="0033000E" w:rsidRDefault="00FA36B4" w:rsidP="00FA45B3">
            <w:pPr>
              <w:pStyle w:val="rvps2"/>
              <w:shd w:val="clear" w:color="auto" w:fill="FFFFFF"/>
              <w:spacing w:before="0" w:beforeAutospacing="0" w:after="120" w:afterAutospacing="0"/>
              <w:ind w:firstLine="448"/>
              <w:contextualSpacing/>
              <w:jc w:val="both"/>
              <w:rPr>
                <w:spacing w:val="1"/>
                <w:lang w:val="uk-UA"/>
              </w:rPr>
            </w:pPr>
            <w:r w:rsidRPr="0033000E">
              <w:rPr>
                <w:spacing w:val="1"/>
                <w:lang w:val="uk-UA"/>
              </w:rPr>
              <w:t xml:space="preserve">Метою пропозицій є узгодження використаних термінів із практикою їх використання в інших нормативно-правових актах. </w:t>
            </w:r>
          </w:p>
          <w:p w14:paraId="67FEA777" w14:textId="77777777" w:rsidR="00FA36B4" w:rsidRPr="0033000E" w:rsidRDefault="00FA36B4" w:rsidP="00FA45B3">
            <w:pPr>
              <w:pStyle w:val="rvps2"/>
              <w:shd w:val="clear" w:color="auto" w:fill="FFFFFF"/>
              <w:spacing w:before="0" w:beforeAutospacing="0" w:after="120" w:afterAutospacing="0"/>
              <w:ind w:firstLine="448"/>
              <w:contextualSpacing/>
              <w:jc w:val="both"/>
              <w:rPr>
                <w:spacing w:val="1"/>
                <w:lang w:val="uk-UA"/>
              </w:rPr>
            </w:pPr>
            <w:r w:rsidRPr="0033000E">
              <w:rPr>
                <w:spacing w:val="1"/>
                <w:lang w:val="uk-UA"/>
              </w:rPr>
              <w:lastRenderedPageBreak/>
              <w:t xml:space="preserve">Використання слова «кошти» доречне в контексті фінансування, розрахунків, платежів, але не є синонімом «витрат» у бухгалтерському розумінні. Наприклад, «економія коштів» може означати фактичну </w:t>
            </w:r>
            <w:proofErr w:type="spellStart"/>
            <w:r w:rsidRPr="0033000E">
              <w:rPr>
                <w:spacing w:val="1"/>
                <w:lang w:val="uk-UA"/>
              </w:rPr>
              <w:t>невитрату</w:t>
            </w:r>
            <w:proofErr w:type="spellEnd"/>
            <w:r w:rsidRPr="0033000E">
              <w:rPr>
                <w:spacing w:val="1"/>
                <w:lang w:val="uk-UA"/>
              </w:rPr>
              <w:t xml:space="preserve"> грошей, але в обліковому сенсі важливо фіксувати «економію витрат», як категорії, що формує фінансовий результат.</w:t>
            </w:r>
          </w:p>
          <w:p w14:paraId="4A80BC30" w14:textId="523023F0" w:rsidR="00FA36B4" w:rsidRPr="00DB4C24" w:rsidRDefault="00FA36B4" w:rsidP="00DB4C24">
            <w:pPr>
              <w:pStyle w:val="rvps2"/>
              <w:shd w:val="clear" w:color="auto" w:fill="FFFFFF"/>
              <w:spacing w:before="0" w:beforeAutospacing="0" w:after="120" w:afterAutospacing="0"/>
              <w:ind w:firstLine="448"/>
              <w:contextualSpacing/>
              <w:jc w:val="both"/>
              <w:rPr>
                <w:spacing w:val="1"/>
                <w:lang w:val="uk-UA"/>
              </w:rPr>
            </w:pPr>
            <w:r w:rsidRPr="0033000E">
              <w:rPr>
                <w:spacing w:val="1"/>
                <w:lang w:val="uk-UA"/>
              </w:rPr>
              <w:t>Крім того, формулювання «витрати на оплату праці» є стандартизованим терміном бухгалтерського обліку (форма звітності № 2 – витрати на оплату праці).</w:t>
            </w:r>
          </w:p>
        </w:tc>
        <w:tc>
          <w:tcPr>
            <w:tcW w:w="3687" w:type="dxa"/>
          </w:tcPr>
          <w:p w14:paraId="42E57C5D" w14:textId="02D7700C" w:rsidR="00FA36B4" w:rsidRPr="0033000E" w:rsidRDefault="006B20CE" w:rsidP="00FA36B4">
            <w:pPr>
              <w:ind w:firstLine="304"/>
              <w:jc w:val="both"/>
              <w:rPr>
                <w:rFonts w:ascii="Times New Roman" w:eastAsia="Times New Roman" w:hAnsi="Times New Roman" w:cs="Times New Roman"/>
                <w:b/>
                <w:color w:val="000000" w:themeColor="text1"/>
                <w:sz w:val="24"/>
                <w:szCs w:val="24"/>
                <w:lang w:val="uk-UA" w:eastAsia="uk-UA"/>
              </w:rPr>
            </w:pPr>
            <w:r>
              <w:rPr>
                <w:rFonts w:ascii="Times New Roman" w:eastAsia="Times New Roman" w:hAnsi="Times New Roman" w:cs="Times New Roman"/>
                <w:b/>
                <w:color w:val="000000" w:themeColor="text1"/>
                <w:sz w:val="24"/>
                <w:szCs w:val="24"/>
                <w:lang w:val="uk-UA" w:eastAsia="uk-UA"/>
              </w:rPr>
              <w:lastRenderedPageBreak/>
              <w:t>Попередньо в</w:t>
            </w:r>
            <w:r w:rsidR="00FA36B4" w:rsidRPr="0033000E">
              <w:rPr>
                <w:rFonts w:ascii="Times New Roman" w:eastAsia="Times New Roman" w:hAnsi="Times New Roman" w:cs="Times New Roman"/>
                <w:b/>
                <w:color w:val="000000" w:themeColor="text1"/>
                <w:sz w:val="24"/>
                <w:szCs w:val="24"/>
                <w:lang w:val="uk-UA" w:eastAsia="uk-UA"/>
              </w:rPr>
              <w:t>раховано частково</w:t>
            </w:r>
          </w:p>
          <w:p w14:paraId="154E4183" w14:textId="3F6AFBEC" w:rsidR="00FA36B4" w:rsidRPr="0033000E" w:rsidRDefault="00FA36B4" w:rsidP="00FA36B4">
            <w:pPr>
              <w:ind w:firstLine="304"/>
              <w:jc w:val="both"/>
              <w:rPr>
                <w:rFonts w:ascii="Times New Roman" w:eastAsia="Times New Roman" w:hAnsi="Times New Roman" w:cs="Times New Roman"/>
                <w:bCs/>
                <w:color w:val="000000" w:themeColor="text1"/>
                <w:sz w:val="24"/>
                <w:szCs w:val="24"/>
                <w:lang w:val="uk-UA" w:eastAsia="uk-UA"/>
              </w:rPr>
            </w:pPr>
            <w:r w:rsidRPr="0033000E">
              <w:rPr>
                <w:rFonts w:ascii="Times New Roman" w:eastAsia="Times New Roman" w:hAnsi="Times New Roman" w:cs="Times New Roman"/>
                <w:bCs/>
                <w:color w:val="000000" w:themeColor="text1"/>
                <w:sz w:val="24"/>
                <w:szCs w:val="24"/>
                <w:lang w:val="uk-UA" w:eastAsia="uk-UA"/>
              </w:rPr>
              <w:lastRenderedPageBreak/>
              <w:t xml:space="preserve">Термін «економія коштів» є економічно </w:t>
            </w:r>
            <w:r>
              <w:rPr>
                <w:rFonts w:ascii="Times New Roman" w:eastAsia="Times New Roman" w:hAnsi="Times New Roman" w:cs="Times New Roman"/>
                <w:bCs/>
                <w:color w:val="000000" w:themeColor="text1"/>
                <w:sz w:val="24"/>
                <w:szCs w:val="24"/>
                <w:lang w:val="uk-UA" w:eastAsia="uk-UA"/>
              </w:rPr>
              <w:t>узгодженим</w:t>
            </w:r>
            <w:r w:rsidRPr="0033000E">
              <w:rPr>
                <w:rFonts w:ascii="Times New Roman" w:eastAsia="Times New Roman" w:hAnsi="Times New Roman" w:cs="Times New Roman"/>
                <w:bCs/>
                <w:color w:val="000000" w:themeColor="text1"/>
                <w:sz w:val="24"/>
                <w:szCs w:val="24"/>
                <w:lang w:val="uk-UA" w:eastAsia="uk-UA"/>
              </w:rPr>
              <w:t xml:space="preserve">, оскільки відображає фактичне вивільнення фінансових ресурсів, що виникає внаслідок зниження рівня витрат порівняно з плановими (тарифними) показниками. </w:t>
            </w:r>
          </w:p>
          <w:p w14:paraId="13049B61" w14:textId="1CD25968" w:rsidR="00FA36B4" w:rsidRPr="0033000E" w:rsidRDefault="00FA36B4" w:rsidP="00FA36B4">
            <w:pPr>
              <w:ind w:firstLine="304"/>
              <w:jc w:val="both"/>
              <w:rPr>
                <w:rFonts w:ascii="Times New Roman" w:eastAsia="Times New Roman" w:hAnsi="Times New Roman" w:cs="Times New Roman"/>
                <w:bCs/>
                <w:color w:val="000000" w:themeColor="text1"/>
                <w:sz w:val="24"/>
                <w:szCs w:val="24"/>
                <w:lang w:val="uk-UA" w:eastAsia="uk-UA"/>
              </w:rPr>
            </w:pPr>
            <w:r w:rsidRPr="0033000E">
              <w:rPr>
                <w:rFonts w:ascii="Times New Roman" w:eastAsia="Times New Roman" w:hAnsi="Times New Roman" w:cs="Times New Roman"/>
                <w:bCs/>
                <w:color w:val="000000" w:themeColor="text1"/>
                <w:sz w:val="24"/>
                <w:szCs w:val="24"/>
                <w:lang w:val="uk-UA" w:eastAsia="uk-UA"/>
              </w:rPr>
              <w:t>Слід зазначити, що зміни в Проєкті постанови забезпечать унормування положень Методики № 1131 з положеннями Методики</w:t>
            </w:r>
            <w:r>
              <w:rPr>
                <w:rFonts w:ascii="Times New Roman" w:eastAsia="Times New Roman" w:hAnsi="Times New Roman" w:cs="Times New Roman"/>
                <w:bCs/>
                <w:color w:val="000000" w:themeColor="text1"/>
                <w:sz w:val="24"/>
                <w:szCs w:val="24"/>
                <w:lang w:val="uk-UA" w:eastAsia="uk-UA"/>
              </w:rPr>
              <w:t xml:space="preserve"> Порядку контролю</w:t>
            </w:r>
            <w:r w:rsidRPr="0033000E">
              <w:rPr>
                <w:rFonts w:ascii="Times New Roman" w:eastAsia="Times New Roman" w:hAnsi="Times New Roman" w:cs="Times New Roman"/>
                <w:bCs/>
                <w:color w:val="000000" w:themeColor="text1"/>
                <w:sz w:val="24"/>
                <w:szCs w:val="24"/>
                <w:lang w:val="uk-UA" w:eastAsia="uk-UA"/>
              </w:rPr>
              <w:t>.</w:t>
            </w:r>
          </w:p>
          <w:p w14:paraId="32C99F0C" w14:textId="77777777" w:rsidR="00FA36B4" w:rsidRPr="0033000E" w:rsidRDefault="00FA36B4" w:rsidP="00FA36B4">
            <w:pPr>
              <w:ind w:firstLine="304"/>
              <w:jc w:val="both"/>
              <w:rPr>
                <w:rFonts w:ascii="Times New Roman" w:eastAsia="Times New Roman" w:hAnsi="Times New Roman" w:cs="Times New Roman"/>
                <w:bCs/>
                <w:color w:val="000000" w:themeColor="text1"/>
                <w:sz w:val="24"/>
                <w:szCs w:val="24"/>
                <w:lang w:val="uk-UA" w:eastAsia="uk-UA"/>
              </w:rPr>
            </w:pPr>
          </w:p>
          <w:p w14:paraId="6C371718" w14:textId="6D6A2A33" w:rsidR="00FA36B4" w:rsidRPr="00FA36B4" w:rsidRDefault="00FA36B4" w:rsidP="00FA36B4">
            <w:pPr>
              <w:ind w:firstLine="304"/>
              <w:jc w:val="both"/>
              <w:rPr>
                <w:rFonts w:ascii="Times New Roman" w:eastAsia="Times New Roman" w:hAnsi="Times New Roman" w:cs="Times New Roman"/>
                <w:bCs/>
                <w:color w:val="000000" w:themeColor="text1"/>
                <w:sz w:val="24"/>
                <w:szCs w:val="24"/>
                <w:lang w:val="uk-UA" w:eastAsia="uk-UA"/>
              </w:rPr>
            </w:pPr>
            <w:r>
              <w:rPr>
                <w:rFonts w:ascii="Times New Roman" w:eastAsia="Times New Roman" w:hAnsi="Times New Roman" w:cs="Times New Roman"/>
                <w:bCs/>
                <w:sz w:val="24"/>
                <w:szCs w:val="24"/>
                <w:lang w:val="uk-UA" w:eastAsia="uk-UA"/>
              </w:rPr>
              <w:t>Разом з цим, а</w:t>
            </w:r>
            <w:r w:rsidRPr="00FA36B4">
              <w:rPr>
                <w:rFonts w:ascii="Times New Roman" w:eastAsia="Times New Roman" w:hAnsi="Times New Roman" w:cs="Times New Roman"/>
                <w:bCs/>
                <w:sz w:val="24"/>
                <w:szCs w:val="24"/>
                <w:lang w:val="uk-UA" w:eastAsia="uk-UA"/>
              </w:rPr>
              <w:t xml:space="preserve">бзац третій підпункту 1 пункту 2 Розділу </w:t>
            </w:r>
            <w:r w:rsidRPr="00FA36B4">
              <w:rPr>
                <w:rFonts w:ascii="Times New Roman" w:hAnsi="Times New Roman" w:cs="Times New Roman"/>
                <w:bCs/>
                <w:sz w:val="24"/>
                <w:szCs w:val="20"/>
                <w:lang w:val="uk-UA"/>
              </w:rPr>
              <w:t xml:space="preserve">VI. викласти у </w:t>
            </w:r>
            <w:r>
              <w:rPr>
                <w:rFonts w:ascii="Times New Roman" w:hAnsi="Times New Roman" w:cs="Times New Roman"/>
                <w:bCs/>
                <w:sz w:val="24"/>
                <w:szCs w:val="20"/>
                <w:lang w:val="uk-UA"/>
              </w:rPr>
              <w:t>такій</w:t>
            </w:r>
            <w:r w:rsidRPr="00FA36B4">
              <w:rPr>
                <w:rFonts w:ascii="Times New Roman" w:hAnsi="Times New Roman" w:cs="Times New Roman"/>
                <w:bCs/>
                <w:sz w:val="24"/>
                <w:szCs w:val="20"/>
                <w:lang w:val="uk-UA"/>
              </w:rPr>
              <w:t xml:space="preserve"> редакції:</w:t>
            </w:r>
          </w:p>
          <w:p w14:paraId="26F62387" w14:textId="425F9B42" w:rsidR="00FA36B4" w:rsidRPr="0033000E" w:rsidRDefault="00FA36B4" w:rsidP="00FA36B4">
            <w:pPr>
              <w:pStyle w:val="rvps2"/>
              <w:shd w:val="clear" w:color="auto" w:fill="FFFFFF"/>
              <w:spacing w:before="0" w:beforeAutospacing="0" w:after="120" w:afterAutospacing="0"/>
              <w:ind w:firstLine="304"/>
              <w:contextualSpacing/>
              <w:jc w:val="both"/>
              <w:rPr>
                <w:bCs/>
                <w:lang w:val="uk-UA"/>
              </w:rPr>
            </w:pPr>
            <w:r>
              <w:rPr>
                <w:bCs/>
                <w:lang w:val="uk-UA"/>
              </w:rPr>
              <w:t>«</w:t>
            </w:r>
            <w:r w:rsidRPr="00FA36B4">
              <w:rPr>
                <w:bCs/>
                <w:lang w:val="uk-UA"/>
              </w:rPr>
              <w:t>Оператор газосховищ не має права зменшувати витрати</w:t>
            </w:r>
            <w:r w:rsidRPr="006F2253">
              <w:t xml:space="preserve"> </w:t>
            </w:r>
            <w:r w:rsidRPr="006F2253">
              <w:rPr>
                <w:bCs/>
              </w:rPr>
              <w:t>на оплату</w:t>
            </w:r>
            <w:r w:rsidRPr="00FA36B4">
              <w:rPr>
                <w:bCs/>
                <w:lang w:val="uk-UA"/>
              </w:rPr>
              <w:t xml:space="preserve">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тарифу на послуги зберігання (закачування, відбору) природного газу, встановленого НКРЕКП.</w:t>
            </w:r>
            <w:r w:rsidR="00DB4C24">
              <w:rPr>
                <w:bCs/>
                <w:lang w:val="uk-UA"/>
              </w:rPr>
              <w:t>»</w:t>
            </w:r>
          </w:p>
          <w:p w14:paraId="47C04F1C" w14:textId="57D2406E" w:rsidR="00FA36B4" w:rsidRPr="0033000E" w:rsidRDefault="00FA36B4" w:rsidP="005D63B6">
            <w:pPr>
              <w:jc w:val="both"/>
              <w:rPr>
                <w:rFonts w:ascii="Times New Roman" w:eastAsia="Times New Roman" w:hAnsi="Times New Roman" w:cs="Times New Roman"/>
                <w:bCs/>
                <w:color w:val="000000" w:themeColor="text1"/>
                <w:sz w:val="24"/>
                <w:szCs w:val="24"/>
                <w:lang w:val="uk-UA" w:eastAsia="uk-UA"/>
              </w:rPr>
            </w:pPr>
          </w:p>
        </w:tc>
      </w:tr>
      <w:tr w:rsidR="00FA45B3" w:rsidRPr="0033000E" w14:paraId="36E1C8BA" w14:textId="77777777" w:rsidTr="00D84AFC">
        <w:trPr>
          <w:jc w:val="center"/>
        </w:trPr>
        <w:tc>
          <w:tcPr>
            <w:tcW w:w="16021" w:type="dxa"/>
            <w:gridSpan w:val="3"/>
            <w:vAlign w:val="center"/>
          </w:tcPr>
          <w:p w14:paraId="31FC4B4E" w14:textId="4FFA6756" w:rsidR="00FA45B3" w:rsidRPr="0033000E" w:rsidRDefault="00FA45B3" w:rsidP="00FA45B3">
            <w:pPr>
              <w:jc w:val="center"/>
              <w:rPr>
                <w:rFonts w:ascii="Times New Roman" w:eastAsia="Times New Roman" w:hAnsi="Times New Roman" w:cs="Times New Roman"/>
                <w:b/>
                <w:color w:val="000000" w:themeColor="text1"/>
                <w:sz w:val="24"/>
                <w:szCs w:val="24"/>
                <w:lang w:val="uk-UA" w:eastAsia="uk-UA"/>
              </w:rPr>
            </w:pPr>
            <w:bookmarkStart w:id="4" w:name="_Hlk198641801"/>
            <w:r w:rsidRPr="0033000E">
              <w:rPr>
                <w:rFonts w:ascii="Times New Roman" w:hAnsi="Times New Roman" w:cs="Times New Roman"/>
                <w:b/>
                <w:sz w:val="24"/>
                <w:szCs w:val="20"/>
                <w:lang w:val="uk-UA"/>
              </w:rPr>
              <w:lastRenderedPageBreak/>
              <w:t>VII. Стимулювання оператора газосховища до підвищення ефективності операційної діяльності</w:t>
            </w:r>
            <w:bookmarkEnd w:id="4"/>
          </w:p>
        </w:tc>
      </w:tr>
      <w:tr w:rsidR="00FA45B3" w:rsidRPr="0033000E" w14:paraId="4F1D8024" w14:textId="77777777" w:rsidTr="00E46922">
        <w:trPr>
          <w:jc w:val="center"/>
        </w:trPr>
        <w:tc>
          <w:tcPr>
            <w:tcW w:w="6377" w:type="dxa"/>
          </w:tcPr>
          <w:p w14:paraId="3B8A3292" w14:textId="77777777" w:rsidR="00E46922" w:rsidRPr="0033000E" w:rsidRDefault="00E46922" w:rsidP="00E46922">
            <w:pPr>
              <w:pStyle w:val="2"/>
              <w:contextualSpacing/>
              <w:jc w:val="both"/>
              <w:rPr>
                <w:iCs/>
                <w:color w:val="000000" w:themeColor="text1"/>
                <w:sz w:val="24"/>
                <w:szCs w:val="24"/>
                <w:shd w:val="clear" w:color="auto" w:fill="FFFFFF"/>
                <w:lang w:val="uk-UA"/>
              </w:rPr>
            </w:pPr>
          </w:p>
          <w:p w14:paraId="323DE423" w14:textId="77777777" w:rsidR="00E46922" w:rsidRPr="0033000E" w:rsidRDefault="00E46922" w:rsidP="00E46922">
            <w:pPr>
              <w:pStyle w:val="2"/>
              <w:contextualSpacing/>
              <w:jc w:val="both"/>
              <w:rPr>
                <w:iCs/>
                <w:color w:val="000000" w:themeColor="text1"/>
                <w:sz w:val="24"/>
                <w:szCs w:val="24"/>
                <w:shd w:val="clear" w:color="auto" w:fill="FFFFFF"/>
                <w:lang w:val="uk-UA"/>
              </w:rPr>
            </w:pPr>
          </w:p>
          <w:p w14:paraId="12F59B3A" w14:textId="3FC2E0FB" w:rsidR="00FA45B3" w:rsidRPr="0033000E" w:rsidRDefault="00FA45B3" w:rsidP="00E46922">
            <w:pPr>
              <w:pStyle w:val="2"/>
              <w:contextualSpacing/>
              <w:jc w:val="both"/>
              <w:rPr>
                <w:iCs/>
                <w:color w:val="000000" w:themeColor="text1"/>
                <w:sz w:val="24"/>
                <w:szCs w:val="24"/>
                <w:shd w:val="clear" w:color="auto" w:fill="FFFFFF"/>
                <w:lang w:val="uk-UA"/>
              </w:rPr>
            </w:pPr>
            <w:r w:rsidRPr="0033000E">
              <w:rPr>
                <w:iCs/>
                <w:color w:val="000000" w:themeColor="text1"/>
                <w:sz w:val="24"/>
                <w:szCs w:val="24"/>
                <w:shd w:val="clear" w:color="auto" w:fill="FFFFFF"/>
                <w:lang w:val="uk-UA"/>
              </w:rPr>
              <w:t>Оператор газосховища має право використовувати тарифну виручку, отриману за рахунок економії коштів, що пов’язана з оптимізацією штату працівників, безпосередньо задіяних при здійсненні діяльності із зберігання (закачування, відбору) природного газу, та зменшенням фактичних обсягів ВТВ порівняно з врахованими при визначенні та розрахунку тарифів на послуги зберігання (закачування, відбору) природного газу з урахуванням положень розділу VI цієї Методики та Методики визначення сум додатково отриманого або недоотриманого доходу від здійснення діяльності із зберігання (закачування, відбору) природного газу, 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 428.</w:t>
            </w:r>
          </w:p>
        </w:tc>
        <w:tc>
          <w:tcPr>
            <w:tcW w:w="5957" w:type="dxa"/>
          </w:tcPr>
          <w:p w14:paraId="1FD599D8" w14:textId="77777777" w:rsidR="00DE050E" w:rsidRPr="0033000E" w:rsidRDefault="00DE050E" w:rsidP="00DE050E">
            <w:pPr>
              <w:tabs>
                <w:tab w:val="left" w:pos="1185"/>
              </w:tabs>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t>Пропозиція АТ «Укртрансгаз»</w:t>
            </w:r>
          </w:p>
          <w:p w14:paraId="02EB81A6" w14:textId="77777777" w:rsidR="00DE050E" w:rsidRPr="0033000E" w:rsidRDefault="00DE050E" w:rsidP="00FA45B3">
            <w:pPr>
              <w:tabs>
                <w:tab w:val="left" w:pos="1185"/>
              </w:tabs>
              <w:rPr>
                <w:rFonts w:ascii="Times New Roman" w:hAnsi="Times New Roman" w:cs="Times New Roman"/>
                <w:bCs/>
                <w:sz w:val="24"/>
                <w:szCs w:val="24"/>
                <w:lang w:val="uk-UA"/>
              </w:rPr>
            </w:pPr>
          </w:p>
          <w:p w14:paraId="17F01481" w14:textId="77777777" w:rsidR="00FA45B3" w:rsidRPr="0033000E" w:rsidRDefault="00FA45B3" w:rsidP="00DE050E">
            <w:pPr>
              <w:tabs>
                <w:tab w:val="left" w:pos="1185"/>
              </w:tabs>
              <w:jc w:val="both"/>
              <w:rPr>
                <w:rFonts w:ascii="Times New Roman" w:hAnsi="Times New Roman" w:cs="Times New Roman"/>
                <w:bCs/>
                <w:sz w:val="24"/>
                <w:szCs w:val="24"/>
                <w:lang w:val="uk-UA"/>
              </w:rPr>
            </w:pPr>
            <w:r w:rsidRPr="0033000E">
              <w:rPr>
                <w:rFonts w:ascii="Times New Roman" w:hAnsi="Times New Roman" w:cs="Times New Roman"/>
                <w:bCs/>
                <w:sz w:val="24"/>
                <w:szCs w:val="24"/>
                <w:lang w:val="uk-UA"/>
              </w:rPr>
              <w:t xml:space="preserve">Оператор газосховища має право використовувати тарифну виручку, отриману за рахунок економії </w:t>
            </w:r>
            <w:r w:rsidRPr="0033000E">
              <w:rPr>
                <w:rFonts w:ascii="Times New Roman" w:hAnsi="Times New Roman" w:cs="Times New Roman"/>
                <w:b/>
                <w:strike/>
                <w:sz w:val="24"/>
                <w:szCs w:val="24"/>
                <w:lang w:val="uk-UA"/>
              </w:rPr>
              <w:t>коштів</w:t>
            </w:r>
            <w:r w:rsidRPr="0033000E">
              <w:rPr>
                <w:rFonts w:ascii="Times New Roman" w:hAnsi="Times New Roman" w:cs="Times New Roman"/>
                <w:b/>
                <w:sz w:val="24"/>
                <w:szCs w:val="24"/>
                <w:lang w:val="uk-UA"/>
              </w:rPr>
              <w:t xml:space="preserve"> </w:t>
            </w:r>
            <w:r w:rsidRPr="0033000E">
              <w:rPr>
                <w:rFonts w:ascii="Times New Roman" w:hAnsi="Times New Roman" w:cs="Times New Roman"/>
                <w:b/>
                <w:sz w:val="24"/>
                <w:szCs w:val="24"/>
                <w:u w:val="single"/>
                <w:lang w:val="uk-UA"/>
              </w:rPr>
              <w:t>витрат</w:t>
            </w:r>
            <w:r w:rsidRPr="0033000E">
              <w:rPr>
                <w:rFonts w:ascii="Times New Roman" w:hAnsi="Times New Roman" w:cs="Times New Roman"/>
                <w:bCs/>
                <w:sz w:val="24"/>
                <w:szCs w:val="24"/>
                <w:lang w:val="uk-UA"/>
              </w:rPr>
              <w:t>, що пов’язана з оптимізацією штату працівників, безпосередньо задіяних при здійсненні діяльності із зберігання (закачування, відбору) природного газу, та зменшенням фактичних обсягів ВТВ порівняно з врахованими при визначенні та розрахунку тарифів на послуги зберігання (закачування, відбору) природного газу з урахуванням положень розділу VI цієї Методики та Методики визначення сум додатково отриманого або недоотриманого доходу від здійснення діяльності із зберігання (закачування, відбору) природного газу, 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 428.</w:t>
            </w:r>
          </w:p>
          <w:p w14:paraId="6AAC4E02" w14:textId="3A939530" w:rsidR="00A9784D" w:rsidRDefault="00A9784D" w:rsidP="00DE050E">
            <w:pPr>
              <w:tabs>
                <w:tab w:val="left" w:pos="1185"/>
              </w:tabs>
              <w:jc w:val="both"/>
              <w:rPr>
                <w:rFonts w:ascii="Times New Roman" w:hAnsi="Times New Roman" w:cs="Times New Roman"/>
                <w:b/>
                <w:sz w:val="24"/>
                <w:szCs w:val="24"/>
                <w:lang w:val="uk-UA"/>
              </w:rPr>
            </w:pPr>
          </w:p>
          <w:p w14:paraId="4ACF35F1" w14:textId="77777777" w:rsidR="00A021EB" w:rsidRDefault="00A021EB" w:rsidP="00DE050E">
            <w:pPr>
              <w:tabs>
                <w:tab w:val="left" w:pos="1185"/>
              </w:tabs>
              <w:jc w:val="both"/>
              <w:rPr>
                <w:rFonts w:ascii="Times New Roman" w:hAnsi="Times New Roman" w:cs="Times New Roman"/>
                <w:b/>
                <w:sz w:val="24"/>
                <w:szCs w:val="24"/>
                <w:lang w:val="uk-UA"/>
              </w:rPr>
            </w:pPr>
          </w:p>
          <w:p w14:paraId="0BD14482" w14:textId="71C9ED94" w:rsidR="00DE050E" w:rsidRPr="0033000E" w:rsidRDefault="00A9784D" w:rsidP="00DE050E">
            <w:pPr>
              <w:tabs>
                <w:tab w:val="left" w:pos="1185"/>
              </w:tabs>
              <w:jc w:val="both"/>
              <w:rPr>
                <w:rFonts w:ascii="Times New Roman" w:hAnsi="Times New Roman" w:cs="Times New Roman"/>
                <w:b/>
                <w:sz w:val="24"/>
                <w:szCs w:val="24"/>
                <w:lang w:val="uk-UA"/>
              </w:rPr>
            </w:pPr>
            <w:r w:rsidRPr="0033000E">
              <w:rPr>
                <w:rFonts w:ascii="Times New Roman" w:hAnsi="Times New Roman" w:cs="Times New Roman"/>
                <w:b/>
                <w:sz w:val="24"/>
                <w:szCs w:val="24"/>
                <w:lang w:val="uk-UA"/>
              </w:rPr>
              <w:lastRenderedPageBreak/>
              <w:t>Обґрунтування</w:t>
            </w:r>
          </w:p>
          <w:p w14:paraId="763DF01D" w14:textId="77777777" w:rsidR="00DE050E" w:rsidRPr="0033000E" w:rsidRDefault="00DE050E" w:rsidP="00DE050E">
            <w:pPr>
              <w:pStyle w:val="rvps2"/>
              <w:shd w:val="clear" w:color="auto" w:fill="FFFFFF"/>
              <w:spacing w:before="0" w:beforeAutospacing="0" w:after="120" w:afterAutospacing="0"/>
              <w:ind w:firstLine="448"/>
              <w:contextualSpacing/>
              <w:jc w:val="both"/>
              <w:rPr>
                <w:spacing w:val="1"/>
                <w:lang w:val="uk-UA"/>
              </w:rPr>
            </w:pPr>
            <w:r w:rsidRPr="0033000E">
              <w:rPr>
                <w:spacing w:val="1"/>
                <w:lang w:val="uk-UA"/>
              </w:rPr>
              <w:t xml:space="preserve">Метою пропозицій є узгодження використаних термінів із практикою їх використання в інших нормативно-правових актах. </w:t>
            </w:r>
          </w:p>
          <w:p w14:paraId="41316DEA" w14:textId="77777777" w:rsidR="00DE050E" w:rsidRPr="0033000E" w:rsidRDefault="00DE050E" w:rsidP="00DE050E">
            <w:pPr>
              <w:pStyle w:val="rvps2"/>
              <w:shd w:val="clear" w:color="auto" w:fill="FFFFFF"/>
              <w:spacing w:before="0" w:beforeAutospacing="0" w:after="120" w:afterAutospacing="0"/>
              <w:ind w:firstLine="448"/>
              <w:contextualSpacing/>
              <w:jc w:val="both"/>
              <w:rPr>
                <w:spacing w:val="1"/>
                <w:lang w:val="uk-UA"/>
              </w:rPr>
            </w:pPr>
            <w:r w:rsidRPr="0033000E">
              <w:rPr>
                <w:spacing w:val="1"/>
                <w:lang w:val="uk-UA"/>
              </w:rPr>
              <w:t xml:space="preserve">Використання слова «кошти» доречне в контексті фінансування, розрахунків, платежів, але не є синонімом «витрат» у бухгалтерському розумінні. </w:t>
            </w:r>
          </w:p>
          <w:p w14:paraId="7350C53A" w14:textId="68D40193" w:rsidR="00DE050E" w:rsidRPr="0033000E" w:rsidRDefault="00DE050E" w:rsidP="006F2253">
            <w:pPr>
              <w:pStyle w:val="rvps2"/>
              <w:shd w:val="clear" w:color="auto" w:fill="FFFFFF"/>
              <w:spacing w:before="0" w:beforeAutospacing="0" w:after="120" w:afterAutospacing="0"/>
              <w:ind w:firstLine="448"/>
              <w:contextualSpacing/>
              <w:jc w:val="both"/>
              <w:rPr>
                <w:shd w:val="clear" w:color="auto" w:fill="FFFFFF"/>
                <w:lang w:val="uk-UA"/>
              </w:rPr>
            </w:pPr>
            <w:r w:rsidRPr="0033000E">
              <w:rPr>
                <w:spacing w:val="1"/>
                <w:lang w:val="uk-UA"/>
              </w:rPr>
              <w:t>Крім того, формулювання «витрати на оплату праці» є стандартизованим терміном бухгалтерського обліку (форма звітності № 2 – витрати на оплату праці).</w:t>
            </w:r>
          </w:p>
        </w:tc>
        <w:tc>
          <w:tcPr>
            <w:tcW w:w="3687" w:type="dxa"/>
          </w:tcPr>
          <w:p w14:paraId="02077E2D" w14:textId="2756A321" w:rsidR="00E46922" w:rsidRPr="0033000E" w:rsidRDefault="00E46922" w:rsidP="009D1B15">
            <w:pPr>
              <w:ind w:firstLine="309"/>
              <w:jc w:val="both"/>
              <w:rPr>
                <w:rFonts w:ascii="Times New Roman" w:eastAsia="Times New Roman" w:hAnsi="Times New Roman" w:cs="Times New Roman"/>
                <w:b/>
                <w:color w:val="000000" w:themeColor="text1"/>
                <w:sz w:val="24"/>
                <w:szCs w:val="24"/>
                <w:lang w:val="uk-UA" w:eastAsia="uk-UA"/>
              </w:rPr>
            </w:pPr>
            <w:r w:rsidRPr="0033000E">
              <w:rPr>
                <w:rFonts w:ascii="Times New Roman" w:eastAsia="Times New Roman" w:hAnsi="Times New Roman" w:cs="Times New Roman"/>
                <w:b/>
                <w:color w:val="000000" w:themeColor="text1"/>
                <w:sz w:val="24"/>
                <w:szCs w:val="24"/>
                <w:lang w:val="uk-UA" w:eastAsia="uk-UA"/>
              </w:rPr>
              <w:lastRenderedPageBreak/>
              <w:t>Попередньо відхилено</w:t>
            </w:r>
          </w:p>
          <w:p w14:paraId="74802A2F" w14:textId="77777777" w:rsidR="00E46922" w:rsidRPr="0033000E" w:rsidRDefault="00E46922" w:rsidP="009D1B15">
            <w:pPr>
              <w:ind w:firstLine="309"/>
              <w:jc w:val="both"/>
              <w:rPr>
                <w:rFonts w:ascii="Times New Roman" w:eastAsia="Times New Roman" w:hAnsi="Times New Roman" w:cs="Times New Roman"/>
                <w:b/>
                <w:color w:val="000000" w:themeColor="text1"/>
                <w:sz w:val="24"/>
                <w:szCs w:val="24"/>
                <w:lang w:val="uk-UA" w:eastAsia="uk-UA"/>
              </w:rPr>
            </w:pPr>
          </w:p>
          <w:p w14:paraId="1C3AA998" w14:textId="77777777" w:rsidR="00DB4C24" w:rsidRPr="0033000E" w:rsidRDefault="00DB4C24" w:rsidP="009D1B15">
            <w:pPr>
              <w:ind w:firstLine="309"/>
              <w:jc w:val="both"/>
              <w:rPr>
                <w:rFonts w:ascii="Times New Roman" w:eastAsia="Times New Roman" w:hAnsi="Times New Roman" w:cs="Times New Roman"/>
                <w:bCs/>
                <w:color w:val="000000" w:themeColor="text1"/>
                <w:sz w:val="24"/>
                <w:szCs w:val="24"/>
                <w:lang w:val="uk-UA" w:eastAsia="uk-UA"/>
              </w:rPr>
            </w:pPr>
            <w:r w:rsidRPr="0033000E">
              <w:rPr>
                <w:rFonts w:ascii="Times New Roman" w:eastAsia="Times New Roman" w:hAnsi="Times New Roman" w:cs="Times New Roman"/>
                <w:bCs/>
                <w:color w:val="000000" w:themeColor="text1"/>
                <w:sz w:val="24"/>
                <w:szCs w:val="24"/>
                <w:lang w:val="uk-UA" w:eastAsia="uk-UA"/>
              </w:rPr>
              <w:t xml:space="preserve">Термін «економія коштів» є економічно </w:t>
            </w:r>
            <w:r>
              <w:rPr>
                <w:rFonts w:ascii="Times New Roman" w:eastAsia="Times New Roman" w:hAnsi="Times New Roman" w:cs="Times New Roman"/>
                <w:bCs/>
                <w:color w:val="000000" w:themeColor="text1"/>
                <w:sz w:val="24"/>
                <w:szCs w:val="24"/>
                <w:lang w:val="uk-UA" w:eastAsia="uk-UA"/>
              </w:rPr>
              <w:t>узгодженим</w:t>
            </w:r>
            <w:r w:rsidRPr="0033000E">
              <w:rPr>
                <w:rFonts w:ascii="Times New Roman" w:eastAsia="Times New Roman" w:hAnsi="Times New Roman" w:cs="Times New Roman"/>
                <w:bCs/>
                <w:color w:val="000000" w:themeColor="text1"/>
                <w:sz w:val="24"/>
                <w:szCs w:val="24"/>
                <w:lang w:val="uk-UA" w:eastAsia="uk-UA"/>
              </w:rPr>
              <w:t xml:space="preserve">, оскільки відображає фактичне вивільнення фінансових ресурсів, що виникає внаслідок зниження рівня витрат порівняно з плановими (тарифними) показниками. </w:t>
            </w:r>
          </w:p>
          <w:p w14:paraId="1188E6F7" w14:textId="77777777" w:rsidR="00DB4C24" w:rsidRPr="0033000E" w:rsidRDefault="00DB4C24" w:rsidP="009D1B15">
            <w:pPr>
              <w:ind w:firstLine="309"/>
              <w:jc w:val="both"/>
              <w:rPr>
                <w:rFonts w:ascii="Times New Roman" w:eastAsia="Times New Roman" w:hAnsi="Times New Roman" w:cs="Times New Roman"/>
                <w:bCs/>
                <w:color w:val="000000" w:themeColor="text1"/>
                <w:sz w:val="24"/>
                <w:szCs w:val="24"/>
                <w:lang w:val="uk-UA" w:eastAsia="uk-UA"/>
              </w:rPr>
            </w:pPr>
            <w:r w:rsidRPr="0033000E">
              <w:rPr>
                <w:rFonts w:ascii="Times New Roman" w:eastAsia="Times New Roman" w:hAnsi="Times New Roman" w:cs="Times New Roman"/>
                <w:bCs/>
                <w:color w:val="000000" w:themeColor="text1"/>
                <w:sz w:val="24"/>
                <w:szCs w:val="24"/>
                <w:lang w:val="uk-UA" w:eastAsia="uk-UA"/>
              </w:rPr>
              <w:t>Слід зазначити, що зміни в Проєкті постанови забезпечать унормування положень Методики № 1131 з положеннями Методики</w:t>
            </w:r>
            <w:r>
              <w:rPr>
                <w:rFonts w:ascii="Times New Roman" w:eastAsia="Times New Roman" w:hAnsi="Times New Roman" w:cs="Times New Roman"/>
                <w:bCs/>
                <w:color w:val="000000" w:themeColor="text1"/>
                <w:sz w:val="24"/>
                <w:szCs w:val="24"/>
                <w:lang w:val="uk-UA" w:eastAsia="uk-UA"/>
              </w:rPr>
              <w:t xml:space="preserve"> Порядку контролю</w:t>
            </w:r>
            <w:r w:rsidRPr="0033000E">
              <w:rPr>
                <w:rFonts w:ascii="Times New Roman" w:eastAsia="Times New Roman" w:hAnsi="Times New Roman" w:cs="Times New Roman"/>
                <w:bCs/>
                <w:color w:val="000000" w:themeColor="text1"/>
                <w:sz w:val="24"/>
                <w:szCs w:val="24"/>
                <w:lang w:val="uk-UA" w:eastAsia="uk-UA"/>
              </w:rPr>
              <w:t>.</w:t>
            </w:r>
          </w:p>
          <w:p w14:paraId="73DF42DC" w14:textId="58426F8F" w:rsidR="00E46922" w:rsidRPr="0033000E" w:rsidRDefault="00E46922" w:rsidP="009D1B15">
            <w:pPr>
              <w:ind w:firstLine="309"/>
              <w:jc w:val="both"/>
              <w:rPr>
                <w:rFonts w:ascii="Times New Roman" w:eastAsia="Times New Roman" w:hAnsi="Times New Roman" w:cs="Times New Roman"/>
                <w:bCs/>
                <w:color w:val="000000" w:themeColor="text1"/>
                <w:sz w:val="24"/>
                <w:szCs w:val="24"/>
                <w:lang w:val="uk-UA" w:eastAsia="uk-UA"/>
              </w:rPr>
            </w:pPr>
          </w:p>
          <w:p w14:paraId="7CAB3502" w14:textId="77777777" w:rsidR="00FA45B3" w:rsidRPr="0033000E" w:rsidRDefault="00FA45B3" w:rsidP="009D1B15">
            <w:pPr>
              <w:ind w:firstLine="309"/>
              <w:jc w:val="both"/>
              <w:rPr>
                <w:rFonts w:ascii="Times New Roman" w:eastAsia="Times New Roman" w:hAnsi="Times New Roman" w:cs="Times New Roman"/>
                <w:b/>
                <w:color w:val="000000" w:themeColor="text1"/>
                <w:sz w:val="24"/>
                <w:szCs w:val="24"/>
                <w:lang w:val="uk-UA" w:eastAsia="uk-UA"/>
              </w:rPr>
            </w:pPr>
          </w:p>
        </w:tc>
      </w:tr>
      <w:tr w:rsidR="00DE050E" w:rsidRPr="0033000E" w14:paraId="58FD049F" w14:textId="77777777" w:rsidTr="002C166D">
        <w:trPr>
          <w:jc w:val="center"/>
        </w:trPr>
        <w:tc>
          <w:tcPr>
            <w:tcW w:w="6377" w:type="dxa"/>
            <w:vAlign w:val="center"/>
          </w:tcPr>
          <w:p w14:paraId="52943786" w14:textId="67D6BF94" w:rsidR="00DE050E" w:rsidRPr="0033000E" w:rsidRDefault="00DE050E" w:rsidP="00A34E68">
            <w:pPr>
              <w:pStyle w:val="2"/>
              <w:ind w:firstLine="709"/>
              <w:contextualSpacing/>
              <w:jc w:val="both"/>
              <w:rPr>
                <w:iCs/>
                <w:color w:val="000000" w:themeColor="text1"/>
                <w:sz w:val="24"/>
                <w:szCs w:val="24"/>
                <w:shd w:val="clear" w:color="auto" w:fill="FFFFFF"/>
                <w:lang w:val="uk-UA"/>
              </w:rPr>
            </w:pPr>
            <w:r w:rsidRPr="0033000E">
              <w:rPr>
                <w:iCs/>
                <w:color w:val="000000" w:themeColor="text1"/>
                <w:sz w:val="24"/>
                <w:szCs w:val="24"/>
                <w:shd w:val="clear" w:color="auto" w:fill="FFFFFF"/>
                <w:lang w:val="uk-UA"/>
              </w:rPr>
              <w:lastRenderedPageBreak/>
              <w:t>Пункт відсутній</w:t>
            </w:r>
          </w:p>
        </w:tc>
        <w:tc>
          <w:tcPr>
            <w:tcW w:w="5957" w:type="dxa"/>
          </w:tcPr>
          <w:p w14:paraId="0B13490E" w14:textId="77777777" w:rsidR="00DE050E" w:rsidRPr="0033000E" w:rsidRDefault="00DE050E" w:rsidP="00DE050E">
            <w:pPr>
              <w:tabs>
                <w:tab w:val="left" w:pos="1185"/>
              </w:tabs>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t>Пропозиція АТ «Укртрансгаз»</w:t>
            </w:r>
          </w:p>
          <w:p w14:paraId="0AD07096" w14:textId="0BAB1518" w:rsidR="00DE050E" w:rsidRPr="0033000E" w:rsidRDefault="00DE050E" w:rsidP="00DE050E">
            <w:pPr>
              <w:tabs>
                <w:tab w:val="left" w:pos="1185"/>
              </w:tabs>
              <w:rPr>
                <w:rFonts w:ascii="Times New Roman" w:hAnsi="Times New Roman" w:cs="Times New Roman"/>
                <w:sz w:val="24"/>
                <w:szCs w:val="24"/>
                <w:lang w:val="uk-UA"/>
              </w:rPr>
            </w:pPr>
            <w:r w:rsidRPr="0033000E">
              <w:rPr>
                <w:rFonts w:ascii="Times New Roman" w:hAnsi="Times New Roman" w:cs="Times New Roman"/>
                <w:sz w:val="24"/>
                <w:szCs w:val="24"/>
                <w:lang w:val="uk-UA"/>
              </w:rPr>
              <w:t xml:space="preserve">3. Оператор газосховища не має права зменшувати витрати, </w:t>
            </w:r>
            <w:r w:rsidRPr="0033000E">
              <w:rPr>
                <w:rFonts w:ascii="Times New Roman" w:hAnsi="Times New Roman" w:cs="Times New Roman"/>
                <w:b/>
                <w:bCs/>
                <w:strike/>
                <w:sz w:val="24"/>
                <w:szCs w:val="24"/>
                <w:lang w:val="uk-UA"/>
              </w:rPr>
              <w:t>пов’язані з фінансуванням фонду оплати</w:t>
            </w:r>
            <w:r w:rsidRPr="0033000E">
              <w:rPr>
                <w:rFonts w:ascii="Times New Roman" w:hAnsi="Times New Roman" w:cs="Times New Roman"/>
                <w:b/>
                <w:bCs/>
                <w:sz w:val="24"/>
                <w:szCs w:val="24"/>
                <w:lang w:val="uk-UA"/>
              </w:rPr>
              <w:t xml:space="preserve"> </w:t>
            </w:r>
            <w:r w:rsidRPr="0033000E">
              <w:rPr>
                <w:rFonts w:ascii="Times New Roman" w:hAnsi="Times New Roman" w:cs="Times New Roman"/>
                <w:b/>
                <w:bCs/>
                <w:sz w:val="24"/>
                <w:szCs w:val="24"/>
                <w:u w:val="single"/>
                <w:lang w:val="uk-UA"/>
              </w:rPr>
              <w:t>на оплату</w:t>
            </w:r>
            <w:r w:rsidRPr="0033000E">
              <w:rPr>
                <w:rFonts w:ascii="Times New Roman" w:hAnsi="Times New Roman" w:cs="Times New Roman"/>
                <w:sz w:val="24"/>
                <w:szCs w:val="24"/>
                <w:lang w:val="uk-UA"/>
              </w:rPr>
              <w:t xml:space="preserve">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встановленого НКРЕКП тарифу на базовий період.</w:t>
            </w:r>
          </w:p>
          <w:p w14:paraId="18AAAD2F" w14:textId="08729DD3" w:rsidR="00DE050E" w:rsidRPr="0033000E" w:rsidRDefault="00DE050E" w:rsidP="00DE050E">
            <w:pPr>
              <w:tabs>
                <w:tab w:val="left" w:pos="1185"/>
              </w:tabs>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t>Обґрунтування</w:t>
            </w:r>
          </w:p>
          <w:p w14:paraId="66C2B31F" w14:textId="77777777" w:rsidR="00DE050E" w:rsidRPr="0033000E" w:rsidRDefault="00DE050E" w:rsidP="00DE050E">
            <w:pPr>
              <w:pStyle w:val="rvps2"/>
              <w:shd w:val="clear" w:color="auto" w:fill="FFFFFF"/>
              <w:spacing w:before="0" w:beforeAutospacing="0" w:after="120" w:afterAutospacing="0"/>
              <w:ind w:firstLine="448"/>
              <w:contextualSpacing/>
              <w:jc w:val="both"/>
              <w:rPr>
                <w:spacing w:val="1"/>
                <w:lang w:val="uk-UA"/>
              </w:rPr>
            </w:pPr>
            <w:r w:rsidRPr="0033000E">
              <w:rPr>
                <w:spacing w:val="1"/>
                <w:lang w:val="uk-UA"/>
              </w:rPr>
              <w:t xml:space="preserve">Метою пропозицій є узгодження використаних термінів із практикою їх використання в інших нормативно-правових актах. </w:t>
            </w:r>
          </w:p>
          <w:p w14:paraId="565E9E4D" w14:textId="77777777" w:rsidR="00DE050E" w:rsidRPr="0033000E" w:rsidRDefault="00DE050E" w:rsidP="00DE050E">
            <w:pPr>
              <w:pStyle w:val="rvps2"/>
              <w:shd w:val="clear" w:color="auto" w:fill="FFFFFF"/>
              <w:spacing w:before="0" w:beforeAutospacing="0" w:after="120" w:afterAutospacing="0"/>
              <w:ind w:firstLine="448"/>
              <w:contextualSpacing/>
              <w:jc w:val="both"/>
              <w:rPr>
                <w:spacing w:val="1"/>
                <w:lang w:val="uk-UA"/>
              </w:rPr>
            </w:pPr>
            <w:r w:rsidRPr="0033000E">
              <w:rPr>
                <w:spacing w:val="1"/>
                <w:lang w:val="uk-UA"/>
              </w:rPr>
              <w:t>Формулювання «витрати на оплату праці» є стандартизованим терміном бухгалтерського обліку (форма звітності № 2 – витрати на оплату праці).</w:t>
            </w:r>
          </w:p>
          <w:p w14:paraId="1B22FBCE" w14:textId="3A4B2D6C" w:rsidR="00DE050E" w:rsidRPr="0033000E" w:rsidRDefault="00DE050E" w:rsidP="00DE050E">
            <w:pPr>
              <w:tabs>
                <w:tab w:val="left" w:pos="1185"/>
              </w:tabs>
              <w:rPr>
                <w:rFonts w:ascii="Times New Roman" w:hAnsi="Times New Roman" w:cs="Times New Roman"/>
                <w:b/>
                <w:bCs/>
                <w:iCs/>
                <w:color w:val="000000" w:themeColor="text1"/>
                <w:sz w:val="24"/>
                <w:szCs w:val="24"/>
                <w:shd w:val="clear" w:color="auto" w:fill="FFFFFF"/>
                <w:lang w:val="uk-UA"/>
              </w:rPr>
            </w:pPr>
          </w:p>
        </w:tc>
        <w:tc>
          <w:tcPr>
            <w:tcW w:w="3687" w:type="dxa"/>
          </w:tcPr>
          <w:p w14:paraId="516143E8" w14:textId="60BBEEEE" w:rsidR="00E46922" w:rsidRPr="0033000E" w:rsidRDefault="0069316C" w:rsidP="009D1B15">
            <w:pPr>
              <w:ind w:firstLine="309"/>
              <w:jc w:val="both"/>
              <w:rPr>
                <w:rFonts w:ascii="Times New Roman" w:eastAsia="Times New Roman" w:hAnsi="Times New Roman" w:cs="Times New Roman"/>
                <w:b/>
                <w:color w:val="000000" w:themeColor="text1"/>
                <w:sz w:val="24"/>
                <w:szCs w:val="24"/>
                <w:lang w:val="uk-UA" w:eastAsia="uk-UA"/>
              </w:rPr>
            </w:pPr>
            <w:r w:rsidRPr="0033000E">
              <w:rPr>
                <w:rFonts w:ascii="Times New Roman" w:eastAsia="Times New Roman" w:hAnsi="Times New Roman" w:cs="Times New Roman"/>
                <w:b/>
                <w:color w:val="000000" w:themeColor="text1"/>
                <w:sz w:val="24"/>
                <w:szCs w:val="24"/>
                <w:lang w:val="uk-UA" w:eastAsia="uk-UA"/>
              </w:rPr>
              <w:t>Попередньо відхилено</w:t>
            </w:r>
          </w:p>
          <w:p w14:paraId="1B76F38D" w14:textId="77777777" w:rsidR="00E46922" w:rsidRPr="0033000E" w:rsidRDefault="00E46922" w:rsidP="009D1B15">
            <w:pPr>
              <w:ind w:firstLine="309"/>
              <w:jc w:val="both"/>
              <w:rPr>
                <w:rFonts w:ascii="Times New Roman" w:eastAsia="Times New Roman" w:hAnsi="Times New Roman" w:cs="Times New Roman"/>
                <w:b/>
                <w:color w:val="000000" w:themeColor="text1"/>
                <w:sz w:val="24"/>
                <w:szCs w:val="24"/>
                <w:lang w:val="uk-UA" w:eastAsia="uk-UA"/>
              </w:rPr>
            </w:pPr>
          </w:p>
          <w:p w14:paraId="2822C56F" w14:textId="7E381A99" w:rsidR="00DE050E" w:rsidRPr="0033000E" w:rsidRDefault="0069316C" w:rsidP="009D1B15">
            <w:pPr>
              <w:ind w:firstLine="309"/>
              <w:jc w:val="both"/>
              <w:rPr>
                <w:rFonts w:ascii="Times New Roman" w:eastAsia="Times New Roman" w:hAnsi="Times New Roman" w:cs="Times New Roman"/>
                <w:b/>
                <w:color w:val="000000" w:themeColor="text1"/>
                <w:sz w:val="24"/>
                <w:szCs w:val="24"/>
                <w:lang w:val="uk-UA" w:eastAsia="uk-UA"/>
              </w:rPr>
            </w:pPr>
            <w:r w:rsidRPr="0033000E">
              <w:rPr>
                <w:rFonts w:ascii="Times New Roman" w:eastAsia="Times New Roman" w:hAnsi="Times New Roman" w:cs="Times New Roman"/>
                <w:bCs/>
                <w:sz w:val="24"/>
                <w:szCs w:val="24"/>
                <w:lang w:val="uk-UA" w:eastAsia="uk-UA"/>
              </w:rPr>
              <w:t xml:space="preserve">Зауваження стосуються положень чинної редакції Розділу VII Методики № 1131, які відповідно до проєкту постанови підлягають виключенню у зв’язку з викладенням зазначеного розділу в новій редакції. У зв’язку з цим такі зауваження </w:t>
            </w:r>
            <w:r w:rsidR="00DB4C24" w:rsidRPr="0033000E">
              <w:rPr>
                <w:rFonts w:ascii="Times New Roman" w:eastAsia="Times New Roman" w:hAnsi="Times New Roman" w:cs="Times New Roman"/>
                <w:bCs/>
                <w:sz w:val="24"/>
                <w:szCs w:val="24"/>
                <w:lang w:val="uk-UA" w:eastAsia="uk-UA"/>
              </w:rPr>
              <w:t>неактуальн</w:t>
            </w:r>
            <w:r w:rsidR="00DB4C24">
              <w:rPr>
                <w:rFonts w:ascii="Times New Roman" w:eastAsia="Times New Roman" w:hAnsi="Times New Roman" w:cs="Times New Roman"/>
                <w:bCs/>
                <w:sz w:val="24"/>
                <w:szCs w:val="24"/>
                <w:lang w:val="uk-UA" w:eastAsia="uk-UA"/>
              </w:rPr>
              <w:t>і</w:t>
            </w:r>
            <w:r w:rsidRPr="0033000E">
              <w:rPr>
                <w:rFonts w:ascii="Times New Roman" w:eastAsia="Times New Roman" w:hAnsi="Times New Roman" w:cs="Times New Roman"/>
                <w:bCs/>
                <w:sz w:val="24"/>
                <w:szCs w:val="24"/>
                <w:lang w:val="uk-UA" w:eastAsia="uk-UA"/>
              </w:rPr>
              <w:t>.</w:t>
            </w:r>
          </w:p>
        </w:tc>
      </w:tr>
      <w:tr w:rsidR="00DE050E" w:rsidRPr="0033000E" w14:paraId="1B53058D" w14:textId="77777777" w:rsidTr="002C166D">
        <w:trPr>
          <w:jc w:val="center"/>
        </w:trPr>
        <w:tc>
          <w:tcPr>
            <w:tcW w:w="6377" w:type="dxa"/>
            <w:vAlign w:val="center"/>
          </w:tcPr>
          <w:p w14:paraId="2FEF8107" w14:textId="1E1BD20C" w:rsidR="00DE050E" w:rsidRPr="0033000E" w:rsidRDefault="00DE050E" w:rsidP="00A34E68">
            <w:pPr>
              <w:pStyle w:val="2"/>
              <w:ind w:firstLine="709"/>
              <w:contextualSpacing/>
              <w:jc w:val="both"/>
              <w:rPr>
                <w:iCs/>
                <w:color w:val="000000" w:themeColor="text1"/>
                <w:sz w:val="24"/>
                <w:szCs w:val="24"/>
                <w:shd w:val="clear" w:color="auto" w:fill="FFFFFF"/>
                <w:lang w:val="uk-UA"/>
              </w:rPr>
            </w:pPr>
            <w:r w:rsidRPr="0033000E">
              <w:rPr>
                <w:iCs/>
                <w:color w:val="000000" w:themeColor="text1"/>
                <w:sz w:val="24"/>
                <w:szCs w:val="24"/>
                <w:shd w:val="clear" w:color="auto" w:fill="FFFFFF"/>
                <w:lang w:val="uk-UA"/>
              </w:rPr>
              <w:t>Пункт відсутній</w:t>
            </w:r>
          </w:p>
        </w:tc>
        <w:tc>
          <w:tcPr>
            <w:tcW w:w="5957" w:type="dxa"/>
          </w:tcPr>
          <w:p w14:paraId="3DB9FCFB" w14:textId="77777777" w:rsidR="00DE050E" w:rsidRPr="0033000E" w:rsidRDefault="00DE050E" w:rsidP="00DE050E">
            <w:pPr>
              <w:tabs>
                <w:tab w:val="left" w:pos="1185"/>
              </w:tabs>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t>Пропозиція АТ «Укртрансгаз»</w:t>
            </w:r>
          </w:p>
          <w:p w14:paraId="272E0EF9" w14:textId="77777777" w:rsidR="00DE050E" w:rsidRPr="0033000E" w:rsidRDefault="00DE050E" w:rsidP="00DE050E">
            <w:pPr>
              <w:tabs>
                <w:tab w:val="left" w:pos="1185"/>
              </w:tabs>
              <w:rPr>
                <w:rFonts w:ascii="Times New Roman" w:hAnsi="Times New Roman" w:cs="Times New Roman"/>
                <w:sz w:val="24"/>
                <w:szCs w:val="24"/>
                <w:lang w:val="uk-UA"/>
              </w:rPr>
            </w:pPr>
            <w:r w:rsidRPr="0033000E">
              <w:rPr>
                <w:rFonts w:ascii="Times New Roman" w:hAnsi="Times New Roman" w:cs="Times New Roman"/>
                <w:sz w:val="24"/>
                <w:szCs w:val="24"/>
                <w:lang w:val="uk-UA"/>
              </w:rPr>
              <w:t>4. Ліцензіат зобов’язаний надавати у разі такої економії до НКРЕКП інформацію щодо скорочення обсягів ВТВ та/або витрат на</w:t>
            </w:r>
            <w:r w:rsidRPr="0033000E">
              <w:rPr>
                <w:rFonts w:ascii="Times New Roman" w:hAnsi="Times New Roman" w:cs="Times New Roman"/>
                <w:b/>
                <w:bCs/>
                <w:strike/>
                <w:sz w:val="24"/>
                <w:szCs w:val="24"/>
                <w:lang w:val="uk-UA"/>
              </w:rPr>
              <w:t xml:space="preserve"> фінансування фонду оплати</w:t>
            </w:r>
            <w:r w:rsidRPr="0033000E">
              <w:rPr>
                <w:rFonts w:ascii="Times New Roman" w:hAnsi="Times New Roman" w:cs="Times New Roman"/>
                <w:sz w:val="24"/>
                <w:szCs w:val="24"/>
                <w:lang w:val="uk-UA"/>
              </w:rPr>
              <w:t xml:space="preserve"> </w:t>
            </w:r>
            <w:r w:rsidRPr="0033000E">
              <w:rPr>
                <w:rFonts w:ascii="Times New Roman" w:hAnsi="Times New Roman" w:cs="Times New Roman"/>
                <w:b/>
                <w:bCs/>
                <w:sz w:val="24"/>
                <w:szCs w:val="24"/>
                <w:u w:val="single"/>
                <w:lang w:val="uk-UA"/>
              </w:rPr>
              <w:t>оплату праці</w:t>
            </w:r>
            <w:r w:rsidRPr="0033000E">
              <w:rPr>
                <w:rFonts w:ascii="Times New Roman" w:hAnsi="Times New Roman" w:cs="Times New Roman"/>
                <w:sz w:val="24"/>
                <w:szCs w:val="24"/>
                <w:lang w:val="uk-UA"/>
              </w:rPr>
              <w:t xml:space="preserve"> та напрямів використання такої економії.</w:t>
            </w:r>
          </w:p>
          <w:p w14:paraId="2D013775" w14:textId="77777777" w:rsidR="00DE050E" w:rsidRPr="0033000E" w:rsidRDefault="00DE050E" w:rsidP="00DE050E">
            <w:pPr>
              <w:tabs>
                <w:tab w:val="left" w:pos="1185"/>
              </w:tabs>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t>Обґрунтування</w:t>
            </w:r>
          </w:p>
          <w:p w14:paraId="1D132CBF" w14:textId="77777777" w:rsidR="00DE050E" w:rsidRPr="0033000E" w:rsidRDefault="00DE050E" w:rsidP="00DE050E">
            <w:pPr>
              <w:tabs>
                <w:tab w:val="left" w:pos="1185"/>
              </w:tabs>
              <w:jc w:val="both"/>
              <w:rPr>
                <w:rFonts w:ascii="Times New Roman" w:hAnsi="Times New Roman" w:cs="Times New Roman"/>
                <w:iCs/>
                <w:color w:val="000000" w:themeColor="text1"/>
                <w:sz w:val="24"/>
                <w:szCs w:val="24"/>
                <w:shd w:val="clear" w:color="auto" w:fill="FFFFFF"/>
                <w:lang w:val="uk-UA"/>
              </w:rPr>
            </w:pPr>
            <w:r w:rsidRPr="0033000E">
              <w:rPr>
                <w:rFonts w:ascii="Times New Roman" w:hAnsi="Times New Roman" w:cs="Times New Roman"/>
                <w:iCs/>
                <w:color w:val="000000" w:themeColor="text1"/>
                <w:sz w:val="24"/>
                <w:szCs w:val="24"/>
                <w:shd w:val="clear" w:color="auto" w:fill="FFFFFF"/>
                <w:lang w:val="uk-UA"/>
              </w:rPr>
              <w:lastRenderedPageBreak/>
              <w:t xml:space="preserve">Метою пропозицій є узгодження використаних термінів із практикою їх використання в інших нормативно-правових актах. </w:t>
            </w:r>
          </w:p>
          <w:p w14:paraId="49FD4E61" w14:textId="77777777" w:rsidR="00DE050E" w:rsidRPr="0033000E" w:rsidRDefault="00DE050E" w:rsidP="00DE050E">
            <w:pPr>
              <w:tabs>
                <w:tab w:val="left" w:pos="1185"/>
              </w:tabs>
              <w:jc w:val="both"/>
              <w:rPr>
                <w:rFonts w:ascii="Times New Roman" w:hAnsi="Times New Roman" w:cs="Times New Roman"/>
                <w:iCs/>
                <w:color w:val="000000" w:themeColor="text1"/>
                <w:sz w:val="24"/>
                <w:szCs w:val="24"/>
                <w:shd w:val="clear" w:color="auto" w:fill="FFFFFF"/>
                <w:lang w:val="uk-UA"/>
              </w:rPr>
            </w:pPr>
            <w:r w:rsidRPr="0033000E">
              <w:rPr>
                <w:rFonts w:ascii="Times New Roman" w:hAnsi="Times New Roman" w:cs="Times New Roman"/>
                <w:iCs/>
                <w:color w:val="000000" w:themeColor="text1"/>
                <w:sz w:val="24"/>
                <w:szCs w:val="24"/>
                <w:shd w:val="clear" w:color="auto" w:fill="FFFFFF"/>
                <w:lang w:val="uk-UA"/>
              </w:rPr>
              <w:t>Формулювання «витрати на оплату праці» є стандартизованим терміном бухгалтерського обліку (форма звітності № 2 – витрати на оплату праці).</w:t>
            </w:r>
          </w:p>
          <w:p w14:paraId="521E7B13" w14:textId="0F8662CB" w:rsidR="00EC30B1" w:rsidRDefault="00EC30B1"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3188B780" w14:textId="64F4745A" w:rsidR="00DB4C24" w:rsidRDefault="00DB4C24"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11208C25" w14:textId="28AD2D0D" w:rsidR="00DB4C24" w:rsidRDefault="00DB4C24"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16A61BC0" w14:textId="7D8347EC" w:rsidR="00DB4C24" w:rsidRDefault="00DB4C24"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306B2B43" w14:textId="1A676D01" w:rsidR="00DB4C24" w:rsidRDefault="00DB4C24"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03D2CA07" w14:textId="77777777" w:rsidR="00EC30B1" w:rsidRPr="0033000E" w:rsidRDefault="00EC30B1"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4EBBF0A9" w14:textId="77777777" w:rsidR="00EC30B1" w:rsidRPr="0033000E" w:rsidRDefault="00EC30B1"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46054596" w14:textId="77777777" w:rsidR="00EC30B1" w:rsidRPr="0033000E" w:rsidRDefault="00EC30B1"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103BAB61" w14:textId="77777777" w:rsidR="00EC30B1" w:rsidRPr="0033000E" w:rsidRDefault="00EC30B1"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61607DE4" w14:textId="77777777" w:rsidR="00EC30B1" w:rsidRPr="0033000E" w:rsidRDefault="00EC30B1"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6BA9F619" w14:textId="77777777" w:rsidR="00EC30B1" w:rsidRPr="0033000E" w:rsidRDefault="00EC30B1"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78721874" w14:textId="77777777" w:rsidR="00EC30B1" w:rsidRPr="0033000E" w:rsidRDefault="00EC30B1"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2DBA2B2E" w14:textId="0A5540C9" w:rsidR="00EC30B1" w:rsidRDefault="00EC30B1"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03A31785" w14:textId="22C9FB25" w:rsidR="00A021EB"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39B48C44" w14:textId="5E75CDAA" w:rsidR="00A021EB"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685FDF1A" w14:textId="40FEDB50" w:rsidR="00A021EB"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0C305100" w14:textId="34A024AC" w:rsidR="00A021EB"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7EABB2BF" w14:textId="1BF5488B" w:rsidR="00A021EB"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2BECB96A" w14:textId="3391E4D6" w:rsidR="00A021EB"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7F04AA99" w14:textId="7111AD02" w:rsidR="00A021EB"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4E2728A0" w14:textId="4F4E688D" w:rsidR="00A021EB"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0E0DCEAE" w14:textId="42BE9A70" w:rsidR="00A021EB"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2537A17E" w14:textId="623B1A57" w:rsidR="00A021EB"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106E64F5" w14:textId="7623CD50" w:rsidR="00A021EB"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56886CBF" w14:textId="77777777" w:rsidR="00A021EB" w:rsidRPr="0033000E" w:rsidRDefault="00A021EB" w:rsidP="00DE050E">
            <w:pPr>
              <w:tabs>
                <w:tab w:val="left" w:pos="1185"/>
              </w:tabs>
              <w:jc w:val="both"/>
              <w:rPr>
                <w:rFonts w:ascii="Times New Roman" w:hAnsi="Times New Roman" w:cs="Times New Roman"/>
                <w:iCs/>
                <w:color w:val="000000" w:themeColor="text1"/>
                <w:sz w:val="24"/>
                <w:szCs w:val="24"/>
                <w:shd w:val="clear" w:color="auto" w:fill="FFFFFF"/>
                <w:lang w:val="uk-UA"/>
              </w:rPr>
            </w:pPr>
          </w:p>
          <w:p w14:paraId="1235B7EC" w14:textId="03A85D54" w:rsidR="00EC30B1" w:rsidRPr="0033000E" w:rsidRDefault="00EC30B1" w:rsidP="00DE050E">
            <w:pPr>
              <w:tabs>
                <w:tab w:val="left" w:pos="1185"/>
              </w:tabs>
              <w:jc w:val="both"/>
              <w:rPr>
                <w:rFonts w:ascii="Times New Roman" w:hAnsi="Times New Roman" w:cs="Times New Roman"/>
                <w:b/>
                <w:bCs/>
                <w:iCs/>
                <w:color w:val="000000" w:themeColor="text1"/>
                <w:sz w:val="24"/>
                <w:szCs w:val="24"/>
                <w:shd w:val="clear" w:color="auto" w:fill="FFFFFF"/>
                <w:lang w:val="uk-UA"/>
              </w:rPr>
            </w:pPr>
          </w:p>
        </w:tc>
        <w:tc>
          <w:tcPr>
            <w:tcW w:w="3687" w:type="dxa"/>
          </w:tcPr>
          <w:p w14:paraId="0C4D58B8" w14:textId="77777777" w:rsidR="0069316C" w:rsidRPr="0033000E" w:rsidRDefault="0069316C" w:rsidP="009D1B15">
            <w:pPr>
              <w:ind w:firstLine="309"/>
              <w:jc w:val="both"/>
              <w:rPr>
                <w:rFonts w:ascii="Times New Roman" w:eastAsia="Times New Roman" w:hAnsi="Times New Roman" w:cs="Times New Roman"/>
                <w:b/>
                <w:color w:val="000000" w:themeColor="text1"/>
                <w:sz w:val="24"/>
                <w:szCs w:val="24"/>
                <w:lang w:val="uk-UA" w:eastAsia="uk-UA"/>
              </w:rPr>
            </w:pPr>
            <w:r w:rsidRPr="0033000E">
              <w:rPr>
                <w:rFonts w:ascii="Times New Roman" w:eastAsia="Times New Roman" w:hAnsi="Times New Roman" w:cs="Times New Roman"/>
                <w:b/>
                <w:color w:val="000000" w:themeColor="text1"/>
                <w:sz w:val="24"/>
                <w:szCs w:val="24"/>
                <w:lang w:val="uk-UA" w:eastAsia="uk-UA"/>
              </w:rPr>
              <w:lastRenderedPageBreak/>
              <w:t>Попередньо відхилено</w:t>
            </w:r>
          </w:p>
          <w:p w14:paraId="0E5131CF" w14:textId="77777777" w:rsidR="0069316C" w:rsidRPr="0033000E" w:rsidRDefault="0069316C" w:rsidP="009D1B15">
            <w:pPr>
              <w:ind w:firstLine="309"/>
              <w:jc w:val="both"/>
              <w:rPr>
                <w:rFonts w:ascii="Times New Roman" w:eastAsia="Times New Roman" w:hAnsi="Times New Roman" w:cs="Times New Roman"/>
                <w:b/>
                <w:color w:val="000000" w:themeColor="text1"/>
                <w:sz w:val="24"/>
                <w:szCs w:val="24"/>
                <w:lang w:val="uk-UA" w:eastAsia="uk-UA"/>
              </w:rPr>
            </w:pPr>
          </w:p>
          <w:p w14:paraId="31DD8C10" w14:textId="37E0D0FA" w:rsidR="00DE050E" w:rsidRPr="0033000E" w:rsidRDefault="0069316C" w:rsidP="009D1B15">
            <w:pPr>
              <w:ind w:firstLine="309"/>
              <w:jc w:val="both"/>
              <w:rPr>
                <w:rFonts w:ascii="Times New Roman" w:eastAsia="Times New Roman" w:hAnsi="Times New Roman" w:cs="Times New Roman"/>
                <w:b/>
                <w:color w:val="000000" w:themeColor="text1"/>
                <w:sz w:val="24"/>
                <w:szCs w:val="24"/>
                <w:lang w:val="uk-UA" w:eastAsia="uk-UA"/>
              </w:rPr>
            </w:pPr>
            <w:r w:rsidRPr="0033000E">
              <w:rPr>
                <w:rFonts w:ascii="Times New Roman" w:eastAsia="Times New Roman" w:hAnsi="Times New Roman" w:cs="Times New Roman"/>
                <w:bCs/>
                <w:sz w:val="24"/>
                <w:szCs w:val="24"/>
                <w:lang w:val="uk-UA" w:eastAsia="uk-UA"/>
              </w:rPr>
              <w:t xml:space="preserve">Зауваження стосуються положень чинної редакції Розділу VII Методики № 1131, які відповідно до проєкту постанови </w:t>
            </w:r>
            <w:r w:rsidRPr="0033000E">
              <w:rPr>
                <w:rFonts w:ascii="Times New Roman" w:eastAsia="Times New Roman" w:hAnsi="Times New Roman" w:cs="Times New Roman"/>
                <w:bCs/>
                <w:sz w:val="24"/>
                <w:szCs w:val="24"/>
                <w:lang w:val="uk-UA" w:eastAsia="uk-UA"/>
              </w:rPr>
              <w:lastRenderedPageBreak/>
              <w:t xml:space="preserve">підлягають виключенню у зв’язку з викладенням зазначеного розділу в новій редакції. У зв’язку з цим такі зауваження </w:t>
            </w:r>
            <w:r w:rsidR="00DB4C24" w:rsidRPr="0033000E">
              <w:rPr>
                <w:rFonts w:ascii="Times New Roman" w:eastAsia="Times New Roman" w:hAnsi="Times New Roman" w:cs="Times New Roman"/>
                <w:bCs/>
                <w:sz w:val="24"/>
                <w:szCs w:val="24"/>
                <w:lang w:val="uk-UA" w:eastAsia="uk-UA"/>
              </w:rPr>
              <w:t>неактуальн</w:t>
            </w:r>
            <w:r w:rsidR="00DB4C24">
              <w:rPr>
                <w:rFonts w:ascii="Times New Roman" w:eastAsia="Times New Roman" w:hAnsi="Times New Roman" w:cs="Times New Roman"/>
                <w:bCs/>
                <w:sz w:val="24"/>
                <w:szCs w:val="24"/>
                <w:lang w:val="uk-UA" w:eastAsia="uk-UA"/>
              </w:rPr>
              <w:t>і</w:t>
            </w:r>
            <w:r w:rsidRPr="0033000E">
              <w:rPr>
                <w:rFonts w:ascii="Times New Roman" w:eastAsia="Times New Roman" w:hAnsi="Times New Roman" w:cs="Times New Roman"/>
                <w:bCs/>
                <w:sz w:val="24"/>
                <w:szCs w:val="24"/>
                <w:lang w:val="uk-UA" w:eastAsia="uk-UA"/>
              </w:rPr>
              <w:t>.</w:t>
            </w:r>
          </w:p>
        </w:tc>
      </w:tr>
      <w:tr w:rsidR="00DE050E" w:rsidRPr="0033000E" w14:paraId="0EA7E570" w14:textId="77777777" w:rsidTr="00AA7633">
        <w:trPr>
          <w:jc w:val="center"/>
        </w:trPr>
        <w:tc>
          <w:tcPr>
            <w:tcW w:w="16021" w:type="dxa"/>
            <w:gridSpan w:val="3"/>
            <w:vAlign w:val="center"/>
          </w:tcPr>
          <w:p w14:paraId="36FB105F" w14:textId="0F3D2DCF" w:rsidR="00DE050E" w:rsidRPr="0033000E" w:rsidRDefault="00DE050E" w:rsidP="00DE050E">
            <w:pPr>
              <w:pStyle w:val="rvps2"/>
              <w:shd w:val="clear" w:color="auto" w:fill="FFFFFF"/>
              <w:spacing w:before="0" w:beforeAutospacing="0" w:after="120" w:afterAutospacing="0"/>
              <w:ind w:firstLine="538"/>
              <w:contextualSpacing/>
              <w:jc w:val="center"/>
              <w:rPr>
                <w:b/>
                <w:szCs w:val="20"/>
                <w:lang w:val="uk-UA"/>
              </w:rPr>
            </w:pPr>
            <w:r w:rsidRPr="0033000E">
              <w:rPr>
                <w:b/>
                <w:szCs w:val="20"/>
                <w:lang w:val="uk-UA"/>
              </w:rPr>
              <w:lastRenderedPageBreak/>
              <w:t>Форма звітності № 7б-НКРЕКП-газ-моніторинг (квартальна) «Звіт про застосування тарифів на послуги зберігання (закачування, відбір) природного газу</w:t>
            </w:r>
          </w:p>
          <w:p w14:paraId="2D64CA0B" w14:textId="58AFDE55" w:rsidR="00DE050E" w:rsidRPr="0033000E" w:rsidRDefault="00DE050E" w:rsidP="00DE050E">
            <w:pPr>
              <w:jc w:val="center"/>
              <w:rPr>
                <w:rFonts w:ascii="Times New Roman" w:eastAsia="Times New Roman" w:hAnsi="Times New Roman" w:cs="Times New Roman"/>
                <w:b/>
                <w:color w:val="000000" w:themeColor="text1"/>
                <w:sz w:val="24"/>
                <w:szCs w:val="24"/>
                <w:lang w:val="uk-UA" w:eastAsia="uk-UA"/>
              </w:rPr>
            </w:pPr>
            <w:r w:rsidRPr="0033000E">
              <w:rPr>
                <w:rFonts w:ascii="Times New Roman" w:eastAsia="Times New Roman" w:hAnsi="Times New Roman" w:cs="Times New Roman"/>
                <w:sz w:val="24"/>
                <w:szCs w:val="20"/>
                <w:lang w:val="uk-UA" w:eastAsia="uk-UA"/>
              </w:rPr>
              <w:t>(постанова НКРЕКП від 07.07.2016  № 1234)</w:t>
            </w:r>
          </w:p>
        </w:tc>
      </w:tr>
      <w:tr w:rsidR="00DE050E" w:rsidRPr="0033000E" w14:paraId="3A3999B0" w14:textId="77777777" w:rsidTr="002C166D">
        <w:trPr>
          <w:jc w:val="center"/>
        </w:trPr>
        <w:tc>
          <w:tcPr>
            <w:tcW w:w="6377" w:type="dxa"/>
            <w:vAlign w:val="center"/>
          </w:tcPr>
          <w:p w14:paraId="382A8F0A" w14:textId="1EF2A603" w:rsidR="00DE050E" w:rsidRPr="0033000E" w:rsidRDefault="00DE050E" w:rsidP="009D1B15">
            <w:pPr>
              <w:pStyle w:val="2"/>
              <w:ind w:firstLine="22"/>
              <w:contextualSpacing/>
              <w:jc w:val="center"/>
              <w:rPr>
                <w:iCs/>
                <w:color w:val="000000" w:themeColor="text1"/>
                <w:sz w:val="24"/>
                <w:szCs w:val="24"/>
                <w:shd w:val="clear" w:color="auto" w:fill="FFFFFF"/>
                <w:lang w:val="uk-UA"/>
              </w:rPr>
            </w:pPr>
            <w:r w:rsidRPr="0033000E">
              <w:rPr>
                <w:noProof/>
                <w:szCs w:val="20"/>
                <w:lang w:val="uk-UA"/>
              </w:rPr>
              <w:drawing>
                <wp:inline distT="0" distB="0" distL="0" distR="0" wp14:anchorId="02C20700" wp14:editId="51839D6A">
                  <wp:extent cx="3714750" cy="5129136"/>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36097" cy="5158611"/>
                          </a:xfrm>
                          <a:prstGeom prst="rect">
                            <a:avLst/>
                          </a:prstGeom>
                          <a:noFill/>
                          <a:ln>
                            <a:noFill/>
                          </a:ln>
                        </pic:spPr>
                      </pic:pic>
                    </a:graphicData>
                  </a:graphic>
                </wp:inline>
              </w:drawing>
            </w:r>
          </w:p>
          <w:p w14:paraId="53BE578F" w14:textId="77777777" w:rsidR="00DE050E" w:rsidRPr="0033000E" w:rsidRDefault="00DE050E" w:rsidP="00DE050E">
            <w:pPr>
              <w:pStyle w:val="rvps2"/>
              <w:shd w:val="clear" w:color="auto" w:fill="FFFFFF"/>
              <w:spacing w:before="0" w:beforeAutospacing="0" w:after="120" w:afterAutospacing="0"/>
              <w:jc w:val="right"/>
              <w:rPr>
                <w:noProof/>
                <w:sz w:val="22"/>
                <w:szCs w:val="18"/>
                <w:lang w:val="uk-UA"/>
              </w:rPr>
            </w:pPr>
            <w:r w:rsidRPr="0033000E">
              <w:rPr>
                <w:noProof/>
                <w:sz w:val="22"/>
                <w:szCs w:val="18"/>
                <w:lang w:val="uk-UA"/>
              </w:rPr>
              <w:lastRenderedPageBreak/>
              <w:t>Продовження Форми №7б</w:t>
            </w:r>
          </w:p>
          <w:p w14:paraId="0BAD5860" w14:textId="0BF752CF" w:rsidR="00DE050E" w:rsidRPr="0033000E" w:rsidRDefault="00DE050E" w:rsidP="009D1B15">
            <w:pPr>
              <w:pStyle w:val="2"/>
              <w:ind w:firstLine="22"/>
              <w:contextualSpacing/>
              <w:rPr>
                <w:iCs/>
                <w:color w:val="000000" w:themeColor="text1"/>
                <w:sz w:val="24"/>
                <w:szCs w:val="24"/>
                <w:shd w:val="clear" w:color="auto" w:fill="FFFFFF"/>
                <w:lang w:val="uk-UA"/>
              </w:rPr>
            </w:pPr>
            <w:r w:rsidRPr="0033000E">
              <w:rPr>
                <w:noProof/>
                <w:lang w:val="uk-UA"/>
              </w:rPr>
              <w:drawing>
                <wp:inline distT="0" distB="0" distL="0" distR="0" wp14:anchorId="2A3074E4" wp14:editId="5BAF1230">
                  <wp:extent cx="3819525" cy="2473921"/>
                  <wp:effectExtent l="0" t="0" r="0" b="3175"/>
                  <wp:docPr id="3" name="Рисунок 2">
                    <a:extLst xmlns:a="http://schemas.openxmlformats.org/drawingml/2006/main">
                      <a:ext uri="{FF2B5EF4-FFF2-40B4-BE49-F238E27FC236}">
                        <a16:creationId xmlns:a16="http://schemas.microsoft.com/office/drawing/2014/main" id="{0BABE692-5026-6A47-191B-1E4B6FCA77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a:extLst>
                              <a:ext uri="{FF2B5EF4-FFF2-40B4-BE49-F238E27FC236}">
                                <a16:creationId xmlns:a16="http://schemas.microsoft.com/office/drawing/2014/main" id="{0BABE692-5026-6A47-191B-1E4B6FCA77FE}"/>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50241" cy="2493816"/>
                          </a:xfrm>
                          <a:prstGeom prst="rect">
                            <a:avLst/>
                          </a:prstGeom>
                          <a:noFill/>
                        </pic:spPr>
                      </pic:pic>
                    </a:graphicData>
                  </a:graphic>
                </wp:inline>
              </w:drawing>
            </w:r>
          </w:p>
        </w:tc>
        <w:tc>
          <w:tcPr>
            <w:tcW w:w="5957" w:type="dxa"/>
          </w:tcPr>
          <w:p w14:paraId="3A1F6232" w14:textId="77777777" w:rsidR="00DE050E" w:rsidRPr="0033000E" w:rsidRDefault="00DE050E" w:rsidP="00DE050E">
            <w:pPr>
              <w:tabs>
                <w:tab w:val="left" w:pos="1185"/>
              </w:tabs>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lastRenderedPageBreak/>
              <w:t>Пропозиція АТ «Укртрансгаз»</w:t>
            </w:r>
          </w:p>
          <w:p w14:paraId="7A7D75DC" w14:textId="77777777" w:rsidR="00DE050E" w:rsidRPr="0033000E" w:rsidRDefault="00DE050E" w:rsidP="00DE050E">
            <w:pPr>
              <w:tabs>
                <w:tab w:val="left" w:pos="1185"/>
              </w:tabs>
              <w:rPr>
                <w:rFonts w:ascii="Times New Roman" w:hAnsi="Times New Roman" w:cs="Times New Roman"/>
                <w:b/>
                <w:bCs/>
                <w:iCs/>
                <w:color w:val="000000" w:themeColor="text1"/>
                <w:sz w:val="24"/>
                <w:szCs w:val="24"/>
                <w:shd w:val="clear" w:color="auto" w:fill="FFFFFF"/>
                <w:lang w:val="uk-UA"/>
              </w:rPr>
            </w:pPr>
          </w:p>
          <w:p w14:paraId="64355D60" w14:textId="6E4C26E8" w:rsidR="00DE050E" w:rsidRPr="0033000E" w:rsidRDefault="00DE050E" w:rsidP="009D1B15">
            <w:pPr>
              <w:tabs>
                <w:tab w:val="left" w:pos="1185"/>
              </w:tabs>
              <w:jc w:val="center"/>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noProof/>
                <w:sz w:val="24"/>
                <w:szCs w:val="24"/>
              </w:rPr>
              <w:drawing>
                <wp:inline distT="0" distB="0" distL="0" distR="0" wp14:anchorId="6C3F8C58" wp14:editId="6B311CD3">
                  <wp:extent cx="3013075" cy="2947035"/>
                  <wp:effectExtent l="0" t="0" r="0" b="5715"/>
                  <wp:docPr id="16327246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724665" name=""/>
                          <pic:cNvPicPr/>
                        </pic:nvPicPr>
                        <pic:blipFill>
                          <a:blip r:embed="rId9"/>
                          <a:stretch>
                            <a:fillRect/>
                          </a:stretch>
                        </pic:blipFill>
                        <pic:spPr>
                          <a:xfrm>
                            <a:off x="0" y="0"/>
                            <a:ext cx="3013075" cy="2947035"/>
                          </a:xfrm>
                          <a:prstGeom prst="rect">
                            <a:avLst/>
                          </a:prstGeom>
                        </pic:spPr>
                      </pic:pic>
                    </a:graphicData>
                  </a:graphic>
                </wp:inline>
              </w:drawing>
            </w:r>
          </w:p>
          <w:p w14:paraId="294A17D7" w14:textId="77777777" w:rsidR="00DE050E" w:rsidRPr="0033000E" w:rsidRDefault="00DE050E" w:rsidP="00DE050E">
            <w:pPr>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 xml:space="preserve">39) у рядку </w:t>
            </w:r>
            <w:r w:rsidRPr="0033000E">
              <w:rPr>
                <w:rFonts w:ascii="Times New Roman" w:eastAsia="Times New Roman" w:hAnsi="Times New Roman" w:cs="Times New Roman"/>
                <w:b/>
                <w:bCs/>
                <w:strike/>
                <w:spacing w:val="1"/>
                <w:sz w:val="24"/>
                <w:szCs w:val="24"/>
                <w:lang w:val="uk-UA"/>
              </w:rPr>
              <w:t>10</w:t>
            </w:r>
            <w:r w:rsidRPr="0033000E">
              <w:rPr>
                <w:rFonts w:ascii="Times New Roman" w:eastAsia="Times New Roman" w:hAnsi="Times New Roman" w:cs="Times New Roman"/>
                <w:b/>
                <w:bCs/>
                <w:spacing w:val="1"/>
                <w:sz w:val="24"/>
                <w:szCs w:val="24"/>
                <w:lang w:val="uk-UA"/>
              </w:rPr>
              <w:t>12</w:t>
            </w:r>
            <w:r w:rsidRPr="0033000E">
              <w:rPr>
                <w:rFonts w:ascii="Times New Roman" w:eastAsia="Times New Roman" w:hAnsi="Times New Roman" w:cs="Times New Roman"/>
                <w:spacing w:val="1"/>
                <w:sz w:val="24"/>
                <w:szCs w:val="24"/>
                <w:lang w:val="uk-UA"/>
              </w:rPr>
              <w:t xml:space="preserve"> «Рентабельність за видами діяльності,%» зазначається відсоткове співвідношення значень рядка 8.1 до рядка 4; </w:t>
            </w:r>
          </w:p>
          <w:p w14:paraId="1A816B73" w14:textId="77777777" w:rsidR="00DE050E" w:rsidRPr="0033000E" w:rsidRDefault="00DE050E" w:rsidP="00DE050E">
            <w:pPr>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 xml:space="preserve"> 40) у рядку </w:t>
            </w:r>
            <w:r w:rsidRPr="0033000E">
              <w:rPr>
                <w:rFonts w:ascii="Times New Roman" w:eastAsia="Times New Roman" w:hAnsi="Times New Roman" w:cs="Times New Roman"/>
                <w:b/>
                <w:bCs/>
                <w:strike/>
                <w:spacing w:val="1"/>
                <w:sz w:val="24"/>
                <w:szCs w:val="24"/>
                <w:lang w:val="uk-UA"/>
              </w:rPr>
              <w:t>11</w:t>
            </w:r>
            <w:r w:rsidRPr="0033000E">
              <w:rPr>
                <w:rFonts w:ascii="Times New Roman" w:eastAsia="Times New Roman" w:hAnsi="Times New Roman" w:cs="Times New Roman"/>
                <w:b/>
                <w:bCs/>
                <w:spacing w:val="1"/>
                <w:sz w:val="24"/>
                <w:szCs w:val="24"/>
                <w:lang w:val="uk-UA"/>
              </w:rPr>
              <w:t>13</w:t>
            </w:r>
            <w:r w:rsidRPr="0033000E">
              <w:rPr>
                <w:rFonts w:ascii="Times New Roman" w:eastAsia="Times New Roman" w:hAnsi="Times New Roman" w:cs="Times New Roman"/>
                <w:spacing w:val="1"/>
                <w:sz w:val="24"/>
                <w:szCs w:val="24"/>
                <w:lang w:val="uk-UA"/>
              </w:rPr>
              <w:t xml:space="preserve"> «Первісна вартість основних засобів, тис. грн» зазначається фактична вартість придбання основних засобів або фактичні витрати на створення даних основних засобів, що відносяться до зазначеного у звіті виду діяльності (заповнюється на підставі даних бухгалтерського обліку); </w:t>
            </w:r>
          </w:p>
          <w:p w14:paraId="7203D42B" w14:textId="77777777" w:rsidR="00DE050E" w:rsidRPr="0033000E" w:rsidRDefault="00DE050E" w:rsidP="00DE050E">
            <w:pPr>
              <w:rPr>
                <w:rFonts w:ascii="Times New Roman" w:eastAsia="Times New Roman" w:hAnsi="Times New Roman" w:cs="Times New Roman"/>
                <w:sz w:val="24"/>
                <w:szCs w:val="24"/>
                <w:lang w:val="uk-UA"/>
              </w:rPr>
            </w:pPr>
            <w:r w:rsidRPr="0033000E">
              <w:rPr>
                <w:rFonts w:ascii="Times New Roman" w:eastAsia="Times New Roman" w:hAnsi="Times New Roman" w:cs="Times New Roman"/>
                <w:spacing w:val="1"/>
                <w:sz w:val="24"/>
                <w:szCs w:val="24"/>
                <w:lang w:val="uk-UA"/>
              </w:rPr>
              <w:t xml:space="preserve"> 41) у рядку </w:t>
            </w:r>
            <w:r w:rsidRPr="0033000E">
              <w:rPr>
                <w:rFonts w:ascii="Times New Roman" w:eastAsia="Times New Roman" w:hAnsi="Times New Roman" w:cs="Times New Roman"/>
                <w:b/>
                <w:bCs/>
                <w:strike/>
                <w:spacing w:val="1"/>
                <w:sz w:val="24"/>
                <w:szCs w:val="24"/>
                <w:lang w:val="uk-UA"/>
              </w:rPr>
              <w:t>12</w:t>
            </w:r>
            <w:r w:rsidRPr="0033000E">
              <w:rPr>
                <w:rFonts w:ascii="Times New Roman" w:eastAsia="Times New Roman" w:hAnsi="Times New Roman" w:cs="Times New Roman"/>
                <w:b/>
                <w:bCs/>
                <w:spacing w:val="1"/>
                <w:sz w:val="24"/>
                <w:szCs w:val="24"/>
                <w:lang w:val="uk-UA"/>
              </w:rPr>
              <w:t>14</w:t>
            </w:r>
            <w:r w:rsidRPr="0033000E">
              <w:rPr>
                <w:rFonts w:ascii="Times New Roman" w:eastAsia="Times New Roman" w:hAnsi="Times New Roman" w:cs="Times New Roman"/>
                <w:spacing w:val="1"/>
                <w:sz w:val="24"/>
                <w:szCs w:val="24"/>
                <w:lang w:val="uk-UA"/>
              </w:rPr>
              <w:t xml:space="preserve"> «Залишкова вартість основних засобів, тис. грн» зазначається сума первісної вартості </w:t>
            </w:r>
            <w:r w:rsidRPr="0033000E">
              <w:rPr>
                <w:rFonts w:ascii="Times New Roman" w:eastAsia="Times New Roman" w:hAnsi="Times New Roman" w:cs="Times New Roman"/>
                <w:spacing w:val="1"/>
                <w:sz w:val="24"/>
                <w:szCs w:val="24"/>
                <w:lang w:val="uk-UA"/>
              </w:rPr>
              <w:lastRenderedPageBreak/>
              <w:t>основних засобів за вирахуванням їх зносу, що відносяться до зазначеного у звіті виду діяльності (заповнюється на підставі даних бухгалтерського обліку).</w:t>
            </w:r>
          </w:p>
          <w:p w14:paraId="17EF7B12" w14:textId="77777777" w:rsidR="00DE050E" w:rsidRPr="0033000E" w:rsidRDefault="00DE050E" w:rsidP="00DE050E">
            <w:pPr>
              <w:jc w:val="both"/>
              <w:rPr>
                <w:rFonts w:ascii="Times New Roman" w:hAnsi="Times New Roman" w:cs="Times New Roman"/>
                <w:b/>
                <w:bCs/>
                <w:sz w:val="24"/>
                <w:szCs w:val="24"/>
                <w:lang w:val="uk-UA"/>
              </w:rPr>
            </w:pPr>
            <w:r w:rsidRPr="0033000E">
              <w:rPr>
                <w:rFonts w:ascii="Times New Roman" w:hAnsi="Times New Roman" w:cs="Times New Roman"/>
                <w:b/>
                <w:bCs/>
                <w:sz w:val="24"/>
                <w:szCs w:val="24"/>
                <w:lang w:val="uk-UA"/>
              </w:rPr>
              <w:t>42) у рядку 10 «</w:t>
            </w:r>
            <w:r w:rsidRPr="0033000E">
              <w:rPr>
                <w:rFonts w:ascii="Times New Roman" w:hAnsi="Times New Roman" w:cs="Times New Roman"/>
                <w:b/>
                <w:bCs/>
                <w:sz w:val="24"/>
                <w:szCs w:val="24"/>
                <w:u w:val="single"/>
                <w:lang w:val="uk-UA"/>
              </w:rPr>
              <w:t>Фінансовий результат до оподаткування, відповідно до Звіту про фінансовий результат»</w:t>
            </w:r>
            <w:r w:rsidRPr="0033000E">
              <w:rPr>
                <w:rFonts w:ascii="Times New Roman" w:hAnsi="Times New Roman" w:cs="Times New Roman"/>
                <w:b/>
                <w:bCs/>
                <w:sz w:val="24"/>
                <w:szCs w:val="24"/>
                <w:lang w:val="uk-UA"/>
              </w:rPr>
              <w:t xml:space="preserve"> зазначається прибуток до оподаткування, який відповідає фінансовій та податковій звітності ліцензіата.</w:t>
            </w:r>
          </w:p>
          <w:p w14:paraId="59512858" w14:textId="77777777" w:rsidR="00DE050E" w:rsidRPr="0033000E" w:rsidRDefault="00DE050E" w:rsidP="00DE050E">
            <w:pPr>
              <w:jc w:val="both"/>
              <w:rPr>
                <w:rFonts w:ascii="Times New Roman" w:hAnsi="Times New Roman" w:cs="Times New Roman"/>
                <w:b/>
                <w:bCs/>
                <w:sz w:val="24"/>
                <w:szCs w:val="24"/>
                <w:lang w:val="uk-UA"/>
              </w:rPr>
            </w:pPr>
            <w:r w:rsidRPr="0033000E">
              <w:rPr>
                <w:rFonts w:ascii="Times New Roman" w:hAnsi="Times New Roman" w:cs="Times New Roman"/>
                <w:b/>
                <w:bCs/>
                <w:sz w:val="24"/>
                <w:szCs w:val="24"/>
                <w:lang w:val="uk-UA"/>
              </w:rPr>
              <w:t xml:space="preserve">43) у рядку 10.1 </w:t>
            </w:r>
            <w:r w:rsidRPr="0033000E">
              <w:rPr>
                <w:rFonts w:ascii="Times New Roman" w:hAnsi="Times New Roman" w:cs="Times New Roman"/>
                <w:b/>
                <w:bCs/>
                <w:sz w:val="24"/>
                <w:szCs w:val="24"/>
                <w:u w:val="single"/>
                <w:lang w:val="uk-UA"/>
              </w:rPr>
              <w:t xml:space="preserve">«чистий прибуток (збиток)» </w:t>
            </w:r>
            <w:r w:rsidRPr="0033000E">
              <w:rPr>
                <w:rFonts w:ascii="Times New Roman" w:hAnsi="Times New Roman" w:cs="Times New Roman"/>
                <w:b/>
                <w:bCs/>
                <w:sz w:val="24"/>
                <w:szCs w:val="24"/>
                <w:lang w:val="uk-UA"/>
              </w:rPr>
              <w:t>зазначається прибуток після оподаткування який відповідає фінансовій та податковій звітності ліцензіата.</w:t>
            </w:r>
          </w:p>
          <w:p w14:paraId="29A0DBD2" w14:textId="5BC7F3EE" w:rsidR="00DE050E" w:rsidRPr="0033000E" w:rsidRDefault="00DE050E" w:rsidP="00DE050E">
            <w:pPr>
              <w:jc w:val="both"/>
              <w:rPr>
                <w:rFonts w:ascii="Times New Roman" w:hAnsi="Times New Roman" w:cs="Times New Roman"/>
                <w:b/>
                <w:bCs/>
                <w:sz w:val="24"/>
                <w:szCs w:val="24"/>
                <w:lang w:val="uk-UA"/>
              </w:rPr>
            </w:pPr>
            <w:r w:rsidRPr="0033000E">
              <w:rPr>
                <w:rFonts w:ascii="Times New Roman" w:hAnsi="Times New Roman" w:cs="Times New Roman"/>
                <w:b/>
                <w:bCs/>
                <w:sz w:val="24"/>
                <w:szCs w:val="24"/>
                <w:lang w:val="uk-UA"/>
              </w:rPr>
              <w:t xml:space="preserve">44) у рядку 11 </w:t>
            </w:r>
            <w:r w:rsidRPr="0033000E">
              <w:rPr>
                <w:rFonts w:ascii="Times New Roman" w:hAnsi="Times New Roman" w:cs="Times New Roman"/>
                <w:b/>
                <w:bCs/>
                <w:sz w:val="24"/>
                <w:szCs w:val="24"/>
                <w:u w:val="single"/>
                <w:lang w:val="uk-UA"/>
              </w:rPr>
              <w:t>«Дивіденди»</w:t>
            </w:r>
            <w:r w:rsidRPr="0033000E">
              <w:rPr>
                <w:rFonts w:ascii="Times New Roman" w:hAnsi="Times New Roman" w:cs="Times New Roman"/>
                <w:b/>
                <w:bCs/>
                <w:sz w:val="24"/>
                <w:szCs w:val="24"/>
                <w:lang w:val="uk-UA"/>
              </w:rPr>
              <w:t xml:space="preserve"> зазначається сума сплати дивідендів у звітному періоді, в якому прийнято рішення уповноваженого органу ліцензіата про сплату дивідендів. </w:t>
            </w:r>
          </w:p>
          <w:p w14:paraId="60DD3F7E" w14:textId="77777777" w:rsidR="00DE050E" w:rsidRPr="0033000E" w:rsidRDefault="00DE050E" w:rsidP="00DE050E">
            <w:pPr>
              <w:tabs>
                <w:tab w:val="left" w:pos="1185"/>
              </w:tabs>
              <w:rPr>
                <w:rFonts w:ascii="Times New Roman" w:hAnsi="Times New Roman" w:cs="Times New Roman"/>
                <w:b/>
                <w:bCs/>
                <w:iCs/>
                <w:color w:val="000000" w:themeColor="text1"/>
                <w:sz w:val="24"/>
                <w:szCs w:val="24"/>
                <w:shd w:val="clear" w:color="auto" w:fill="FFFFFF"/>
                <w:lang w:val="uk-UA"/>
              </w:rPr>
            </w:pPr>
          </w:p>
          <w:p w14:paraId="63AF9453" w14:textId="1B1DCA0E" w:rsidR="00DE050E" w:rsidRPr="0033000E" w:rsidRDefault="00DE050E" w:rsidP="00DE050E">
            <w:pPr>
              <w:tabs>
                <w:tab w:val="left" w:pos="1185"/>
              </w:tabs>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t>Обґрунтування</w:t>
            </w:r>
          </w:p>
          <w:p w14:paraId="0E0BE969" w14:textId="77777777" w:rsidR="00DE050E" w:rsidRPr="0033000E" w:rsidRDefault="00DE050E" w:rsidP="00DE050E">
            <w:pPr>
              <w:ind w:right="40"/>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1. Формування показників прибутку (збитку) у формі 7б з урахуванням узгодження фінансових показників між різними формами звітності</w:t>
            </w:r>
          </w:p>
          <w:p w14:paraId="7A062447" w14:textId="77777777" w:rsidR="00DE050E" w:rsidRPr="0033000E" w:rsidRDefault="00DE050E" w:rsidP="00DE050E">
            <w:pPr>
              <w:ind w:right="40"/>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 xml:space="preserve">          Відповідно до пункту 1 Розділу ІІІ Інструкції щодо заповнення форми звітності № 7б-НКРЕКП-газ-моніторинг (квартальна) звітні дані формуються на підставі даних бухгалтерського обліку. В той же час, «Прибуток (збиток)» (рядок 8.1 форми) визначає його як різницю між показником «Дохід (виручка) від реалізації продукції (товарів, робіт, послуг), усього» (рядок 7.3) та показником «Витрати операційної діяльності, усього» (рядок 4). Цей підхід не включає в розрахунок фінансового результату фінансові витрати, </w:t>
            </w:r>
            <w:r w:rsidRPr="0033000E">
              <w:rPr>
                <w:rFonts w:ascii="Times New Roman" w:eastAsia="Times New Roman" w:hAnsi="Times New Roman" w:cs="Times New Roman"/>
                <w:spacing w:val="1"/>
                <w:sz w:val="24"/>
                <w:szCs w:val="24"/>
                <w:lang w:val="uk-UA"/>
              </w:rPr>
              <w:lastRenderedPageBreak/>
              <w:t>інші витрати, а також інші операційні доходи та інші доходи.</w:t>
            </w:r>
          </w:p>
          <w:p w14:paraId="58AAAE67" w14:textId="77777777" w:rsidR="00DE050E" w:rsidRPr="0033000E" w:rsidRDefault="00DE050E" w:rsidP="00DE050E">
            <w:pPr>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У зв’язку з цим, виникає розбіжність у формуванні показників фінансового результату між Додатком 7б-НКРЕКП та Формою 2 «Звіт про фінансові результати (Звіт про сукупний дохід)», яка також подається до НКРЕКП відповідно до постанови НКРЕКП «Про подання фінансової звітності суб’єктами господарювання у сферах енергетики та комунальних послуг до Національної комісії, що здійснює державне регулювання у сферах енергетики та комунальних послуг» від 17.02.2021 № 254.</w:t>
            </w:r>
          </w:p>
          <w:p w14:paraId="26F193F0" w14:textId="77777777" w:rsidR="00DE050E" w:rsidRPr="0033000E" w:rsidRDefault="00DE050E" w:rsidP="00DE050E">
            <w:pPr>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Варто зазначити, що під час періодичних перевірок ліцензійної діяльності оператора газосховищ комісія з проведення перевірки ставить питання про надання інформації про фактичний обсяг сплаченого Товариством податку на прибуток та його відхилення від планового рівня, передбаченого в тарифах, а також вимагає пояснення причин виникнення таких відхилень з наданням копій всіх платіжних документів по сплаті податку на прибуток».</w:t>
            </w:r>
          </w:p>
          <w:p w14:paraId="1CC534F5" w14:textId="77777777" w:rsidR="00DE050E" w:rsidRPr="0033000E" w:rsidRDefault="00DE050E" w:rsidP="00DE050E">
            <w:pPr>
              <w:ind w:right="40"/>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 xml:space="preserve">           2. Врахування нових вимог щодо визначення додаткового або недоотриманого доходу в Інструкції.</w:t>
            </w:r>
          </w:p>
          <w:p w14:paraId="548D5B84" w14:textId="77777777" w:rsidR="00DE050E" w:rsidRPr="0033000E" w:rsidRDefault="00DE050E" w:rsidP="00DE050E">
            <w:pPr>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 xml:space="preserve">Відповідно до пункту 2 постанови НКРЕКП від 13.05.2025 № 724 до Порядку контролю за дотриманням ліцензіатами, що провадять діяльність у сферах енергетики та комунальних послуг, до законодавства у відповідних сферах та ліцензійних умов </w:t>
            </w:r>
            <w:proofErr w:type="spellStart"/>
            <w:r w:rsidRPr="0033000E">
              <w:rPr>
                <w:rFonts w:ascii="Times New Roman" w:eastAsia="Times New Roman" w:hAnsi="Times New Roman" w:cs="Times New Roman"/>
                <w:spacing w:val="1"/>
                <w:sz w:val="24"/>
                <w:szCs w:val="24"/>
                <w:lang w:val="uk-UA"/>
              </w:rPr>
              <w:t>унесено</w:t>
            </w:r>
            <w:proofErr w:type="spellEnd"/>
            <w:r w:rsidRPr="0033000E">
              <w:rPr>
                <w:rFonts w:ascii="Times New Roman" w:eastAsia="Times New Roman" w:hAnsi="Times New Roman" w:cs="Times New Roman"/>
                <w:spacing w:val="1"/>
                <w:sz w:val="24"/>
                <w:szCs w:val="24"/>
                <w:lang w:val="uk-UA"/>
              </w:rPr>
              <w:t xml:space="preserve"> зміни, у тому числі, доповнено його новим Додатком № 32: «Методика визначення сум додатково отриманого або недоотриманого доходу від здійснення діяльності із зберігання (закачування, </w:t>
            </w:r>
            <w:r w:rsidRPr="0033000E">
              <w:rPr>
                <w:rFonts w:ascii="Times New Roman" w:eastAsia="Times New Roman" w:hAnsi="Times New Roman" w:cs="Times New Roman"/>
                <w:spacing w:val="1"/>
                <w:sz w:val="24"/>
                <w:szCs w:val="24"/>
                <w:lang w:val="uk-UA"/>
              </w:rPr>
              <w:lastRenderedPageBreak/>
              <w:t>відбору) природного газу» (далі – Методика). Зокрема, підпункт 19 пункту 6 Методики передбачає таке:</w:t>
            </w:r>
          </w:p>
          <w:p w14:paraId="4DFCBFDA" w14:textId="77777777" w:rsidR="00DE050E" w:rsidRPr="0033000E" w:rsidRDefault="00DE050E" w:rsidP="00DE050E">
            <w:pPr>
              <w:shd w:val="clear" w:color="auto" w:fill="FFFFFF"/>
              <w:ind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w:t>
            </w:r>
            <w:bookmarkStart w:id="5" w:name="n1030"/>
            <w:bookmarkEnd w:id="5"/>
            <w:r w:rsidRPr="0033000E">
              <w:rPr>
                <w:rFonts w:ascii="Times New Roman" w:eastAsia="Times New Roman" w:hAnsi="Times New Roman" w:cs="Times New Roman"/>
                <w:spacing w:val="1"/>
                <w:sz w:val="24"/>
                <w:szCs w:val="24"/>
                <w:lang w:val="uk-UA"/>
              </w:rPr>
              <w:t>ється фактична сума частини чистого прибутку (дивідендів) у частині здійснення ліцензованої діяльності із зберігання (закачування, відбору) природного газу на державну частку акцій, нараховану за підсумками попереднього року та сплачену до Державного бюджету України у звітному році відповідно до платіжних доручень, наданих ліцензіатом;</w:t>
            </w:r>
          </w:p>
          <w:p w14:paraId="7458F36C" w14:textId="77777777" w:rsidR="00DE050E" w:rsidRPr="0033000E" w:rsidRDefault="00DE050E" w:rsidP="00DE050E">
            <w:pPr>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 xml:space="preserve"> З огляду на вищенаведені вимоги, необхідно доповнити Інструкцію щодо формування додатку 7б-НКРЕКП новим пунктом, який довідково відображатиме:</w:t>
            </w:r>
          </w:p>
          <w:p w14:paraId="137F5F49" w14:textId="77777777" w:rsidR="00DE050E" w:rsidRPr="0033000E" w:rsidRDefault="00DE050E" w:rsidP="00DE050E">
            <w:pPr>
              <w:tabs>
                <w:tab w:val="left" w:pos="614"/>
                <w:tab w:val="left" w:pos="888"/>
              </w:tabs>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 «Фінансовий результат до оподаткування, відповідно до Звіту про фінансовий результат»;</w:t>
            </w:r>
          </w:p>
          <w:p w14:paraId="18774079" w14:textId="77777777" w:rsidR="00DE050E" w:rsidRPr="0033000E" w:rsidRDefault="00DE050E" w:rsidP="00DE050E">
            <w:pPr>
              <w:tabs>
                <w:tab w:val="left" w:pos="614"/>
                <w:tab w:val="left" w:pos="888"/>
              </w:tabs>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 чистий прибуток (збиток);</w:t>
            </w:r>
          </w:p>
          <w:p w14:paraId="31F12A57" w14:textId="77777777" w:rsidR="00DE050E" w:rsidRPr="0033000E" w:rsidRDefault="00DE050E" w:rsidP="00DE050E">
            <w:pPr>
              <w:tabs>
                <w:tab w:val="left" w:pos="614"/>
                <w:tab w:val="left" w:pos="888"/>
              </w:tabs>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 дивіденди.</w:t>
            </w:r>
          </w:p>
          <w:p w14:paraId="0BF210EB" w14:textId="77777777" w:rsidR="00DE050E" w:rsidRPr="0033000E" w:rsidRDefault="00DE050E" w:rsidP="00DE050E">
            <w:pPr>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3. Забезпечення відповідності нормам Податкового кодексу України</w:t>
            </w:r>
          </w:p>
          <w:p w14:paraId="607FBB85" w14:textId="77777777" w:rsidR="00DE050E" w:rsidRPr="0033000E" w:rsidRDefault="00DE050E" w:rsidP="00DE050E">
            <w:pPr>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Відповідно до підпункту 16.1.4. пункту 16.1 статті 16 Податкового кодексу України (далі – ПК України) платник податків зобов’язаний сплачувати податки та збори в строки та у розмірах, встановлених ПКУ та законами з питань митної справи. Сплата податків є конституційним обов’язком відповідно до статті 67 Конституції України.</w:t>
            </w:r>
            <w:r w:rsidRPr="0033000E">
              <w:rPr>
                <w:rFonts w:ascii="Times New Roman" w:hAnsi="Times New Roman" w:cs="Times New Roman"/>
                <w:sz w:val="24"/>
                <w:szCs w:val="24"/>
                <w:lang w:val="uk-UA"/>
              </w:rPr>
              <w:t xml:space="preserve"> </w:t>
            </w:r>
          </w:p>
          <w:p w14:paraId="142401EA" w14:textId="46BDD665" w:rsidR="00DE050E" w:rsidRPr="0033000E" w:rsidRDefault="00DE050E" w:rsidP="006F2253">
            <w:pPr>
              <w:ind w:right="40" w:firstLine="709"/>
              <w:jc w:val="both"/>
              <w:rPr>
                <w:rFonts w:ascii="Times New Roman" w:hAnsi="Times New Roman" w:cs="Times New Roman"/>
                <w:b/>
                <w:bCs/>
                <w:iCs/>
                <w:color w:val="000000" w:themeColor="text1"/>
                <w:sz w:val="24"/>
                <w:szCs w:val="24"/>
                <w:shd w:val="clear" w:color="auto" w:fill="FFFFFF"/>
                <w:lang w:val="uk-UA"/>
              </w:rPr>
            </w:pPr>
            <w:r w:rsidRPr="0033000E">
              <w:rPr>
                <w:rFonts w:ascii="Times New Roman" w:eastAsia="Times New Roman" w:hAnsi="Times New Roman" w:cs="Times New Roman"/>
                <w:spacing w:val="1"/>
                <w:sz w:val="24"/>
                <w:szCs w:val="24"/>
                <w:lang w:val="uk-UA"/>
              </w:rPr>
              <w:t xml:space="preserve">Згідно з пунктом 36.1 статті 36 ПК України податковим обов’язком визнається обов’язок платника податку обчислити, задекларувати та/або сплатити </w:t>
            </w:r>
            <w:r w:rsidRPr="0033000E">
              <w:rPr>
                <w:rFonts w:ascii="Times New Roman" w:eastAsia="Times New Roman" w:hAnsi="Times New Roman" w:cs="Times New Roman"/>
                <w:spacing w:val="1"/>
                <w:sz w:val="24"/>
                <w:szCs w:val="24"/>
                <w:lang w:val="uk-UA"/>
              </w:rPr>
              <w:lastRenderedPageBreak/>
              <w:t>суму податку та збору в порядку і строки, визначені ПК України, законами з питань митної справи.</w:t>
            </w:r>
          </w:p>
        </w:tc>
        <w:tc>
          <w:tcPr>
            <w:tcW w:w="3687" w:type="dxa"/>
          </w:tcPr>
          <w:p w14:paraId="0455F994" w14:textId="1BB2DF28" w:rsidR="00DE050E" w:rsidRPr="0033000E" w:rsidRDefault="0069316C" w:rsidP="009D1B15">
            <w:pPr>
              <w:ind w:firstLine="309"/>
              <w:jc w:val="both"/>
              <w:rPr>
                <w:rFonts w:ascii="Times New Roman" w:eastAsia="Times New Roman" w:hAnsi="Times New Roman" w:cs="Times New Roman"/>
                <w:b/>
                <w:color w:val="000000" w:themeColor="text1"/>
                <w:sz w:val="24"/>
                <w:szCs w:val="24"/>
                <w:lang w:val="uk-UA" w:eastAsia="uk-UA"/>
              </w:rPr>
            </w:pPr>
            <w:r w:rsidRPr="0033000E">
              <w:rPr>
                <w:rFonts w:ascii="Times New Roman" w:eastAsia="Times New Roman" w:hAnsi="Times New Roman" w:cs="Times New Roman"/>
                <w:b/>
                <w:color w:val="000000" w:themeColor="text1"/>
                <w:sz w:val="24"/>
                <w:szCs w:val="24"/>
                <w:lang w:val="uk-UA" w:eastAsia="uk-UA"/>
              </w:rPr>
              <w:lastRenderedPageBreak/>
              <w:t>Попередньо відхилено</w:t>
            </w:r>
          </w:p>
          <w:p w14:paraId="11E7DBEA" w14:textId="7C497631" w:rsidR="00EC30B1" w:rsidRPr="0033000E" w:rsidRDefault="0052121A" w:rsidP="00D13A0B">
            <w:pPr>
              <w:ind w:firstLine="309"/>
              <w:jc w:val="both"/>
              <w:rPr>
                <w:rFonts w:ascii="Times New Roman" w:eastAsia="Times New Roman" w:hAnsi="Times New Roman" w:cs="Times New Roman"/>
                <w:spacing w:val="1"/>
                <w:sz w:val="24"/>
                <w:szCs w:val="24"/>
                <w:lang w:val="uk-UA"/>
              </w:rPr>
            </w:pPr>
            <w:proofErr w:type="spellStart"/>
            <w:r w:rsidRPr="0033000E">
              <w:rPr>
                <w:rFonts w:ascii="Times New Roman" w:eastAsia="Times New Roman" w:hAnsi="Times New Roman" w:cs="Times New Roman"/>
                <w:spacing w:val="1"/>
                <w:sz w:val="24"/>
                <w:szCs w:val="24"/>
                <w:lang w:val="uk-UA"/>
              </w:rPr>
              <w:t>Проєктом</w:t>
            </w:r>
            <w:proofErr w:type="spellEnd"/>
            <w:r w:rsidRPr="0033000E">
              <w:rPr>
                <w:rFonts w:ascii="Times New Roman" w:eastAsia="Times New Roman" w:hAnsi="Times New Roman" w:cs="Times New Roman"/>
                <w:spacing w:val="1"/>
                <w:sz w:val="24"/>
                <w:szCs w:val="24"/>
                <w:lang w:val="uk-UA"/>
              </w:rPr>
              <w:t xml:space="preserve"> постанови передбачаються зміни щодо розширення переліку інформації, що подається оператором газосховищ, в частині</w:t>
            </w:r>
            <w:r w:rsidR="0040698C">
              <w:rPr>
                <w:rFonts w:ascii="Times New Roman" w:eastAsia="Times New Roman" w:hAnsi="Times New Roman" w:cs="Times New Roman"/>
                <w:spacing w:val="1"/>
                <w:sz w:val="24"/>
                <w:szCs w:val="24"/>
                <w:lang w:val="uk-UA"/>
              </w:rPr>
              <w:t xml:space="preserve"> доходів та витрат від </w:t>
            </w:r>
            <w:r w:rsidR="00EC30B1" w:rsidRPr="0033000E">
              <w:rPr>
                <w:rFonts w:ascii="Times New Roman" w:eastAsia="Times New Roman" w:hAnsi="Times New Roman" w:cs="Times New Roman"/>
                <w:spacing w:val="1"/>
                <w:sz w:val="24"/>
                <w:szCs w:val="24"/>
                <w:lang w:val="uk-UA"/>
              </w:rPr>
              <w:t>недотримання параметрів якості природного газу.</w:t>
            </w:r>
          </w:p>
          <w:p w14:paraId="446A39D6" w14:textId="6D9F40B8" w:rsidR="00DE050E" w:rsidRPr="0033000E" w:rsidRDefault="0040698C">
            <w:pPr>
              <w:ind w:firstLine="309"/>
              <w:jc w:val="both"/>
              <w:rPr>
                <w:rFonts w:ascii="Times New Roman" w:eastAsia="Times New Roman" w:hAnsi="Times New Roman" w:cs="Times New Roman"/>
                <w:b/>
                <w:color w:val="000000" w:themeColor="text1"/>
                <w:sz w:val="24"/>
                <w:szCs w:val="24"/>
                <w:lang w:val="uk-UA" w:eastAsia="uk-UA"/>
              </w:rPr>
            </w:pPr>
            <w:r>
              <w:rPr>
                <w:rFonts w:ascii="Times New Roman" w:eastAsia="Times New Roman" w:hAnsi="Times New Roman" w:cs="Times New Roman"/>
                <w:spacing w:val="1"/>
                <w:sz w:val="24"/>
                <w:szCs w:val="24"/>
                <w:lang w:val="uk-UA"/>
              </w:rPr>
              <w:t xml:space="preserve">Зауваження </w:t>
            </w:r>
            <w:r w:rsidR="006046CF">
              <w:rPr>
                <w:rFonts w:ascii="Times New Roman" w:eastAsia="Times New Roman" w:hAnsi="Times New Roman" w:cs="Times New Roman"/>
                <w:spacing w:val="1"/>
                <w:sz w:val="24"/>
                <w:szCs w:val="24"/>
                <w:lang w:val="uk-UA"/>
              </w:rPr>
              <w:t>т</w:t>
            </w:r>
            <w:r>
              <w:rPr>
                <w:rFonts w:ascii="Times New Roman" w:eastAsia="Times New Roman" w:hAnsi="Times New Roman" w:cs="Times New Roman"/>
                <w:spacing w:val="1"/>
                <w:sz w:val="24"/>
                <w:szCs w:val="24"/>
                <w:lang w:val="uk-UA"/>
              </w:rPr>
              <w:t xml:space="preserve">а пропозиції </w:t>
            </w:r>
            <w:r w:rsidR="00EC30B1" w:rsidRPr="0033000E">
              <w:rPr>
                <w:rFonts w:ascii="Times New Roman" w:eastAsia="Times New Roman" w:hAnsi="Times New Roman" w:cs="Times New Roman"/>
                <w:bCs/>
                <w:color w:val="000000" w:themeColor="text1"/>
                <w:sz w:val="24"/>
                <w:szCs w:val="24"/>
                <w:lang w:val="uk-UA" w:eastAsia="uk-UA"/>
              </w:rPr>
              <w:t xml:space="preserve">не </w:t>
            </w:r>
            <w:r w:rsidR="006046CF" w:rsidRPr="0033000E">
              <w:rPr>
                <w:rFonts w:ascii="Times New Roman" w:eastAsia="Times New Roman" w:hAnsi="Times New Roman" w:cs="Times New Roman"/>
                <w:bCs/>
                <w:color w:val="000000" w:themeColor="text1"/>
                <w:sz w:val="24"/>
                <w:szCs w:val="24"/>
                <w:lang w:val="uk-UA" w:eastAsia="uk-UA"/>
              </w:rPr>
              <w:t>стосу</w:t>
            </w:r>
            <w:r w:rsidR="006046CF">
              <w:rPr>
                <w:rFonts w:ascii="Times New Roman" w:eastAsia="Times New Roman" w:hAnsi="Times New Roman" w:cs="Times New Roman"/>
                <w:bCs/>
                <w:color w:val="000000" w:themeColor="text1"/>
                <w:sz w:val="24"/>
                <w:szCs w:val="24"/>
                <w:lang w:val="uk-UA" w:eastAsia="uk-UA"/>
              </w:rPr>
              <w:t>ю</w:t>
            </w:r>
            <w:r w:rsidR="006046CF" w:rsidRPr="0033000E">
              <w:rPr>
                <w:rFonts w:ascii="Times New Roman" w:eastAsia="Times New Roman" w:hAnsi="Times New Roman" w:cs="Times New Roman"/>
                <w:bCs/>
                <w:color w:val="000000" w:themeColor="text1"/>
                <w:sz w:val="24"/>
                <w:szCs w:val="24"/>
                <w:lang w:val="uk-UA" w:eastAsia="uk-UA"/>
              </w:rPr>
              <w:t xml:space="preserve">ться </w:t>
            </w:r>
            <w:r w:rsidR="00EC30B1" w:rsidRPr="0033000E">
              <w:rPr>
                <w:rFonts w:ascii="Times New Roman" w:eastAsia="Times New Roman" w:hAnsi="Times New Roman" w:cs="Times New Roman"/>
                <w:bCs/>
                <w:color w:val="000000" w:themeColor="text1"/>
                <w:sz w:val="24"/>
                <w:szCs w:val="24"/>
                <w:lang w:val="uk-UA" w:eastAsia="uk-UA"/>
              </w:rPr>
              <w:t xml:space="preserve">змісту положень </w:t>
            </w:r>
            <w:proofErr w:type="spellStart"/>
            <w:r w:rsidR="00EC30B1" w:rsidRPr="0033000E">
              <w:rPr>
                <w:rFonts w:ascii="Times New Roman" w:eastAsia="Times New Roman" w:hAnsi="Times New Roman" w:cs="Times New Roman"/>
                <w:bCs/>
                <w:color w:val="000000" w:themeColor="text1"/>
                <w:sz w:val="24"/>
                <w:szCs w:val="24"/>
                <w:lang w:val="uk-UA" w:eastAsia="uk-UA"/>
              </w:rPr>
              <w:t>проєкту</w:t>
            </w:r>
            <w:proofErr w:type="spellEnd"/>
            <w:r w:rsidR="00EC30B1" w:rsidRPr="0033000E">
              <w:rPr>
                <w:rFonts w:ascii="Times New Roman" w:eastAsia="Times New Roman" w:hAnsi="Times New Roman" w:cs="Times New Roman"/>
                <w:bCs/>
                <w:color w:val="000000" w:themeColor="text1"/>
                <w:sz w:val="24"/>
                <w:szCs w:val="24"/>
                <w:lang w:val="uk-UA" w:eastAsia="uk-UA"/>
              </w:rPr>
              <w:t xml:space="preserve"> рішення НКРЕКП</w:t>
            </w:r>
            <w:r>
              <w:rPr>
                <w:rFonts w:ascii="Times New Roman" w:eastAsia="Times New Roman" w:hAnsi="Times New Roman" w:cs="Times New Roman"/>
                <w:bCs/>
                <w:color w:val="000000" w:themeColor="text1"/>
                <w:sz w:val="24"/>
                <w:szCs w:val="24"/>
                <w:lang w:val="uk-UA" w:eastAsia="uk-UA"/>
              </w:rPr>
              <w:t>.</w:t>
            </w:r>
          </w:p>
        </w:tc>
      </w:tr>
      <w:tr w:rsidR="00996445" w:rsidRPr="0033000E" w14:paraId="3890393B" w14:textId="77777777" w:rsidTr="00BE3B7A">
        <w:trPr>
          <w:jc w:val="center"/>
        </w:trPr>
        <w:tc>
          <w:tcPr>
            <w:tcW w:w="16021" w:type="dxa"/>
            <w:gridSpan w:val="3"/>
            <w:vAlign w:val="center"/>
          </w:tcPr>
          <w:p w14:paraId="18280FAC" w14:textId="77777777" w:rsidR="00EC30B1" w:rsidRPr="0033000E" w:rsidRDefault="00EC30B1" w:rsidP="00996445">
            <w:pPr>
              <w:jc w:val="center"/>
              <w:rPr>
                <w:rFonts w:ascii="Times New Roman" w:hAnsi="Times New Roman" w:cs="Times New Roman"/>
                <w:b/>
                <w:sz w:val="24"/>
                <w:szCs w:val="20"/>
                <w:lang w:val="uk-UA"/>
              </w:rPr>
            </w:pPr>
          </w:p>
          <w:p w14:paraId="1FDA1B81" w14:textId="08B80F1A" w:rsidR="00996445" w:rsidRPr="0033000E" w:rsidRDefault="00996445" w:rsidP="00996445">
            <w:pPr>
              <w:jc w:val="center"/>
              <w:rPr>
                <w:b/>
                <w:sz w:val="24"/>
                <w:szCs w:val="20"/>
                <w:lang w:val="uk-UA"/>
              </w:rPr>
            </w:pPr>
            <w:r w:rsidRPr="0033000E">
              <w:rPr>
                <w:rFonts w:ascii="Times New Roman" w:hAnsi="Times New Roman" w:cs="Times New Roman"/>
                <w:b/>
                <w:sz w:val="24"/>
                <w:szCs w:val="20"/>
                <w:lang w:val="uk-UA"/>
              </w:rPr>
              <w:t>Інструкція щодо заповнення форми звітності № 7б-НКРЕКП-газ-моніторинг (квартальна) «Звіт про застосування тарифів на послуги зберігання (закачування, відбір) природного газу»</w:t>
            </w:r>
          </w:p>
          <w:p w14:paraId="7FD8BB23" w14:textId="0D5DEDBF" w:rsidR="00996445" w:rsidRPr="00D13A0B" w:rsidRDefault="00996445" w:rsidP="00996445">
            <w:pPr>
              <w:jc w:val="center"/>
              <w:rPr>
                <w:rFonts w:ascii="Times New Roman" w:eastAsia="Times New Roman" w:hAnsi="Times New Roman" w:cs="Times New Roman"/>
                <w:b/>
                <w:color w:val="000000" w:themeColor="text1"/>
                <w:sz w:val="24"/>
                <w:szCs w:val="24"/>
                <w:lang w:val="uk-UA" w:eastAsia="uk-UA"/>
              </w:rPr>
            </w:pPr>
            <w:r w:rsidRPr="006F2253">
              <w:rPr>
                <w:rFonts w:ascii="Times New Roman" w:hAnsi="Times New Roman" w:cs="Times New Roman"/>
                <w:szCs w:val="20"/>
              </w:rPr>
              <w:t xml:space="preserve">(постанова НКРЕКП від </w:t>
            </w:r>
            <w:proofErr w:type="gramStart"/>
            <w:r w:rsidRPr="006F2253">
              <w:rPr>
                <w:rFonts w:ascii="Times New Roman" w:hAnsi="Times New Roman" w:cs="Times New Roman"/>
                <w:szCs w:val="20"/>
              </w:rPr>
              <w:t>07.07.2016  №</w:t>
            </w:r>
            <w:proofErr w:type="gramEnd"/>
            <w:r w:rsidRPr="006F2253">
              <w:rPr>
                <w:rFonts w:ascii="Times New Roman" w:hAnsi="Times New Roman" w:cs="Times New Roman"/>
                <w:szCs w:val="20"/>
              </w:rPr>
              <w:t xml:space="preserve"> 1234)</w:t>
            </w:r>
          </w:p>
        </w:tc>
      </w:tr>
      <w:tr w:rsidR="006046CF" w:rsidRPr="0033000E" w14:paraId="50DAD640" w14:textId="77777777" w:rsidTr="00EC30B1">
        <w:trPr>
          <w:jc w:val="center"/>
        </w:trPr>
        <w:tc>
          <w:tcPr>
            <w:tcW w:w="6377" w:type="dxa"/>
          </w:tcPr>
          <w:p w14:paraId="68E7D3B4" w14:textId="77777777" w:rsidR="006046CF" w:rsidRPr="0033000E" w:rsidRDefault="006046CF" w:rsidP="006046CF">
            <w:pPr>
              <w:pStyle w:val="rvps2"/>
              <w:shd w:val="clear" w:color="auto" w:fill="FFFFFF"/>
              <w:spacing w:before="0" w:beforeAutospacing="0" w:after="0" w:afterAutospacing="0"/>
              <w:jc w:val="both"/>
              <w:rPr>
                <w:szCs w:val="20"/>
                <w:lang w:val="uk-UA"/>
              </w:rPr>
            </w:pPr>
          </w:p>
          <w:p w14:paraId="54BC0ED2" w14:textId="77777777" w:rsidR="006046CF" w:rsidRPr="0033000E" w:rsidRDefault="006046CF" w:rsidP="006046CF">
            <w:pPr>
              <w:pStyle w:val="rvps2"/>
              <w:shd w:val="clear" w:color="auto" w:fill="FFFFFF"/>
              <w:spacing w:before="0" w:beforeAutospacing="0" w:after="0" w:afterAutospacing="0"/>
              <w:jc w:val="both"/>
              <w:rPr>
                <w:szCs w:val="20"/>
                <w:lang w:val="uk-UA"/>
              </w:rPr>
            </w:pPr>
          </w:p>
          <w:p w14:paraId="6F80F44D" w14:textId="20B1815A" w:rsidR="006046CF" w:rsidRPr="0033000E" w:rsidRDefault="006046CF" w:rsidP="006046CF">
            <w:pPr>
              <w:pStyle w:val="rvps2"/>
              <w:shd w:val="clear" w:color="auto" w:fill="FFFFFF"/>
              <w:spacing w:before="0" w:beforeAutospacing="0" w:after="0" w:afterAutospacing="0"/>
              <w:jc w:val="both"/>
              <w:rPr>
                <w:szCs w:val="20"/>
                <w:lang w:val="uk-UA"/>
              </w:rPr>
            </w:pPr>
            <w:r w:rsidRPr="0033000E">
              <w:rPr>
                <w:szCs w:val="20"/>
                <w:lang w:val="uk-UA"/>
              </w:rPr>
              <w:t>1. Форма № 7б передбачає звітність ліцензіата щодо виробничої собівартості продукції (робіт, послуг), адміністративних витрат, інших витрат операційної діяльності, фінансових витрат, інших витрат, доходу (виручки) від реалізації продукції (товарів, робіт, послуг), іншого операційного доходу та фінансового результату ліцензіата за кожен місяць звітного періоду у розрізі діяльності із зберігання (закачування, відбору) природного газу та інших видів діяльності, складена на підставі даних бухгалтерського обліку (крім амортизації, яка заповнюється відповідно до даних податкового обліку), а саме:</w:t>
            </w:r>
          </w:p>
          <w:p w14:paraId="740EEFD1" w14:textId="77777777" w:rsidR="006046CF" w:rsidRPr="0033000E" w:rsidRDefault="006046CF" w:rsidP="006046CF">
            <w:pPr>
              <w:ind w:firstLine="451"/>
              <w:rPr>
                <w:rFonts w:ascii="Times New Roman" w:hAnsi="Times New Roman" w:cs="Times New Roman"/>
                <w:bCs/>
                <w:sz w:val="24"/>
                <w:szCs w:val="20"/>
                <w:lang w:val="uk-UA"/>
              </w:rPr>
            </w:pPr>
            <w:r w:rsidRPr="0033000E">
              <w:rPr>
                <w:rFonts w:ascii="Times New Roman" w:hAnsi="Times New Roman" w:cs="Times New Roman"/>
                <w:bCs/>
                <w:sz w:val="24"/>
                <w:szCs w:val="20"/>
                <w:lang w:val="uk-UA"/>
              </w:rPr>
              <w:t>…</w:t>
            </w:r>
          </w:p>
          <w:p w14:paraId="7C1320EE" w14:textId="77777777" w:rsidR="006046CF" w:rsidRPr="0033000E" w:rsidRDefault="006046CF" w:rsidP="006046CF">
            <w:pPr>
              <w:pStyle w:val="rvps2"/>
              <w:shd w:val="clear" w:color="auto" w:fill="FFFFFF"/>
              <w:spacing w:before="0" w:beforeAutospacing="0" w:after="0" w:afterAutospacing="0"/>
              <w:ind w:firstLine="448"/>
              <w:jc w:val="both"/>
              <w:rPr>
                <w:szCs w:val="20"/>
                <w:lang w:val="uk-UA"/>
              </w:rPr>
            </w:pPr>
            <w:r w:rsidRPr="0033000E">
              <w:rPr>
                <w:szCs w:val="20"/>
                <w:lang w:val="uk-UA"/>
              </w:rPr>
              <w:t>18) у рядку 3 «Інші витрати операційної діяльності</w:t>
            </w:r>
            <w:r w:rsidRPr="0033000E">
              <w:rPr>
                <w:bCs/>
                <w:szCs w:val="20"/>
                <w:lang w:val="uk-UA"/>
              </w:rPr>
              <w:t>, усього</w:t>
            </w:r>
            <w:r w:rsidRPr="0033000E">
              <w:rPr>
                <w:szCs w:val="20"/>
                <w:lang w:val="uk-UA"/>
              </w:rPr>
              <w:t>» зазначається сума значень рядків 3.1-3.5, яка включає всю суму інших витрат операційної діяльності зазначеного у звіті виду діяльності;</w:t>
            </w:r>
          </w:p>
          <w:p w14:paraId="04E33BFB" w14:textId="77777777" w:rsidR="006046CF" w:rsidRPr="0033000E" w:rsidRDefault="006046CF" w:rsidP="006046CF">
            <w:pPr>
              <w:pStyle w:val="rvps2"/>
              <w:shd w:val="clear" w:color="auto" w:fill="FFFFFF"/>
              <w:spacing w:before="0" w:beforeAutospacing="0" w:after="0" w:afterAutospacing="0"/>
              <w:ind w:firstLine="461"/>
              <w:jc w:val="both"/>
              <w:rPr>
                <w:b/>
                <w:szCs w:val="20"/>
                <w:lang w:val="uk-UA"/>
              </w:rPr>
            </w:pPr>
          </w:p>
          <w:p w14:paraId="1C80C6DB" w14:textId="69F54969" w:rsidR="006046CF" w:rsidRPr="0033000E" w:rsidRDefault="006046CF" w:rsidP="006046CF">
            <w:pPr>
              <w:pStyle w:val="rvps2"/>
              <w:shd w:val="clear" w:color="auto" w:fill="FFFFFF"/>
              <w:spacing w:before="0" w:beforeAutospacing="0" w:after="0" w:afterAutospacing="0"/>
              <w:ind w:firstLine="461"/>
              <w:jc w:val="both"/>
              <w:rPr>
                <w:b/>
                <w:szCs w:val="20"/>
                <w:lang w:val="uk-UA"/>
              </w:rPr>
            </w:pPr>
            <w:r w:rsidRPr="0033000E">
              <w:rPr>
                <w:b/>
                <w:szCs w:val="20"/>
                <w:lang w:val="uk-UA"/>
              </w:rPr>
              <w:t>19) у рядку 3.5.1 «у т.</w:t>
            </w:r>
            <w:r w:rsidR="004E7314">
              <w:rPr>
                <w:b/>
                <w:szCs w:val="20"/>
                <w:lang w:val="uk-UA"/>
              </w:rPr>
              <w:t xml:space="preserve"> </w:t>
            </w:r>
            <w:r w:rsidRPr="0033000E">
              <w:rPr>
                <w:b/>
                <w:szCs w:val="20"/>
                <w:lang w:val="uk-UA"/>
              </w:rPr>
              <w:t>ч. недотримання параметрів якості природного газу» зазначається сума витрат ліцензіата, пов’язаних з недотриманням параметрів якості природного газу»;</w:t>
            </w:r>
          </w:p>
          <w:p w14:paraId="13597BA7" w14:textId="77777777" w:rsidR="006046CF" w:rsidRPr="0033000E" w:rsidRDefault="006046CF" w:rsidP="006046CF">
            <w:pPr>
              <w:pStyle w:val="rvps2"/>
              <w:shd w:val="clear" w:color="auto" w:fill="FFFFFF"/>
              <w:spacing w:before="0" w:beforeAutospacing="0" w:after="0" w:afterAutospacing="0"/>
              <w:ind w:firstLine="461"/>
              <w:jc w:val="both"/>
              <w:rPr>
                <w:b/>
                <w:szCs w:val="20"/>
                <w:lang w:val="uk-UA"/>
              </w:rPr>
            </w:pPr>
          </w:p>
          <w:p w14:paraId="6AE98311" w14:textId="77777777" w:rsidR="006046CF" w:rsidRPr="0033000E" w:rsidRDefault="006046CF" w:rsidP="006046CF">
            <w:pPr>
              <w:pStyle w:val="rvps2"/>
              <w:shd w:val="clear" w:color="auto" w:fill="FFFFFF"/>
              <w:spacing w:before="0" w:beforeAutospacing="0" w:after="0" w:afterAutospacing="0"/>
              <w:ind w:firstLine="461"/>
              <w:jc w:val="both"/>
              <w:rPr>
                <w:b/>
                <w:szCs w:val="20"/>
                <w:lang w:val="uk-UA"/>
              </w:rPr>
            </w:pPr>
            <w:r w:rsidRPr="0033000E">
              <w:rPr>
                <w:b/>
                <w:szCs w:val="20"/>
                <w:lang w:val="uk-UA"/>
              </w:rPr>
              <w:t xml:space="preserve">20) </w:t>
            </w:r>
            <w:r w:rsidRPr="0033000E">
              <w:rPr>
                <w:bCs/>
                <w:szCs w:val="20"/>
                <w:lang w:val="uk-UA"/>
              </w:rPr>
              <w:t>елементи рядка 3 «Інші витрати операційної діяльності, усього» розшифровуються в додатку 9 «Розшифрування інших витрат операційної діяльності»;</w:t>
            </w:r>
          </w:p>
          <w:p w14:paraId="1B56155E" w14:textId="77777777" w:rsidR="006046CF" w:rsidRPr="0033000E" w:rsidRDefault="006046CF" w:rsidP="006046CF">
            <w:pPr>
              <w:pStyle w:val="rvps2"/>
              <w:shd w:val="clear" w:color="auto" w:fill="FFFFFF"/>
              <w:spacing w:before="0" w:beforeAutospacing="0" w:after="0" w:afterAutospacing="0"/>
              <w:ind w:firstLine="461"/>
              <w:jc w:val="both"/>
              <w:rPr>
                <w:bCs/>
                <w:szCs w:val="20"/>
                <w:lang w:val="uk-UA"/>
              </w:rPr>
            </w:pPr>
            <w:r w:rsidRPr="0033000E">
              <w:rPr>
                <w:bCs/>
                <w:szCs w:val="20"/>
                <w:lang w:val="uk-UA"/>
              </w:rPr>
              <w:lastRenderedPageBreak/>
              <w:t>…</w:t>
            </w:r>
          </w:p>
          <w:p w14:paraId="507E8A18" w14:textId="77777777" w:rsidR="006046CF" w:rsidRPr="0033000E" w:rsidRDefault="006046CF" w:rsidP="006046CF">
            <w:pPr>
              <w:pStyle w:val="rvps2"/>
              <w:shd w:val="clear" w:color="auto" w:fill="FFFFFF"/>
              <w:spacing w:before="0" w:beforeAutospacing="0" w:after="0" w:afterAutospacing="0"/>
              <w:ind w:firstLine="461"/>
              <w:jc w:val="both"/>
              <w:rPr>
                <w:bCs/>
                <w:szCs w:val="20"/>
                <w:lang w:val="uk-UA"/>
              </w:rPr>
            </w:pPr>
            <w:r w:rsidRPr="0033000E">
              <w:rPr>
                <w:b/>
                <w:szCs w:val="20"/>
                <w:lang w:val="uk-UA"/>
              </w:rPr>
              <w:t>33)</w:t>
            </w:r>
            <w:r w:rsidRPr="0033000E">
              <w:rPr>
                <w:bCs/>
                <w:szCs w:val="20"/>
                <w:lang w:val="uk-UA"/>
              </w:rPr>
              <w:t xml:space="preserve"> у рядку 7.4 «Інші операційні доходи</w:t>
            </w:r>
            <w:r w:rsidRPr="0033000E">
              <w:rPr>
                <w:b/>
                <w:szCs w:val="20"/>
                <w:lang w:val="uk-UA"/>
              </w:rPr>
              <w:t>, усього»</w:t>
            </w:r>
            <w:r w:rsidRPr="0033000E">
              <w:rPr>
                <w:bCs/>
                <w:szCs w:val="20"/>
                <w:lang w:val="uk-UA"/>
              </w:rPr>
              <w:t xml:space="preserve"> зазначається дохід, отриманий від додаткових робіт, послуг, пов’язаних з зазначеним у звіті видом діяльності;</w:t>
            </w:r>
          </w:p>
          <w:p w14:paraId="2184977B" w14:textId="77777777" w:rsidR="006046CF" w:rsidRPr="0033000E" w:rsidRDefault="006046CF" w:rsidP="006046CF">
            <w:pPr>
              <w:pStyle w:val="rvps2"/>
              <w:shd w:val="clear" w:color="auto" w:fill="FFFFFF"/>
              <w:spacing w:before="0" w:beforeAutospacing="0" w:after="0" w:afterAutospacing="0"/>
              <w:ind w:firstLine="461"/>
              <w:jc w:val="both"/>
              <w:rPr>
                <w:b/>
                <w:szCs w:val="20"/>
                <w:lang w:val="uk-UA"/>
              </w:rPr>
            </w:pPr>
          </w:p>
          <w:p w14:paraId="76B41E93" w14:textId="77777777" w:rsidR="006046CF" w:rsidRPr="0033000E" w:rsidRDefault="006046CF" w:rsidP="006046CF">
            <w:pPr>
              <w:pStyle w:val="rvps2"/>
              <w:shd w:val="clear" w:color="auto" w:fill="FFFFFF"/>
              <w:spacing w:before="0" w:beforeAutospacing="0" w:after="0" w:afterAutospacing="0"/>
              <w:ind w:firstLine="461"/>
              <w:jc w:val="both"/>
              <w:rPr>
                <w:b/>
                <w:szCs w:val="20"/>
                <w:lang w:val="uk-UA"/>
              </w:rPr>
            </w:pPr>
            <w:r w:rsidRPr="0033000E">
              <w:rPr>
                <w:b/>
                <w:szCs w:val="20"/>
                <w:lang w:val="uk-UA"/>
              </w:rPr>
              <w:t xml:space="preserve">34) у рядку 7.4.1 «у т. ч. недотримання параметрів якості природного газу» зазначається сума плати за недотримання суміжними суб’єктами ринку природного газу параметрів якості природного газу»; </w:t>
            </w:r>
          </w:p>
          <w:p w14:paraId="7705E5E2" w14:textId="77777777" w:rsidR="006046CF" w:rsidRPr="0033000E" w:rsidRDefault="006046CF" w:rsidP="006046CF">
            <w:pPr>
              <w:pStyle w:val="rvps2"/>
              <w:shd w:val="clear" w:color="auto" w:fill="FFFFFF"/>
              <w:spacing w:before="0" w:beforeAutospacing="0" w:after="0" w:afterAutospacing="0"/>
              <w:ind w:firstLine="461"/>
              <w:jc w:val="both"/>
              <w:rPr>
                <w:b/>
                <w:szCs w:val="20"/>
                <w:lang w:val="uk-UA"/>
              </w:rPr>
            </w:pPr>
          </w:p>
          <w:p w14:paraId="3851124D" w14:textId="77777777" w:rsidR="006046CF" w:rsidRPr="0033000E" w:rsidRDefault="006046CF" w:rsidP="006046CF">
            <w:pPr>
              <w:pStyle w:val="rvps2"/>
              <w:shd w:val="clear" w:color="auto" w:fill="FFFFFF"/>
              <w:spacing w:before="0" w:beforeAutospacing="0" w:after="0" w:afterAutospacing="0"/>
              <w:ind w:firstLine="461"/>
              <w:jc w:val="both"/>
              <w:rPr>
                <w:bCs/>
                <w:szCs w:val="20"/>
                <w:lang w:val="uk-UA"/>
              </w:rPr>
            </w:pPr>
            <w:r w:rsidRPr="0033000E">
              <w:rPr>
                <w:b/>
                <w:szCs w:val="20"/>
                <w:lang w:val="uk-UA"/>
              </w:rPr>
              <w:t>35)</w:t>
            </w:r>
            <w:r w:rsidRPr="0033000E">
              <w:rPr>
                <w:bCs/>
                <w:szCs w:val="20"/>
                <w:lang w:val="uk-UA"/>
              </w:rPr>
              <w:t xml:space="preserve"> у рядку 7.5 «Інші доходи» зазначається дохід, отриманий у процесі господарської діяльності, але не пов'язаний з операційною діяльністю;</w:t>
            </w:r>
          </w:p>
          <w:p w14:paraId="1937EFEA" w14:textId="77777777" w:rsidR="006046CF" w:rsidRPr="0033000E" w:rsidRDefault="006046CF" w:rsidP="006046CF">
            <w:pPr>
              <w:pStyle w:val="rvps2"/>
              <w:shd w:val="clear" w:color="auto" w:fill="FFFFFF"/>
              <w:spacing w:before="0" w:beforeAutospacing="0" w:after="0" w:afterAutospacing="0"/>
              <w:ind w:firstLine="461"/>
              <w:jc w:val="both"/>
              <w:rPr>
                <w:szCs w:val="20"/>
                <w:lang w:val="uk-UA"/>
              </w:rPr>
            </w:pPr>
            <w:r w:rsidRPr="0033000E">
              <w:rPr>
                <w:szCs w:val="20"/>
                <w:lang w:val="uk-UA"/>
              </w:rPr>
              <w:t>…</w:t>
            </w:r>
          </w:p>
          <w:p w14:paraId="7ADB01AD" w14:textId="77777777" w:rsidR="006046CF" w:rsidRPr="0033000E" w:rsidRDefault="006046CF" w:rsidP="006046CF">
            <w:pPr>
              <w:pStyle w:val="2"/>
              <w:ind w:firstLine="22"/>
              <w:contextualSpacing/>
              <w:jc w:val="both"/>
              <w:rPr>
                <w:noProof/>
                <w:szCs w:val="20"/>
                <w:lang w:val="uk-UA"/>
              </w:rPr>
            </w:pPr>
          </w:p>
        </w:tc>
        <w:tc>
          <w:tcPr>
            <w:tcW w:w="5957" w:type="dxa"/>
          </w:tcPr>
          <w:p w14:paraId="62712859" w14:textId="77777777" w:rsidR="006046CF" w:rsidRPr="0033000E" w:rsidRDefault="006046CF" w:rsidP="006F2253">
            <w:pPr>
              <w:tabs>
                <w:tab w:val="left" w:pos="1185"/>
              </w:tabs>
              <w:ind w:firstLine="736"/>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lastRenderedPageBreak/>
              <w:t>Пропозиція АТ «Укртрансгаз»</w:t>
            </w:r>
          </w:p>
          <w:p w14:paraId="075E9BE6" w14:textId="77777777" w:rsidR="006046CF" w:rsidRPr="0033000E" w:rsidRDefault="006046CF" w:rsidP="006046CF">
            <w:pPr>
              <w:ind w:firstLine="709"/>
              <w:jc w:val="both"/>
              <w:rPr>
                <w:rFonts w:ascii="Times New Roman" w:eastAsia="Calibri" w:hAnsi="Times New Roman" w:cs="Times New Roman"/>
                <w:bCs/>
                <w:sz w:val="24"/>
                <w:szCs w:val="24"/>
                <w:lang w:val="uk-UA"/>
              </w:rPr>
            </w:pPr>
            <w:r w:rsidRPr="0033000E">
              <w:rPr>
                <w:rFonts w:ascii="Times New Roman" w:eastAsia="Calibri" w:hAnsi="Times New Roman" w:cs="Times New Roman"/>
                <w:bCs/>
                <w:sz w:val="24"/>
                <w:szCs w:val="24"/>
                <w:lang w:val="uk-UA"/>
              </w:rPr>
              <w:t xml:space="preserve">1. Форма № 7б передбачає звітність ліцензіата щодо виробничої собівартості продукції (робіт, послуг), адміністративних витрат, інших витрат операційної діяльності, фінансових витрат, інших витрат, доходу (виручки) від реалізації продукції (товарів, робіт, послуг), іншого операційного доходу та фінансового результату ліцензіата за кожен місяць звітного періоду у розрізі діяльності із зберігання (закачування, відбору) природного газу </w:t>
            </w:r>
            <w:r w:rsidRPr="0033000E">
              <w:rPr>
                <w:rFonts w:ascii="Times New Roman" w:eastAsia="Calibri" w:hAnsi="Times New Roman" w:cs="Times New Roman"/>
                <w:b/>
                <w:bCs/>
                <w:strike/>
                <w:sz w:val="24"/>
                <w:szCs w:val="24"/>
                <w:lang w:val="uk-UA"/>
              </w:rPr>
              <w:t>та інших видів діяльності</w:t>
            </w:r>
            <w:r w:rsidRPr="0033000E">
              <w:rPr>
                <w:rFonts w:ascii="Times New Roman" w:eastAsia="Calibri" w:hAnsi="Times New Roman" w:cs="Times New Roman"/>
                <w:sz w:val="24"/>
                <w:szCs w:val="24"/>
                <w:lang w:val="uk-UA"/>
              </w:rPr>
              <w:t xml:space="preserve">, </w:t>
            </w:r>
            <w:r w:rsidRPr="0033000E">
              <w:rPr>
                <w:rFonts w:ascii="Times New Roman" w:eastAsia="Calibri" w:hAnsi="Times New Roman" w:cs="Times New Roman"/>
                <w:bCs/>
                <w:sz w:val="24"/>
                <w:szCs w:val="24"/>
                <w:lang w:val="uk-UA"/>
              </w:rPr>
              <w:t xml:space="preserve">складена на підставі даних бухгалтерського обліку (крім амортизації, яка заповнюється відповідно до даних податкового обліку), </w:t>
            </w:r>
            <w:r w:rsidRPr="0033000E">
              <w:rPr>
                <w:rFonts w:ascii="Times New Roman" w:eastAsia="Calibri" w:hAnsi="Times New Roman" w:cs="Times New Roman"/>
                <w:b/>
                <w:sz w:val="24"/>
                <w:szCs w:val="24"/>
                <w:u w:val="single"/>
                <w:lang w:val="uk-UA"/>
              </w:rPr>
              <w:t>та інших видів діяльності</w:t>
            </w:r>
            <w:r w:rsidRPr="0033000E">
              <w:rPr>
                <w:rFonts w:ascii="Times New Roman" w:eastAsia="Calibri" w:hAnsi="Times New Roman" w:cs="Times New Roman"/>
                <w:bCs/>
                <w:sz w:val="24"/>
                <w:szCs w:val="24"/>
                <w:lang w:val="uk-UA"/>
              </w:rPr>
              <w:t>, а саме:</w:t>
            </w:r>
          </w:p>
          <w:p w14:paraId="124F2187" w14:textId="44817822" w:rsidR="006046CF" w:rsidRPr="0033000E" w:rsidRDefault="006046CF" w:rsidP="006046CF">
            <w:pPr>
              <w:tabs>
                <w:tab w:val="left" w:pos="1185"/>
              </w:tabs>
              <w:rPr>
                <w:rFonts w:ascii="Times New Roman" w:hAnsi="Times New Roman" w:cs="Times New Roman"/>
                <w:b/>
                <w:bCs/>
                <w:iCs/>
                <w:color w:val="000000" w:themeColor="text1"/>
                <w:sz w:val="24"/>
                <w:szCs w:val="24"/>
                <w:shd w:val="clear" w:color="auto" w:fill="FFFFFF"/>
                <w:lang w:val="uk-UA"/>
              </w:rPr>
            </w:pPr>
            <w:r w:rsidRPr="0033000E">
              <w:rPr>
                <w:rFonts w:ascii="Times New Roman" w:hAnsi="Times New Roman" w:cs="Times New Roman"/>
                <w:b/>
                <w:bCs/>
                <w:iCs/>
                <w:color w:val="000000" w:themeColor="text1"/>
                <w:sz w:val="24"/>
                <w:szCs w:val="24"/>
                <w:shd w:val="clear" w:color="auto" w:fill="FFFFFF"/>
                <w:lang w:val="uk-UA"/>
              </w:rPr>
              <w:t>Обґрунтування</w:t>
            </w:r>
          </w:p>
          <w:p w14:paraId="35EA9582" w14:textId="77777777" w:rsidR="006046CF" w:rsidRPr="0033000E" w:rsidRDefault="006046CF" w:rsidP="006046CF">
            <w:pPr>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Відповідно до пункту 3 частини 1 статті 17 Закону України «Про Національну комісію, що здійснює державне регулювання у сферах енергетики та комунальних послуг» для ефективного виконання завдань державного регулювання у сферах енергетики та комунальних послуг Регулятор розробляє та затверджує нормативно-правові акти, зокрема, порядки (правила) організації обліку та звітності за видами ліцензованої діяльності та форми звітності суб’єктів господарювання, що провадять діяльність у сферах енергетики та комунальних послуг, та порядок їх подання.</w:t>
            </w:r>
          </w:p>
          <w:p w14:paraId="0376636A" w14:textId="77777777" w:rsidR="006046CF" w:rsidRPr="0033000E" w:rsidRDefault="006046CF" w:rsidP="006046CF">
            <w:pPr>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lastRenderedPageBreak/>
              <w:t>Водночас, стаття 4 Закону України «Про бухгалтерський облік та фінансову звітність в Україні» встановлює принцип послідовності, який передбачає постійне (з року в рік) застосування підприємством обраної облікової політики. Зміна облікової політики можлива лише у випадках, передбачених національними положеннями (стандартами) бухгалтерського обліку, міжнародними стандартами фінансової звітності та національними положеннями (стандартами) бухгалтерського обліку у державному секторі, і повинна бути обґрунтована та розкрита у фінансовій звітності.</w:t>
            </w:r>
          </w:p>
          <w:p w14:paraId="6FD07C0C" w14:textId="77777777" w:rsidR="006046CF" w:rsidRPr="0033000E" w:rsidRDefault="006046CF" w:rsidP="006046CF">
            <w:pPr>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 xml:space="preserve">З огляду на зазначене, виконання вимог Інструкції щодо відображення показників амортизації (податкової) за іншими, ніж ліцензованими, видами господарської діяльності фактично </w:t>
            </w:r>
            <w:proofErr w:type="spellStart"/>
            <w:r w:rsidRPr="0033000E">
              <w:rPr>
                <w:rFonts w:ascii="Times New Roman" w:eastAsia="Times New Roman" w:hAnsi="Times New Roman" w:cs="Times New Roman"/>
                <w:spacing w:val="1"/>
                <w:sz w:val="24"/>
                <w:szCs w:val="24"/>
                <w:lang w:val="uk-UA"/>
              </w:rPr>
              <w:t>означатиме</w:t>
            </w:r>
            <w:proofErr w:type="spellEnd"/>
            <w:r w:rsidRPr="0033000E">
              <w:rPr>
                <w:rFonts w:ascii="Times New Roman" w:eastAsia="Times New Roman" w:hAnsi="Times New Roman" w:cs="Times New Roman"/>
                <w:spacing w:val="1"/>
                <w:sz w:val="24"/>
                <w:szCs w:val="24"/>
                <w:lang w:val="uk-UA"/>
              </w:rPr>
              <w:t xml:space="preserve"> порушення принципу послідовності при веденні бухгалтерського обліку Товариством, адже потребуватиме необґрунтованих змін у веденні обліку господарських операцій при здійсненні видів діяльності, які не регулюються НКРЕКП.</w:t>
            </w:r>
          </w:p>
          <w:p w14:paraId="2C33CE73" w14:textId="77777777" w:rsidR="006046CF" w:rsidRPr="0033000E" w:rsidRDefault="006046CF" w:rsidP="006046CF">
            <w:pPr>
              <w:ind w:right="40" w:firstLine="7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Крім того, відповідно до абзацу другого частини першої статті 2 Закону України «Про природні монополії» передбачене цим Законом регулювання діяльності суб’єктів природних монополій та суб’єктів господарювання, що діють на суміжних ринках, не застосовується до діяльності таких суб’єктів у сферах, що не належать до природних монополій та суміжних ринків, визначених цим Законом.</w:t>
            </w:r>
          </w:p>
          <w:p w14:paraId="3EDC312D" w14:textId="0AB83A88" w:rsidR="006046CF" w:rsidRPr="0033000E" w:rsidRDefault="006046CF" w:rsidP="006046CF">
            <w:pPr>
              <w:tabs>
                <w:tab w:val="left" w:pos="1185"/>
              </w:tabs>
              <w:rPr>
                <w:rFonts w:ascii="Times New Roman" w:hAnsi="Times New Roman" w:cs="Times New Roman"/>
                <w:b/>
                <w:bCs/>
                <w:iCs/>
                <w:color w:val="000000" w:themeColor="text1"/>
                <w:sz w:val="24"/>
                <w:szCs w:val="24"/>
                <w:shd w:val="clear" w:color="auto" w:fill="FFFFFF"/>
                <w:lang w:val="uk-UA"/>
              </w:rPr>
            </w:pPr>
          </w:p>
        </w:tc>
        <w:tc>
          <w:tcPr>
            <w:tcW w:w="3687" w:type="dxa"/>
          </w:tcPr>
          <w:p w14:paraId="7F2A68B4" w14:textId="77777777" w:rsidR="006046CF" w:rsidRPr="0033000E" w:rsidRDefault="006046CF" w:rsidP="006046CF">
            <w:pPr>
              <w:ind w:firstLine="309"/>
              <w:jc w:val="both"/>
              <w:rPr>
                <w:rFonts w:ascii="Times New Roman" w:eastAsia="Times New Roman" w:hAnsi="Times New Roman" w:cs="Times New Roman"/>
                <w:b/>
                <w:color w:val="000000" w:themeColor="text1"/>
                <w:sz w:val="24"/>
                <w:szCs w:val="24"/>
                <w:lang w:val="uk-UA" w:eastAsia="uk-UA"/>
              </w:rPr>
            </w:pPr>
            <w:r w:rsidRPr="0033000E">
              <w:rPr>
                <w:rFonts w:ascii="Times New Roman" w:eastAsia="Times New Roman" w:hAnsi="Times New Roman" w:cs="Times New Roman"/>
                <w:b/>
                <w:color w:val="000000" w:themeColor="text1"/>
                <w:sz w:val="24"/>
                <w:szCs w:val="24"/>
                <w:lang w:val="uk-UA" w:eastAsia="uk-UA"/>
              </w:rPr>
              <w:lastRenderedPageBreak/>
              <w:t>Попередньо відхилено</w:t>
            </w:r>
          </w:p>
          <w:p w14:paraId="18FFB023" w14:textId="77777777" w:rsidR="006046CF" w:rsidRPr="0033000E" w:rsidRDefault="006046CF" w:rsidP="006046CF">
            <w:pPr>
              <w:ind w:firstLine="309"/>
              <w:jc w:val="both"/>
              <w:rPr>
                <w:rFonts w:ascii="Times New Roman" w:eastAsia="Times New Roman" w:hAnsi="Times New Roman" w:cs="Times New Roman"/>
                <w:spacing w:val="1"/>
                <w:sz w:val="24"/>
                <w:szCs w:val="24"/>
                <w:lang w:val="uk-UA"/>
              </w:rPr>
            </w:pPr>
            <w:r w:rsidRPr="0033000E">
              <w:rPr>
                <w:rFonts w:ascii="Times New Roman" w:eastAsia="Times New Roman" w:hAnsi="Times New Roman" w:cs="Times New Roman"/>
                <w:spacing w:val="1"/>
                <w:sz w:val="24"/>
                <w:szCs w:val="24"/>
                <w:lang w:val="uk-UA"/>
              </w:rPr>
              <w:t>Проєктом постанови передбачаються зміни щодо розширення переліку інформації, що подається оператором газосховищ, в частині</w:t>
            </w:r>
            <w:r>
              <w:rPr>
                <w:rFonts w:ascii="Times New Roman" w:eastAsia="Times New Roman" w:hAnsi="Times New Roman" w:cs="Times New Roman"/>
                <w:spacing w:val="1"/>
                <w:sz w:val="24"/>
                <w:szCs w:val="24"/>
                <w:lang w:val="uk-UA"/>
              </w:rPr>
              <w:t xml:space="preserve"> доходів та витрат від </w:t>
            </w:r>
            <w:r w:rsidRPr="0033000E">
              <w:rPr>
                <w:rFonts w:ascii="Times New Roman" w:eastAsia="Times New Roman" w:hAnsi="Times New Roman" w:cs="Times New Roman"/>
                <w:spacing w:val="1"/>
                <w:sz w:val="24"/>
                <w:szCs w:val="24"/>
                <w:lang w:val="uk-UA"/>
              </w:rPr>
              <w:t>недотримання параметрів якості природного газу.</w:t>
            </w:r>
          </w:p>
          <w:p w14:paraId="20575168" w14:textId="0CCDB3EA" w:rsidR="006046CF" w:rsidRPr="0033000E" w:rsidRDefault="006046CF">
            <w:pPr>
              <w:shd w:val="clear" w:color="auto" w:fill="FFFFFF" w:themeFill="background1"/>
              <w:ind w:firstLine="306"/>
              <w:jc w:val="both"/>
              <w:rPr>
                <w:rFonts w:ascii="Times New Roman" w:eastAsia="Times New Roman" w:hAnsi="Times New Roman" w:cs="Times New Roman"/>
                <w:bCs/>
                <w:color w:val="000000" w:themeColor="text1"/>
                <w:sz w:val="24"/>
                <w:szCs w:val="24"/>
                <w:lang w:val="uk-UA" w:eastAsia="uk-UA"/>
              </w:rPr>
            </w:pPr>
            <w:r>
              <w:rPr>
                <w:rFonts w:ascii="Times New Roman" w:eastAsia="Times New Roman" w:hAnsi="Times New Roman" w:cs="Times New Roman"/>
                <w:spacing w:val="1"/>
                <w:sz w:val="24"/>
                <w:szCs w:val="24"/>
                <w:lang w:val="uk-UA"/>
              </w:rPr>
              <w:t xml:space="preserve">Зауваження та пропозиції </w:t>
            </w:r>
            <w:r w:rsidRPr="0033000E">
              <w:rPr>
                <w:rFonts w:ascii="Times New Roman" w:eastAsia="Times New Roman" w:hAnsi="Times New Roman" w:cs="Times New Roman"/>
                <w:bCs/>
                <w:color w:val="000000" w:themeColor="text1"/>
                <w:sz w:val="24"/>
                <w:szCs w:val="24"/>
                <w:lang w:val="uk-UA" w:eastAsia="uk-UA"/>
              </w:rPr>
              <w:t>не стосу</w:t>
            </w:r>
            <w:r>
              <w:rPr>
                <w:rFonts w:ascii="Times New Roman" w:eastAsia="Times New Roman" w:hAnsi="Times New Roman" w:cs="Times New Roman"/>
                <w:bCs/>
                <w:color w:val="000000" w:themeColor="text1"/>
                <w:sz w:val="24"/>
                <w:szCs w:val="24"/>
                <w:lang w:val="uk-UA" w:eastAsia="uk-UA"/>
              </w:rPr>
              <w:t>ю</w:t>
            </w:r>
            <w:r w:rsidRPr="0033000E">
              <w:rPr>
                <w:rFonts w:ascii="Times New Roman" w:eastAsia="Times New Roman" w:hAnsi="Times New Roman" w:cs="Times New Roman"/>
                <w:bCs/>
                <w:color w:val="000000" w:themeColor="text1"/>
                <w:sz w:val="24"/>
                <w:szCs w:val="24"/>
                <w:lang w:val="uk-UA" w:eastAsia="uk-UA"/>
              </w:rPr>
              <w:t xml:space="preserve">ться змісту положень </w:t>
            </w:r>
            <w:proofErr w:type="spellStart"/>
            <w:r w:rsidRPr="0033000E">
              <w:rPr>
                <w:rFonts w:ascii="Times New Roman" w:eastAsia="Times New Roman" w:hAnsi="Times New Roman" w:cs="Times New Roman"/>
                <w:bCs/>
                <w:color w:val="000000" w:themeColor="text1"/>
                <w:sz w:val="24"/>
                <w:szCs w:val="24"/>
                <w:lang w:val="uk-UA" w:eastAsia="uk-UA"/>
              </w:rPr>
              <w:t>проєкту</w:t>
            </w:r>
            <w:proofErr w:type="spellEnd"/>
            <w:r w:rsidRPr="0033000E">
              <w:rPr>
                <w:rFonts w:ascii="Times New Roman" w:eastAsia="Times New Roman" w:hAnsi="Times New Roman" w:cs="Times New Roman"/>
                <w:bCs/>
                <w:color w:val="000000" w:themeColor="text1"/>
                <w:sz w:val="24"/>
                <w:szCs w:val="24"/>
                <w:lang w:val="uk-UA" w:eastAsia="uk-UA"/>
              </w:rPr>
              <w:t xml:space="preserve"> рішення НКРЕКП</w:t>
            </w:r>
            <w:r>
              <w:rPr>
                <w:rFonts w:ascii="Times New Roman" w:eastAsia="Times New Roman" w:hAnsi="Times New Roman" w:cs="Times New Roman"/>
                <w:bCs/>
                <w:color w:val="000000" w:themeColor="text1"/>
                <w:sz w:val="24"/>
                <w:szCs w:val="24"/>
                <w:lang w:val="uk-UA" w:eastAsia="uk-UA"/>
              </w:rPr>
              <w:t>.</w:t>
            </w:r>
          </w:p>
        </w:tc>
      </w:tr>
    </w:tbl>
    <w:p w14:paraId="6CAEC889" w14:textId="77777777" w:rsidR="00FB10F3" w:rsidRPr="0033000E" w:rsidRDefault="00FB10F3" w:rsidP="00FB10F3">
      <w:pPr>
        <w:pBdr>
          <w:top w:val="nil"/>
          <w:left w:val="nil"/>
          <w:bottom w:val="nil"/>
          <w:right w:val="nil"/>
          <w:between w:val="nil"/>
        </w:pBdr>
        <w:spacing w:after="0" w:line="240" w:lineRule="auto"/>
        <w:ind w:left="6" w:hanging="6"/>
        <w:jc w:val="both"/>
        <w:rPr>
          <w:rFonts w:ascii="Times New Roman" w:eastAsia="Calibri" w:hAnsi="Times New Roman" w:cs="Times New Roman"/>
          <w:b/>
          <w:sz w:val="28"/>
          <w:szCs w:val="28"/>
          <w:lang w:eastAsia="uk-UA"/>
        </w:rPr>
      </w:pPr>
    </w:p>
    <w:sectPr w:rsidR="00FB10F3" w:rsidRPr="0033000E" w:rsidSect="009D1B15">
      <w:pgSz w:w="16838" w:h="11906" w:orient="landscape"/>
      <w:pgMar w:top="170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26842"/>
    <w:multiLevelType w:val="multilevel"/>
    <w:tmpl w:val="EA4C2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7084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E46"/>
    <w:rsid w:val="00097613"/>
    <w:rsid w:val="000D0FE2"/>
    <w:rsid w:val="000E5D69"/>
    <w:rsid w:val="000F1E98"/>
    <w:rsid w:val="00124746"/>
    <w:rsid w:val="00135205"/>
    <w:rsid w:val="001A309C"/>
    <w:rsid w:val="001A384F"/>
    <w:rsid w:val="001D7C4C"/>
    <w:rsid w:val="001F07B2"/>
    <w:rsid w:val="001F1834"/>
    <w:rsid w:val="00295C7A"/>
    <w:rsid w:val="002C166D"/>
    <w:rsid w:val="002E7C7B"/>
    <w:rsid w:val="003039C6"/>
    <w:rsid w:val="00321DF9"/>
    <w:rsid w:val="0033000E"/>
    <w:rsid w:val="003420C7"/>
    <w:rsid w:val="0037498B"/>
    <w:rsid w:val="0039260E"/>
    <w:rsid w:val="003E398F"/>
    <w:rsid w:val="0040698C"/>
    <w:rsid w:val="0041378C"/>
    <w:rsid w:val="00430B78"/>
    <w:rsid w:val="00440FBF"/>
    <w:rsid w:val="00465DD0"/>
    <w:rsid w:val="004A116C"/>
    <w:rsid w:val="004A3930"/>
    <w:rsid w:val="004D2D58"/>
    <w:rsid w:val="004D56C4"/>
    <w:rsid w:val="004E0F7A"/>
    <w:rsid w:val="004E7314"/>
    <w:rsid w:val="005170B3"/>
    <w:rsid w:val="0052121A"/>
    <w:rsid w:val="00590DDE"/>
    <w:rsid w:val="00593EE6"/>
    <w:rsid w:val="005B4C92"/>
    <w:rsid w:val="005D63B6"/>
    <w:rsid w:val="005E3CD4"/>
    <w:rsid w:val="006046CF"/>
    <w:rsid w:val="0067405C"/>
    <w:rsid w:val="0068280F"/>
    <w:rsid w:val="0069133F"/>
    <w:rsid w:val="0069316C"/>
    <w:rsid w:val="006B20CE"/>
    <w:rsid w:val="006D097C"/>
    <w:rsid w:val="006E3806"/>
    <w:rsid w:val="006F2253"/>
    <w:rsid w:val="0071174F"/>
    <w:rsid w:val="00711A0C"/>
    <w:rsid w:val="0071656D"/>
    <w:rsid w:val="007178B0"/>
    <w:rsid w:val="007450FA"/>
    <w:rsid w:val="00760DB7"/>
    <w:rsid w:val="007C7117"/>
    <w:rsid w:val="007D159F"/>
    <w:rsid w:val="007E7581"/>
    <w:rsid w:val="0080293A"/>
    <w:rsid w:val="00850203"/>
    <w:rsid w:val="00865486"/>
    <w:rsid w:val="008670B4"/>
    <w:rsid w:val="00884254"/>
    <w:rsid w:val="008D6E76"/>
    <w:rsid w:val="008F3192"/>
    <w:rsid w:val="008F46D0"/>
    <w:rsid w:val="00930FCF"/>
    <w:rsid w:val="0095299B"/>
    <w:rsid w:val="0095431F"/>
    <w:rsid w:val="00992E46"/>
    <w:rsid w:val="00996445"/>
    <w:rsid w:val="009D1B15"/>
    <w:rsid w:val="00A021EB"/>
    <w:rsid w:val="00A34E68"/>
    <w:rsid w:val="00A57078"/>
    <w:rsid w:val="00A77350"/>
    <w:rsid w:val="00A9784D"/>
    <w:rsid w:val="00AB593C"/>
    <w:rsid w:val="00AB6F18"/>
    <w:rsid w:val="00AF370E"/>
    <w:rsid w:val="00B33C94"/>
    <w:rsid w:val="00B67E29"/>
    <w:rsid w:val="00BD7C1A"/>
    <w:rsid w:val="00BE6C7B"/>
    <w:rsid w:val="00C34713"/>
    <w:rsid w:val="00C54AB8"/>
    <w:rsid w:val="00C62AF4"/>
    <w:rsid w:val="00C712DA"/>
    <w:rsid w:val="00CD0B24"/>
    <w:rsid w:val="00CD2B87"/>
    <w:rsid w:val="00CE51A8"/>
    <w:rsid w:val="00D0578F"/>
    <w:rsid w:val="00D13A0B"/>
    <w:rsid w:val="00D236CD"/>
    <w:rsid w:val="00DA3B14"/>
    <w:rsid w:val="00DB1715"/>
    <w:rsid w:val="00DB4C24"/>
    <w:rsid w:val="00DD2478"/>
    <w:rsid w:val="00DD6155"/>
    <w:rsid w:val="00DE050E"/>
    <w:rsid w:val="00E06234"/>
    <w:rsid w:val="00E46922"/>
    <w:rsid w:val="00E95B43"/>
    <w:rsid w:val="00E97741"/>
    <w:rsid w:val="00EA3FB0"/>
    <w:rsid w:val="00EA74D7"/>
    <w:rsid w:val="00EC30B1"/>
    <w:rsid w:val="00F01E57"/>
    <w:rsid w:val="00F256FA"/>
    <w:rsid w:val="00FA36B4"/>
    <w:rsid w:val="00FA45B3"/>
    <w:rsid w:val="00FB10F3"/>
    <w:rsid w:val="00FD763B"/>
    <w:rsid w:val="00FF29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171C1"/>
  <w15:chartTrackingRefBased/>
  <w15:docId w15:val="{9CD8D08B-6F38-4015-B1B3-E1929A57C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5205"/>
  </w:style>
  <w:style w:type="paragraph" w:styleId="2">
    <w:name w:val="heading 2"/>
    <w:basedOn w:val="a"/>
    <w:link w:val="20"/>
    <w:qFormat/>
    <w:rsid w:val="0069133F"/>
    <w:pPr>
      <w:spacing w:before="100" w:beforeAutospacing="1" w:after="100" w:afterAutospacing="1" w:line="240" w:lineRule="auto"/>
      <w:outlineLvl w:val="1"/>
    </w:pPr>
    <w:rPr>
      <w:rFonts w:ascii="Times New Roman" w:eastAsia="Calibri" w:hAnsi="Times New Roman" w:cs="Times New Roman"/>
      <w:b/>
      <w:bCs/>
      <w:sz w:val="36"/>
      <w:szCs w:val="3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520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0E5D69"/>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5">
    <w:name w:val="Нижній колонтитул Знак"/>
    <w:basedOn w:val="a0"/>
    <w:link w:val="a4"/>
    <w:rsid w:val="000E5D69"/>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9133F"/>
    <w:rPr>
      <w:rFonts w:ascii="Times New Roman" w:eastAsia="Calibri" w:hAnsi="Times New Roman" w:cs="Times New Roman"/>
      <w:b/>
      <w:bCs/>
      <w:sz w:val="36"/>
      <w:szCs w:val="36"/>
      <w:lang w:val="x-none" w:eastAsia="ru-RU"/>
    </w:rPr>
  </w:style>
  <w:style w:type="paragraph" w:styleId="a6">
    <w:name w:val="Normal (Web)"/>
    <w:basedOn w:val="a"/>
    <w:uiPriority w:val="99"/>
    <w:rsid w:val="0069133F"/>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7">
    <w:name w:val="Title"/>
    <w:basedOn w:val="a"/>
    <w:next w:val="a"/>
    <w:link w:val="a8"/>
    <w:rsid w:val="00FB10F3"/>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cs="Times New Roman"/>
      <w:b/>
      <w:position w:val="-1"/>
      <w:sz w:val="72"/>
      <w:szCs w:val="72"/>
      <w:lang w:eastAsia="ru-RU"/>
    </w:rPr>
  </w:style>
  <w:style w:type="character" w:customStyle="1" w:styleId="a8">
    <w:name w:val="Назва Знак"/>
    <w:basedOn w:val="a0"/>
    <w:link w:val="a7"/>
    <w:rsid w:val="00FB10F3"/>
    <w:rPr>
      <w:rFonts w:ascii="Times New Roman" w:eastAsia="Times New Roman" w:hAnsi="Times New Roman" w:cs="Times New Roman"/>
      <w:b/>
      <w:position w:val="-1"/>
      <w:sz w:val="72"/>
      <w:szCs w:val="72"/>
      <w:lang w:eastAsia="ru-RU"/>
    </w:rPr>
  </w:style>
  <w:style w:type="paragraph" w:styleId="a9">
    <w:name w:val="No Spacing"/>
    <w:uiPriority w:val="1"/>
    <w:qFormat/>
    <w:rsid w:val="00A34E68"/>
    <w:pPr>
      <w:spacing w:after="0" w:line="240" w:lineRule="auto"/>
    </w:pPr>
    <w:rPr>
      <w:lang w:val="ru-RU"/>
    </w:rPr>
  </w:style>
  <w:style w:type="paragraph" w:customStyle="1" w:styleId="rvps2">
    <w:name w:val="rvps2"/>
    <w:basedOn w:val="a"/>
    <w:rsid w:val="001D7C4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Balloon Text"/>
    <w:basedOn w:val="a"/>
    <w:link w:val="ab"/>
    <w:uiPriority w:val="99"/>
    <w:semiHidden/>
    <w:unhideWhenUsed/>
    <w:rsid w:val="00DB4C24"/>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B4C24"/>
    <w:rPr>
      <w:rFonts w:ascii="Segoe UI" w:hAnsi="Segoe UI" w:cs="Segoe UI"/>
      <w:sz w:val="18"/>
      <w:szCs w:val="18"/>
    </w:rPr>
  </w:style>
  <w:style w:type="character" w:styleId="ac">
    <w:name w:val="annotation reference"/>
    <w:basedOn w:val="a0"/>
    <w:uiPriority w:val="99"/>
    <w:semiHidden/>
    <w:unhideWhenUsed/>
    <w:rsid w:val="00AF370E"/>
    <w:rPr>
      <w:sz w:val="16"/>
      <w:szCs w:val="16"/>
    </w:rPr>
  </w:style>
  <w:style w:type="paragraph" w:styleId="ad">
    <w:name w:val="annotation text"/>
    <w:basedOn w:val="a"/>
    <w:link w:val="ae"/>
    <w:uiPriority w:val="99"/>
    <w:semiHidden/>
    <w:unhideWhenUsed/>
    <w:rsid w:val="00AF370E"/>
    <w:pPr>
      <w:spacing w:line="240" w:lineRule="auto"/>
    </w:pPr>
    <w:rPr>
      <w:sz w:val="20"/>
      <w:szCs w:val="20"/>
    </w:rPr>
  </w:style>
  <w:style w:type="character" w:customStyle="1" w:styleId="ae">
    <w:name w:val="Текст примітки Знак"/>
    <w:basedOn w:val="a0"/>
    <w:link w:val="ad"/>
    <w:uiPriority w:val="99"/>
    <w:semiHidden/>
    <w:rsid w:val="00AF370E"/>
    <w:rPr>
      <w:sz w:val="20"/>
      <w:szCs w:val="20"/>
    </w:rPr>
  </w:style>
  <w:style w:type="paragraph" w:styleId="af">
    <w:name w:val="annotation subject"/>
    <w:basedOn w:val="ad"/>
    <w:next w:val="ad"/>
    <w:link w:val="af0"/>
    <w:uiPriority w:val="99"/>
    <w:semiHidden/>
    <w:unhideWhenUsed/>
    <w:rsid w:val="00AF370E"/>
    <w:rPr>
      <w:b/>
      <w:bCs/>
    </w:rPr>
  </w:style>
  <w:style w:type="character" w:customStyle="1" w:styleId="af0">
    <w:name w:val="Тема примітки Знак"/>
    <w:basedOn w:val="ae"/>
    <w:link w:val="af"/>
    <w:uiPriority w:val="99"/>
    <w:semiHidden/>
    <w:rsid w:val="00AF370E"/>
    <w:rPr>
      <w:b/>
      <w:bCs/>
      <w:sz w:val="20"/>
      <w:szCs w:val="20"/>
    </w:rPr>
  </w:style>
  <w:style w:type="paragraph" w:styleId="af1">
    <w:name w:val="Revision"/>
    <w:hidden/>
    <w:uiPriority w:val="99"/>
    <w:semiHidden/>
    <w:rsid w:val="006F22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35592">
      <w:bodyDiv w:val="1"/>
      <w:marLeft w:val="0"/>
      <w:marRight w:val="0"/>
      <w:marTop w:val="0"/>
      <w:marBottom w:val="0"/>
      <w:divBdr>
        <w:top w:val="none" w:sz="0" w:space="0" w:color="auto"/>
        <w:left w:val="none" w:sz="0" w:space="0" w:color="auto"/>
        <w:bottom w:val="none" w:sz="0" w:space="0" w:color="auto"/>
        <w:right w:val="none" w:sz="0" w:space="0" w:color="auto"/>
      </w:divBdr>
    </w:div>
    <w:div w:id="177698950">
      <w:bodyDiv w:val="1"/>
      <w:marLeft w:val="0"/>
      <w:marRight w:val="0"/>
      <w:marTop w:val="0"/>
      <w:marBottom w:val="0"/>
      <w:divBdr>
        <w:top w:val="none" w:sz="0" w:space="0" w:color="auto"/>
        <w:left w:val="none" w:sz="0" w:space="0" w:color="auto"/>
        <w:bottom w:val="none" w:sz="0" w:space="0" w:color="auto"/>
        <w:right w:val="none" w:sz="0" w:space="0" w:color="auto"/>
      </w:divBdr>
      <w:divsChild>
        <w:div w:id="721829279">
          <w:marLeft w:val="0"/>
          <w:marRight w:val="0"/>
          <w:marTop w:val="0"/>
          <w:marBottom w:val="0"/>
          <w:divBdr>
            <w:top w:val="none" w:sz="0" w:space="0" w:color="auto"/>
            <w:left w:val="none" w:sz="0" w:space="0" w:color="auto"/>
            <w:bottom w:val="none" w:sz="0" w:space="0" w:color="auto"/>
            <w:right w:val="none" w:sz="0" w:space="0" w:color="auto"/>
          </w:divBdr>
          <w:divsChild>
            <w:div w:id="111019476">
              <w:marLeft w:val="0"/>
              <w:marRight w:val="0"/>
              <w:marTop w:val="0"/>
              <w:marBottom w:val="0"/>
              <w:divBdr>
                <w:top w:val="none" w:sz="0" w:space="0" w:color="auto"/>
                <w:left w:val="none" w:sz="0" w:space="0" w:color="auto"/>
                <w:bottom w:val="none" w:sz="0" w:space="0" w:color="auto"/>
                <w:right w:val="none" w:sz="0" w:space="0" w:color="auto"/>
              </w:divBdr>
              <w:divsChild>
                <w:div w:id="1917855720">
                  <w:marLeft w:val="0"/>
                  <w:marRight w:val="0"/>
                  <w:marTop w:val="0"/>
                  <w:marBottom w:val="0"/>
                  <w:divBdr>
                    <w:top w:val="none" w:sz="0" w:space="0" w:color="auto"/>
                    <w:left w:val="none" w:sz="0" w:space="0" w:color="auto"/>
                    <w:bottom w:val="none" w:sz="0" w:space="0" w:color="auto"/>
                    <w:right w:val="none" w:sz="0" w:space="0" w:color="auto"/>
                  </w:divBdr>
                  <w:divsChild>
                    <w:div w:id="381905343">
                      <w:marLeft w:val="0"/>
                      <w:marRight w:val="0"/>
                      <w:marTop w:val="0"/>
                      <w:marBottom w:val="0"/>
                      <w:divBdr>
                        <w:top w:val="none" w:sz="0" w:space="0" w:color="auto"/>
                        <w:left w:val="none" w:sz="0" w:space="0" w:color="auto"/>
                        <w:bottom w:val="none" w:sz="0" w:space="0" w:color="auto"/>
                        <w:right w:val="none" w:sz="0" w:space="0" w:color="auto"/>
                      </w:divBdr>
                      <w:divsChild>
                        <w:div w:id="1311903886">
                          <w:marLeft w:val="0"/>
                          <w:marRight w:val="0"/>
                          <w:marTop w:val="0"/>
                          <w:marBottom w:val="0"/>
                          <w:divBdr>
                            <w:top w:val="none" w:sz="0" w:space="0" w:color="auto"/>
                            <w:left w:val="none" w:sz="0" w:space="0" w:color="auto"/>
                            <w:bottom w:val="none" w:sz="0" w:space="0" w:color="auto"/>
                            <w:right w:val="none" w:sz="0" w:space="0" w:color="auto"/>
                          </w:divBdr>
                          <w:divsChild>
                            <w:div w:id="2098402030">
                              <w:marLeft w:val="0"/>
                              <w:marRight w:val="0"/>
                              <w:marTop w:val="0"/>
                              <w:marBottom w:val="0"/>
                              <w:divBdr>
                                <w:top w:val="none" w:sz="0" w:space="0" w:color="auto"/>
                                <w:left w:val="none" w:sz="0" w:space="0" w:color="auto"/>
                                <w:bottom w:val="none" w:sz="0" w:space="0" w:color="auto"/>
                                <w:right w:val="none" w:sz="0" w:space="0" w:color="auto"/>
                              </w:divBdr>
                              <w:divsChild>
                                <w:div w:id="799305602">
                                  <w:marLeft w:val="0"/>
                                  <w:marRight w:val="0"/>
                                  <w:marTop w:val="0"/>
                                  <w:marBottom w:val="0"/>
                                  <w:divBdr>
                                    <w:top w:val="none" w:sz="0" w:space="0" w:color="auto"/>
                                    <w:left w:val="none" w:sz="0" w:space="0" w:color="auto"/>
                                    <w:bottom w:val="none" w:sz="0" w:space="0" w:color="auto"/>
                                    <w:right w:val="none" w:sz="0" w:space="0" w:color="auto"/>
                                  </w:divBdr>
                                  <w:divsChild>
                                    <w:div w:id="139431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0540442">
      <w:bodyDiv w:val="1"/>
      <w:marLeft w:val="0"/>
      <w:marRight w:val="0"/>
      <w:marTop w:val="0"/>
      <w:marBottom w:val="0"/>
      <w:divBdr>
        <w:top w:val="none" w:sz="0" w:space="0" w:color="auto"/>
        <w:left w:val="none" w:sz="0" w:space="0" w:color="auto"/>
        <w:bottom w:val="none" w:sz="0" w:space="0" w:color="auto"/>
        <w:right w:val="none" w:sz="0" w:space="0" w:color="auto"/>
      </w:divBdr>
    </w:div>
    <w:div w:id="536164149">
      <w:bodyDiv w:val="1"/>
      <w:marLeft w:val="0"/>
      <w:marRight w:val="0"/>
      <w:marTop w:val="0"/>
      <w:marBottom w:val="0"/>
      <w:divBdr>
        <w:top w:val="none" w:sz="0" w:space="0" w:color="auto"/>
        <w:left w:val="none" w:sz="0" w:space="0" w:color="auto"/>
        <w:bottom w:val="none" w:sz="0" w:space="0" w:color="auto"/>
        <w:right w:val="none" w:sz="0" w:space="0" w:color="auto"/>
      </w:divBdr>
    </w:div>
    <w:div w:id="902906152">
      <w:bodyDiv w:val="1"/>
      <w:marLeft w:val="0"/>
      <w:marRight w:val="0"/>
      <w:marTop w:val="0"/>
      <w:marBottom w:val="0"/>
      <w:divBdr>
        <w:top w:val="none" w:sz="0" w:space="0" w:color="auto"/>
        <w:left w:val="none" w:sz="0" w:space="0" w:color="auto"/>
        <w:bottom w:val="none" w:sz="0" w:space="0" w:color="auto"/>
        <w:right w:val="none" w:sz="0" w:space="0" w:color="auto"/>
      </w:divBdr>
    </w:div>
    <w:div w:id="1124419975">
      <w:bodyDiv w:val="1"/>
      <w:marLeft w:val="0"/>
      <w:marRight w:val="0"/>
      <w:marTop w:val="0"/>
      <w:marBottom w:val="0"/>
      <w:divBdr>
        <w:top w:val="none" w:sz="0" w:space="0" w:color="auto"/>
        <w:left w:val="none" w:sz="0" w:space="0" w:color="auto"/>
        <w:bottom w:val="none" w:sz="0" w:space="0" w:color="auto"/>
        <w:right w:val="none" w:sz="0" w:space="0" w:color="auto"/>
      </w:divBdr>
    </w:div>
    <w:div w:id="1316639264">
      <w:bodyDiv w:val="1"/>
      <w:marLeft w:val="0"/>
      <w:marRight w:val="0"/>
      <w:marTop w:val="0"/>
      <w:marBottom w:val="0"/>
      <w:divBdr>
        <w:top w:val="none" w:sz="0" w:space="0" w:color="auto"/>
        <w:left w:val="none" w:sz="0" w:space="0" w:color="auto"/>
        <w:bottom w:val="none" w:sz="0" w:space="0" w:color="auto"/>
        <w:right w:val="none" w:sz="0" w:space="0" w:color="auto"/>
      </w:divBdr>
    </w:div>
    <w:div w:id="1343167473">
      <w:bodyDiv w:val="1"/>
      <w:marLeft w:val="0"/>
      <w:marRight w:val="0"/>
      <w:marTop w:val="0"/>
      <w:marBottom w:val="0"/>
      <w:divBdr>
        <w:top w:val="none" w:sz="0" w:space="0" w:color="auto"/>
        <w:left w:val="none" w:sz="0" w:space="0" w:color="auto"/>
        <w:bottom w:val="none" w:sz="0" w:space="0" w:color="auto"/>
        <w:right w:val="none" w:sz="0" w:space="0" w:color="auto"/>
      </w:divBdr>
    </w:div>
    <w:div w:id="1371954753">
      <w:bodyDiv w:val="1"/>
      <w:marLeft w:val="0"/>
      <w:marRight w:val="0"/>
      <w:marTop w:val="0"/>
      <w:marBottom w:val="0"/>
      <w:divBdr>
        <w:top w:val="none" w:sz="0" w:space="0" w:color="auto"/>
        <w:left w:val="none" w:sz="0" w:space="0" w:color="auto"/>
        <w:bottom w:val="none" w:sz="0" w:space="0" w:color="auto"/>
        <w:right w:val="none" w:sz="0" w:space="0" w:color="auto"/>
      </w:divBdr>
    </w:div>
    <w:div w:id="1405640133">
      <w:bodyDiv w:val="1"/>
      <w:marLeft w:val="0"/>
      <w:marRight w:val="0"/>
      <w:marTop w:val="0"/>
      <w:marBottom w:val="0"/>
      <w:divBdr>
        <w:top w:val="none" w:sz="0" w:space="0" w:color="auto"/>
        <w:left w:val="none" w:sz="0" w:space="0" w:color="auto"/>
        <w:bottom w:val="none" w:sz="0" w:space="0" w:color="auto"/>
        <w:right w:val="none" w:sz="0" w:space="0" w:color="auto"/>
      </w:divBdr>
    </w:div>
    <w:div w:id="1550460664">
      <w:bodyDiv w:val="1"/>
      <w:marLeft w:val="0"/>
      <w:marRight w:val="0"/>
      <w:marTop w:val="0"/>
      <w:marBottom w:val="0"/>
      <w:divBdr>
        <w:top w:val="none" w:sz="0" w:space="0" w:color="auto"/>
        <w:left w:val="none" w:sz="0" w:space="0" w:color="auto"/>
        <w:bottom w:val="none" w:sz="0" w:space="0" w:color="auto"/>
        <w:right w:val="none" w:sz="0" w:space="0" w:color="auto"/>
      </w:divBdr>
    </w:div>
    <w:div w:id="1580555755">
      <w:bodyDiv w:val="1"/>
      <w:marLeft w:val="0"/>
      <w:marRight w:val="0"/>
      <w:marTop w:val="0"/>
      <w:marBottom w:val="0"/>
      <w:divBdr>
        <w:top w:val="none" w:sz="0" w:space="0" w:color="auto"/>
        <w:left w:val="none" w:sz="0" w:space="0" w:color="auto"/>
        <w:bottom w:val="none" w:sz="0" w:space="0" w:color="auto"/>
        <w:right w:val="none" w:sz="0" w:space="0" w:color="auto"/>
      </w:divBdr>
      <w:divsChild>
        <w:div w:id="2029403493">
          <w:marLeft w:val="0"/>
          <w:marRight w:val="0"/>
          <w:marTop w:val="0"/>
          <w:marBottom w:val="0"/>
          <w:divBdr>
            <w:top w:val="none" w:sz="0" w:space="0" w:color="auto"/>
            <w:left w:val="none" w:sz="0" w:space="0" w:color="auto"/>
            <w:bottom w:val="none" w:sz="0" w:space="0" w:color="auto"/>
            <w:right w:val="none" w:sz="0" w:space="0" w:color="auto"/>
          </w:divBdr>
          <w:divsChild>
            <w:div w:id="170529933">
              <w:marLeft w:val="0"/>
              <w:marRight w:val="0"/>
              <w:marTop w:val="0"/>
              <w:marBottom w:val="0"/>
              <w:divBdr>
                <w:top w:val="none" w:sz="0" w:space="0" w:color="auto"/>
                <w:left w:val="none" w:sz="0" w:space="0" w:color="auto"/>
                <w:bottom w:val="none" w:sz="0" w:space="0" w:color="auto"/>
                <w:right w:val="none" w:sz="0" w:space="0" w:color="auto"/>
              </w:divBdr>
              <w:divsChild>
                <w:div w:id="1976597132">
                  <w:marLeft w:val="0"/>
                  <w:marRight w:val="0"/>
                  <w:marTop w:val="0"/>
                  <w:marBottom w:val="0"/>
                  <w:divBdr>
                    <w:top w:val="none" w:sz="0" w:space="0" w:color="auto"/>
                    <w:left w:val="none" w:sz="0" w:space="0" w:color="auto"/>
                    <w:bottom w:val="none" w:sz="0" w:space="0" w:color="auto"/>
                    <w:right w:val="none" w:sz="0" w:space="0" w:color="auto"/>
                  </w:divBdr>
                  <w:divsChild>
                    <w:div w:id="823357701">
                      <w:marLeft w:val="0"/>
                      <w:marRight w:val="0"/>
                      <w:marTop w:val="0"/>
                      <w:marBottom w:val="0"/>
                      <w:divBdr>
                        <w:top w:val="none" w:sz="0" w:space="0" w:color="auto"/>
                        <w:left w:val="none" w:sz="0" w:space="0" w:color="auto"/>
                        <w:bottom w:val="none" w:sz="0" w:space="0" w:color="auto"/>
                        <w:right w:val="none" w:sz="0" w:space="0" w:color="auto"/>
                      </w:divBdr>
                      <w:divsChild>
                        <w:div w:id="1948779261">
                          <w:marLeft w:val="0"/>
                          <w:marRight w:val="0"/>
                          <w:marTop w:val="0"/>
                          <w:marBottom w:val="0"/>
                          <w:divBdr>
                            <w:top w:val="none" w:sz="0" w:space="0" w:color="auto"/>
                            <w:left w:val="none" w:sz="0" w:space="0" w:color="auto"/>
                            <w:bottom w:val="none" w:sz="0" w:space="0" w:color="auto"/>
                            <w:right w:val="none" w:sz="0" w:space="0" w:color="auto"/>
                          </w:divBdr>
                          <w:divsChild>
                            <w:div w:id="725252388">
                              <w:marLeft w:val="0"/>
                              <w:marRight w:val="0"/>
                              <w:marTop w:val="0"/>
                              <w:marBottom w:val="0"/>
                              <w:divBdr>
                                <w:top w:val="none" w:sz="0" w:space="0" w:color="auto"/>
                                <w:left w:val="none" w:sz="0" w:space="0" w:color="auto"/>
                                <w:bottom w:val="none" w:sz="0" w:space="0" w:color="auto"/>
                                <w:right w:val="none" w:sz="0" w:space="0" w:color="auto"/>
                              </w:divBdr>
                              <w:divsChild>
                                <w:div w:id="1953592292">
                                  <w:marLeft w:val="0"/>
                                  <w:marRight w:val="0"/>
                                  <w:marTop w:val="0"/>
                                  <w:marBottom w:val="0"/>
                                  <w:divBdr>
                                    <w:top w:val="none" w:sz="0" w:space="0" w:color="auto"/>
                                    <w:left w:val="none" w:sz="0" w:space="0" w:color="auto"/>
                                    <w:bottom w:val="none" w:sz="0" w:space="0" w:color="auto"/>
                                    <w:right w:val="none" w:sz="0" w:space="0" w:color="auto"/>
                                  </w:divBdr>
                                  <w:divsChild>
                                    <w:div w:id="6935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7035445">
      <w:bodyDiv w:val="1"/>
      <w:marLeft w:val="0"/>
      <w:marRight w:val="0"/>
      <w:marTop w:val="0"/>
      <w:marBottom w:val="0"/>
      <w:divBdr>
        <w:top w:val="none" w:sz="0" w:space="0" w:color="auto"/>
        <w:left w:val="none" w:sz="0" w:space="0" w:color="auto"/>
        <w:bottom w:val="none" w:sz="0" w:space="0" w:color="auto"/>
        <w:right w:val="none" w:sz="0" w:space="0" w:color="auto"/>
      </w:divBdr>
    </w:div>
    <w:div w:id="1987971554">
      <w:bodyDiv w:val="1"/>
      <w:marLeft w:val="0"/>
      <w:marRight w:val="0"/>
      <w:marTop w:val="0"/>
      <w:marBottom w:val="0"/>
      <w:divBdr>
        <w:top w:val="none" w:sz="0" w:space="0" w:color="auto"/>
        <w:left w:val="none" w:sz="0" w:space="0" w:color="auto"/>
        <w:bottom w:val="none" w:sz="0" w:space="0" w:color="auto"/>
        <w:right w:val="none" w:sz="0" w:space="0" w:color="auto"/>
      </w:divBdr>
    </w:div>
    <w:div w:id="20352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755-1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B7F91-84D7-4225-AF92-BD74A9E1E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14</Pages>
  <Words>16631</Words>
  <Characters>9480</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Пузіков</dc:creator>
  <cp:keywords/>
  <dc:description/>
  <cp:lastModifiedBy>Сергій Пузіков</cp:lastModifiedBy>
  <cp:revision>13</cp:revision>
  <dcterms:created xsi:type="dcterms:W3CDTF">2025-06-11T09:25:00Z</dcterms:created>
  <dcterms:modified xsi:type="dcterms:W3CDTF">2025-06-20T07:06:00Z</dcterms:modified>
</cp:coreProperties>
</file>