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807B" w14:textId="77777777" w:rsidR="00992E46" w:rsidRPr="00B33C94" w:rsidRDefault="00135205" w:rsidP="00CD0B24">
      <w:pPr>
        <w:shd w:val="clear" w:color="auto" w:fill="FFFFFF"/>
        <w:tabs>
          <w:tab w:val="left" w:pos="14459"/>
        </w:tabs>
        <w:spacing w:after="0" w:line="240" w:lineRule="auto"/>
        <w:ind w:right="-30"/>
        <w:jc w:val="center"/>
        <w:rPr>
          <w:rFonts w:ascii="Times New Roman" w:hAnsi="Times New Roman" w:cs="Times New Roman"/>
          <w:b/>
          <w:color w:val="000000" w:themeColor="text1"/>
          <w:sz w:val="28"/>
          <w:szCs w:val="28"/>
        </w:rPr>
      </w:pPr>
      <w:bookmarkStart w:id="0" w:name="n281"/>
      <w:bookmarkEnd w:id="0"/>
      <w:r w:rsidRPr="00B33C94">
        <w:rPr>
          <w:rFonts w:ascii="Times New Roman" w:eastAsia="Times New Roman" w:hAnsi="Times New Roman" w:cs="Times New Roman"/>
          <w:b/>
          <w:bCs/>
          <w:color w:val="000000" w:themeColor="text1"/>
          <w:sz w:val="28"/>
          <w:szCs w:val="28"/>
          <w:lang w:eastAsia="uk-UA"/>
        </w:rPr>
        <w:t>УЗАГАЛЬНЕНІ ЗАУВАЖЕННЯ</w:t>
      </w:r>
      <w:r w:rsidRPr="00B33C94">
        <w:rPr>
          <w:rFonts w:ascii="Times New Roman" w:eastAsia="Times New Roman" w:hAnsi="Times New Roman" w:cs="Times New Roman"/>
          <w:color w:val="000000" w:themeColor="text1"/>
          <w:sz w:val="28"/>
          <w:szCs w:val="28"/>
          <w:lang w:eastAsia="uk-UA"/>
        </w:rPr>
        <w:br/>
      </w:r>
      <w:r w:rsidRPr="00B33C94">
        <w:rPr>
          <w:rFonts w:ascii="Times New Roman" w:eastAsia="Times New Roman" w:hAnsi="Times New Roman" w:cs="Times New Roman"/>
          <w:b/>
          <w:bCs/>
          <w:color w:val="000000" w:themeColor="text1"/>
          <w:sz w:val="28"/>
          <w:szCs w:val="28"/>
          <w:lang w:eastAsia="uk-UA"/>
        </w:rPr>
        <w:t xml:space="preserve">та пропозиції до проекту рішення НКРЕКП, що має ознаки регуляторного акта, - </w:t>
      </w:r>
      <w:r w:rsidRPr="00B33C94">
        <w:rPr>
          <w:rFonts w:ascii="Times New Roman" w:hAnsi="Times New Roman" w:cs="Times New Roman"/>
          <w:b/>
          <w:color w:val="000000" w:themeColor="text1"/>
          <w:sz w:val="28"/>
          <w:szCs w:val="28"/>
        </w:rPr>
        <w:t>постанови НКРЕКП «</w:t>
      </w:r>
      <w:r w:rsidR="0069133F" w:rsidRPr="00B33C94">
        <w:rPr>
          <w:rFonts w:ascii="Times New Roman" w:hAnsi="Times New Roman" w:cs="Times New Roman"/>
          <w:b/>
          <w:sz w:val="28"/>
        </w:rPr>
        <w:t>Про внесення змін 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r w:rsidRPr="00B33C94">
        <w:rPr>
          <w:rFonts w:ascii="Times New Roman" w:hAnsi="Times New Roman" w:cs="Times New Roman"/>
          <w:b/>
          <w:color w:val="000000" w:themeColor="text1"/>
          <w:sz w:val="28"/>
          <w:szCs w:val="28"/>
        </w:rPr>
        <w:t>»</w:t>
      </w:r>
      <w:r w:rsidR="00CD0B24" w:rsidRPr="00B33C94">
        <w:rPr>
          <w:rFonts w:ascii="Times New Roman" w:hAnsi="Times New Roman" w:cs="Times New Roman"/>
          <w:b/>
          <w:color w:val="000000" w:themeColor="text1"/>
          <w:sz w:val="28"/>
          <w:szCs w:val="28"/>
        </w:rPr>
        <w:t xml:space="preserve"> (далі – Проєкт постанови)</w:t>
      </w:r>
    </w:p>
    <w:tbl>
      <w:tblPr>
        <w:tblStyle w:val="a3"/>
        <w:tblW w:w="16021" w:type="dxa"/>
        <w:jc w:val="center"/>
        <w:tblLayout w:type="fixed"/>
        <w:tblLook w:val="04A0" w:firstRow="1" w:lastRow="0" w:firstColumn="1" w:lastColumn="0" w:noHBand="0" w:noVBand="1"/>
      </w:tblPr>
      <w:tblGrid>
        <w:gridCol w:w="6377"/>
        <w:gridCol w:w="5957"/>
        <w:gridCol w:w="3687"/>
      </w:tblGrid>
      <w:tr w:rsidR="00135205" w:rsidRPr="006D097C" w14:paraId="4C8006A4" w14:textId="77777777" w:rsidTr="00135205">
        <w:trPr>
          <w:jc w:val="center"/>
        </w:trPr>
        <w:tc>
          <w:tcPr>
            <w:tcW w:w="6377" w:type="dxa"/>
            <w:vAlign w:val="center"/>
          </w:tcPr>
          <w:p w14:paraId="55B0A75E" w14:textId="77777777" w:rsidR="00135205" w:rsidRPr="006D097C" w:rsidRDefault="00135205" w:rsidP="00C62432">
            <w:pPr>
              <w:jc w:val="center"/>
              <w:rPr>
                <w:rFonts w:ascii="Times New Roman" w:hAnsi="Times New Roman" w:cs="Times New Roman"/>
                <w:b/>
                <w:bCs/>
                <w:iCs/>
                <w:color w:val="000000" w:themeColor="text1"/>
                <w:sz w:val="24"/>
                <w:szCs w:val="24"/>
                <w:shd w:val="clear" w:color="auto" w:fill="FFFFFF"/>
                <w:lang w:val="uk-UA"/>
              </w:rPr>
            </w:pPr>
            <w:r w:rsidRPr="006D097C">
              <w:rPr>
                <w:rFonts w:ascii="Times New Roman" w:hAnsi="Times New Roman" w:cs="Times New Roman"/>
                <w:b/>
                <w:bCs/>
                <w:iCs/>
                <w:color w:val="000000" w:themeColor="text1"/>
                <w:sz w:val="24"/>
                <w:szCs w:val="24"/>
                <w:shd w:val="clear" w:color="auto" w:fill="FFFFFF"/>
                <w:lang w:val="uk-UA"/>
              </w:rPr>
              <w:t>Редакція проєкту рішення НКРЕКП</w:t>
            </w:r>
          </w:p>
          <w:p w14:paraId="75119793" w14:textId="77777777" w:rsidR="00135205" w:rsidRPr="006D097C" w:rsidRDefault="00135205" w:rsidP="00C62432">
            <w:pPr>
              <w:jc w:val="center"/>
              <w:rPr>
                <w:rFonts w:ascii="Times New Roman" w:hAnsi="Times New Roman" w:cs="Times New Roman"/>
                <w:b/>
                <w:bCs/>
                <w:iCs/>
                <w:color w:val="000000" w:themeColor="text1"/>
                <w:sz w:val="24"/>
                <w:szCs w:val="24"/>
                <w:lang w:val="uk-UA"/>
              </w:rPr>
            </w:pPr>
          </w:p>
        </w:tc>
        <w:tc>
          <w:tcPr>
            <w:tcW w:w="5957" w:type="dxa"/>
            <w:vAlign w:val="center"/>
          </w:tcPr>
          <w:p w14:paraId="3EF0E36E" w14:textId="77777777" w:rsidR="00135205" w:rsidRPr="006D097C" w:rsidRDefault="00135205" w:rsidP="00C62432">
            <w:pPr>
              <w:jc w:val="center"/>
              <w:rPr>
                <w:rFonts w:ascii="Times New Roman" w:hAnsi="Times New Roman" w:cs="Times New Roman"/>
                <w:b/>
                <w:bCs/>
                <w:iCs/>
                <w:color w:val="000000" w:themeColor="text1"/>
                <w:sz w:val="24"/>
                <w:szCs w:val="24"/>
                <w:shd w:val="clear" w:color="auto" w:fill="FFFFFF"/>
                <w:lang w:val="uk-UA"/>
              </w:rPr>
            </w:pPr>
            <w:r w:rsidRPr="006D097C">
              <w:rPr>
                <w:rFonts w:ascii="Times New Roman" w:hAnsi="Times New Roman" w:cs="Times New Roman"/>
                <w:b/>
                <w:bCs/>
                <w:iCs/>
                <w:color w:val="000000" w:themeColor="text1"/>
                <w:sz w:val="24"/>
                <w:szCs w:val="24"/>
                <w:shd w:val="clear" w:color="auto" w:fill="FFFFFF"/>
                <w:lang w:val="uk-UA"/>
              </w:rPr>
              <w:t>Зауваження та пропозиції</w:t>
            </w:r>
          </w:p>
          <w:p w14:paraId="3A51C4B5" w14:textId="77777777" w:rsidR="00135205" w:rsidRPr="006D097C" w:rsidRDefault="00135205" w:rsidP="00C62432">
            <w:pPr>
              <w:jc w:val="center"/>
              <w:rPr>
                <w:rFonts w:ascii="Times New Roman" w:hAnsi="Times New Roman" w:cs="Times New Roman"/>
                <w:b/>
                <w:bCs/>
                <w:iCs/>
                <w:color w:val="000000" w:themeColor="text1"/>
                <w:sz w:val="24"/>
                <w:szCs w:val="24"/>
                <w:lang w:val="uk-UA"/>
              </w:rPr>
            </w:pPr>
            <w:r w:rsidRPr="006D097C">
              <w:rPr>
                <w:rFonts w:ascii="Times New Roman" w:hAnsi="Times New Roman" w:cs="Times New Roman"/>
                <w:b/>
                <w:bCs/>
                <w:iCs/>
                <w:color w:val="000000" w:themeColor="text1"/>
                <w:sz w:val="24"/>
                <w:szCs w:val="24"/>
                <w:shd w:val="clear" w:color="auto" w:fill="FFFFFF"/>
                <w:lang w:val="uk-UA"/>
              </w:rPr>
              <w:t>до проєкту рішення НКРЕКП</w:t>
            </w:r>
          </w:p>
        </w:tc>
        <w:tc>
          <w:tcPr>
            <w:tcW w:w="3687" w:type="dxa"/>
            <w:vAlign w:val="center"/>
          </w:tcPr>
          <w:p w14:paraId="6DF4341C" w14:textId="77777777" w:rsidR="00135205" w:rsidRPr="006D097C" w:rsidRDefault="00135205" w:rsidP="00C62432">
            <w:pPr>
              <w:jc w:val="center"/>
              <w:rPr>
                <w:rFonts w:ascii="Times New Roman" w:hAnsi="Times New Roman" w:cs="Times New Roman"/>
                <w:b/>
                <w:bCs/>
                <w:iCs/>
                <w:color w:val="000000" w:themeColor="text1"/>
                <w:sz w:val="24"/>
                <w:szCs w:val="24"/>
                <w:lang w:val="uk-UA"/>
              </w:rPr>
            </w:pPr>
            <w:r w:rsidRPr="006D097C">
              <w:rPr>
                <w:rFonts w:ascii="Times New Roman" w:eastAsia="Times New Roman" w:hAnsi="Times New Roman" w:cs="Times New Roman"/>
                <w:b/>
                <w:color w:val="000000" w:themeColor="text1"/>
                <w:sz w:val="24"/>
                <w:szCs w:val="24"/>
                <w:lang w:val="uk-UA" w:eastAsia="uk-UA"/>
              </w:rPr>
              <w:t>Попередня позиція НКРЕКП щодо наданих зауважень та пропозицій з обґрунтуваннями щодо прийняття або відхилення</w:t>
            </w:r>
          </w:p>
        </w:tc>
      </w:tr>
      <w:tr w:rsidR="00295C7A" w:rsidRPr="006D097C" w14:paraId="12CB0115" w14:textId="77777777" w:rsidTr="00EF77B7">
        <w:trPr>
          <w:jc w:val="center"/>
        </w:trPr>
        <w:tc>
          <w:tcPr>
            <w:tcW w:w="16021" w:type="dxa"/>
            <w:gridSpan w:val="3"/>
            <w:vAlign w:val="center"/>
          </w:tcPr>
          <w:p w14:paraId="668B8DC7" w14:textId="77777777" w:rsidR="00295C7A" w:rsidRPr="00295C7A" w:rsidRDefault="00295C7A" w:rsidP="00295C7A">
            <w:pPr>
              <w:jc w:val="center"/>
              <w:rPr>
                <w:rFonts w:ascii="Times New Roman" w:eastAsia="Times New Roman" w:hAnsi="Times New Roman" w:cs="Times New Roman"/>
                <w:b/>
                <w:color w:val="000000" w:themeColor="text1"/>
                <w:sz w:val="28"/>
                <w:szCs w:val="28"/>
                <w:lang w:val="uk-UA" w:eastAsia="uk-UA"/>
              </w:rPr>
            </w:pPr>
            <w:r w:rsidRPr="00295C7A">
              <w:rPr>
                <w:rFonts w:ascii="Times New Roman" w:eastAsia="Times New Roman" w:hAnsi="Times New Roman" w:cs="Times New Roman"/>
                <w:b/>
                <w:color w:val="000000" w:themeColor="text1"/>
                <w:sz w:val="28"/>
                <w:szCs w:val="28"/>
                <w:lang w:val="uk-UA" w:eastAsia="uk-UA"/>
              </w:rPr>
              <w:t>Методика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p>
        </w:tc>
      </w:tr>
      <w:tr w:rsidR="00295C7A" w:rsidRPr="006D097C" w14:paraId="2D42D7CA" w14:textId="77777777" w:rsidTr="00AD50A6">
        <w:trPr>
          <w:jc w:val="center"/>
        </w:trPr>
        <w:tc>
          <w:tcPr>
            <w:tcW w:w="16021" w:type="dxa"/>
            <w:gridSpan w:val="3"/>
            <w:vAlign w:val="center"/>
          </w:tcPr>
          <w:p w14:paraId="10F54ACA" w14:textId="77777777" w:rsidR="00295C7A" w:rsidRPr="006D097C" w:rsidRDefault="00295C7A" w:rsidP="00295C7A">
            <w:pPr>
              <w:ind w:hanging="115"/>
              <w:jc w:val="center"/>
              <w:rPr>
                <w:rFonts w:ascii="Times New Roman" w:eastAsia="Times New Roman" w:hAnsi="Times New Roman" w:cs="Times New Roman"/>
                <w:b/>
                <w:color w:val="000000" w:themeColor="text1"/>
                <w:sz w:val="24"/>
                <w:szCs w:val="24"/>
                <w:lang w:eastAsia="uk-UA"/>
              </w:rPr>
            </w:pPr>
            <w:r w:rsidRPr="00865486">
              <w:rPr>
                <w:rFonts w:ascii="Times New Roman" w:hAnsi="Times New Roman" w:cs="Times New Roman"/>
                <w:b/>
                <w:bCs/>
                <w:iCs/>
                <w:color w:val="000000" w:themeColor="text1"/>
                <w:sz w:val="28"/>
                <w:szCs w:val="28"/>
                <w:shd w:val="clear" w:color="auto" w:fill="FFFFFF"/>
                <w:lang w:val="uk-UA"/>
              </w:rPr>
              <w:t>ІІ. Розрахунок тарифів на послуги зберігання (закачування, відбору) природного газу</w:t>
            </w:r>
          </w:p>
        </w:tc>
      </w:tr>
      <w:tr w:rsidR="00295C7A" w:rsidRPr="006D097C" w14:paraId="04093BE8" w14:textId="77777777" w:rsidTr="002C166D">
        <w:trPr>
          <w:jc w:val="center"/>
        </w:trPr>
        <w:tc>
          <w:tcPr>
            <w:tcW w:w="6377" w:type="dxa"/>
            <w:vAlign w:val="center"/>
          </w:tcPr>
          <w:p w14:paraId="785D20E5" w14:textId="77777777" w:rsidR="00295C7A" w:rsidRPr="006D097C" w:rsidRDefault="00295C7A" w:rsidP="00295C7A">
            <w:pPr>
              <w:pStyle w:val="2"/>
              <w:ind w:firstLine="709"/>
              <w:contextualSpacing/>
              <w:jc w:val="both"/>
              <w:rPr>
                <w:b w:val="0"/>
                <w:sz w:val="24"/>
                <w:szCs w:val="24"/>
                <w:shd w:val="clear" w:color="auto" w:fill="FFFFFF"/>
                <w:lang w:val="uk-UA"/>
              </w:rPr>
            </w:pPr>
            <w:r w:rsidRPr="006D097C">
              <w:rPr>
                <w:b w:val="0"/>
                <w:bCs w:val="0"/>
                <w:sz w:val="24"/>
                <w:szCs w:val="24"/>
                <w:lang w:val="uk-UA" w:eastAsia="uk-UA"/>
              </w:rPr>
              <w:t xml:space="preserve">8. </w:t>
            </w:r>
            <w:r w:rsidRPr="006D097C">
              <w:rPr>
                <w:b w:val="0"/>
                <w:sz w:val="24"/>
                <w:szCs w:val="24"/>
                <w:shd w:val="clear" w:color="auto" w:fill="FFFFFF"/>
                <w:lang w:val="uk-UA"/>
              </w:rPr>
              <w:t>Тариф на закачування природного газу та тариф на відбір природного газу розраховуються за формулою</w:t>
            </w:r>
          </w:p>
          <w:p w14:paraId="27C3DA18" w14:textId="77777777" w:rsidR="00295C7A" w:rsidRPr="006D097C" w:rsidRDefault="00295C7A" w:rsidP="00295C7A">
            <w:pPr>
              <w:pStyle w:val="2"/>
              <w:ind w:firstLine="709"/>
              <w:contextualSpacing/>
              <w:jc w:val="both"/>
              <w:rPr>
                <w:b w:val="0"/>
                <w:bCs w:val="0"/>
                <w:sz w:val="24"/>
                <w:szCs w:val="24"/>
                <w:lang w:val="uk-UA" w:eastAsia="uk-UA"/>
              </w:rPr>
            </w:pPr>
            <w:r w:rsidRPr="006D097C">
              <w:rPr>
                <w:b w:val="0"/>
                <w:bCs w:val="0"/>
                <w:sz w:val="24"/>
                <w:szCs w:val="24"/>
                <w:lang w:val="uk-UA" w:eastAsia="uk-UA"/>
              </w:rPr>
              <w:t xml:space="preserve"> </w:t>
            </w:r>
          </w:p>
          <w:p w14:paraId="1F928996" w14:textId="77777777" w:rsidR="00295C7A" w:rsidRPr="006D097C" w:rsidRDefault="00A77350" w:rsidP="00295C7A">
            <w:pPr>
              <w:pStyle w:val="2"/>
              <w:contextualSpacing/>
              <w:jc w:val="right"/>
              <w:rPr>
                <w:b w:val="0"/>
                <w:bCs w:val="0"/>
                <w:sz w:val="24"/>
                <w:szCs w:val="24"/>
                <w:lang w:val="uk-UA" w:eastAsia="uk-UA"/>
              </w:rPr>
            </w:pPr>
            <m:oMath>
              <m:sSub>
                <m:sSubPr>
                  <m:ctrlPr>
                    <w:rPr>
                      <w:rFonts w:ascii="Cambria Math" w:hAnsi="Cambria Math"/>
                      <w:b w:val="0"/>
                      <w:i/>
                      <w:sz w:val="24"/>
                      <w:szCs w:val="24"/>
                      <w:lang w:val="uk-UA"/>
                    </w:rPr>
                  </m:ctrlPr>
                </m:sSubPr>
                <m:e>
                  <m:r>
                    <m:rPr>
                      <m:nor/>
                    </m:rPr>
                    <w:rPr>
                      <w:b w:val="0"/>
                      <w:sz w:val="24"/>
                      <w:szCs w:val="24"/>
                      <w:lang w:val="uk-UA"/>
                    </w:rPr>
                    <m:t>Т</m:t>
                  </m:r>
                </m:e>
                <m:sub>
                  <m:r>
                    <m:rPr>
                      <m:nor/>
                    </m:rPr>
                    <w:rPr>
                      <w:b w:val="0"/>
                      <w:sz w:val="24"/>
                      <w:szCs w:val="24"/>
                      <w:lang w:val="uk-UA"/>
                    </w:rPr>
                    <m:t>зак/відб</m:t>
                  </m:r>
                </m:sub>
              </m:sSub>
              <m:r>
                <m:rPr>
                  <m:nor/>
                </m:rPr>
                <w:rPr>
                  <w:b w:val="0"/>
                  <w:sz w:val="24"/>
                  <w:szCs w:val="24"/>
                  <w:lang w:val="uk-UA"/>
                </w:rPr>
                <m:t xml:space="preserve">= </m:t>
              </m:r>
              <m:d>
                <m:dPr>
                  <m:ctrlPr>
                    <w:rPr>
                      <w:rFonts w:ascii="Cambria Math" w:hAnsi="Cambria Math"/>
                      <w:b w:val="0"/>
                      <w:i/>
                      <w:sz w:val="24"/>
                      <w:szCs w:val="24"/>
                      <w:lang w:val="uk-UA"/>
                    </w:rPr>
                  </m:ctrlPr>
                </m:dPr>
                <m:e>
                  <m:f>
                    <m:fPr>
                      <m:ctrlPr>
                        <w:rPr>
                          <w:rFonts w:ascii="Cambria Math" w:hAnsi="Cambria Math"/>
                          <w:b w:val="0"/>
                          <w:i/>
                          <w:sz w:val="24"/>
                          <w:szCs w:val="24"/>
                          <w:lang w:val="uk-UA"/>
                        </w:rPr>
                      </m:ctrlPr>
                    </m:fPr>
                    <m:num>
                      <m:sSub>
                        <m:sSubPr>
                          <m:ctrlPr>
                            <w:rPr>
                              <w:rFonts w:ascii="Cambria Math" w:hAnsi="Cambria Math"/>
                              <w:b w:val="0"/>
                              <w:i/>
                              <w:sz w:val="24"/>
                              <w:szCs w:val="24"/>
                              <w:lang w:val="uk-UA"/>
                            </w:rPr>
                          </m:ctrlPr>
                        </m:sSubPr>
                        <m:e>
                          <m:r>
                            <m:rPr>
                              <m:nor/>
                            </m:rPr>
                            <w:rPr>
                              <w:b w:val="0"/>
                              <w:sz w:val="24"/>
                              <w:szCs w:val="24"/>
                              <w:lang w:val="uk-UA"/>
                            </w:rPr>
                            <m:t>(В</m:t>
                          </m:r>
                        </m:e>
                        <m:sub>
                          <m:r>
                            <m:rPr>
                              <m:nor/>
                            </m:rPr>
                            <w:rPr>
                              <w:b w:val="0"/>
                              <w:sz w:val="24"/>
                              <w:szCs w:val="24"/>
                              <w:lang w:val="uk-UA"/>
                            </w:rPr>
                            <m:t>зак</m:t>
                          </m:r>
                        </m:sub>
                      </m:sSub>
                      <m:r>
                        <m:rPr>
                          <m:nor/>
                        </m:rPr>
                        <w:rPr>
                          <w:b w:val="0"/>
                          <w:sz w:val="24"/>
                          <w:szCs w:val="24"/>
                          <w:lang w:val="uk-UA"/>
                        </w:rPr>
                        <m:t>+</m:t>
                      </m:r>
                      <m:sSub>
                        <m:sSubPr>
                          <m:ctrlPr>
                            <w:rPr>
                              <w:rFonts w:ascii="Cambria Math" w:hAnsi="Cambria Math"/>
                              <w:b w:val="0"/>
                              <w:i/>
                              <w:sz w:val="24"/>
                              <w:szCs w:val="24"/>
                              <w:lang w:val="uk-UA"/>
                            </w:rPr>
                          </m:ctrlPr>
                        </m:sSubPr>
                        <m:e>
                          <m:r>
                            <m:rPr>
                              <m:nor/>
                            </m:rPr>
                            <w:rPr>
                              <w:b w:val="0"/>
                              <w:sz w:val="24"/>
                              <w:szCs w:val="24"/>
                              <w:lang w:val="uk-UA"/>
                            </w:rPr>
                            <m:t>В</m:t>
                          </m:r>
                        </m:e>
                        <m:sub>
                          <m:r>
                            <m:rPr>
                              <m:nor/>
                            </m:rPr>
                            <w:rPr>
                              <w:b w:val="0"/>
                              <w:sz w:val="24"/>
                              <w:szCs w:val="24"/>
                              <w:lang w:val="uk-UA"/>
                            </w:rPr>
                            <m:t>відб</m:t>
                          </m:r>
                        </m:sub>
                      </m:sSub>
                      <m:r>
                        <m:rPr>
                          <m:nor/>
                        </m:rPr>
                        <w:rPr>
                          <w:b w:val="0"/>
                          <w:sz w:val="24"/>
                          <w:szCs w:val="24"/>
                          <w:lang w:val="uk-UA"/>
                        </w:rPr>
                        <m:t>)×</m:t>
                      </m:r>
                      <m:d>
                        <m:dPr>
                          <m:ctrlPr>
                            <w:rPr>
                              <w:rFonts w:ascii="Cambria Math" w:hAnsi="Cambria Math"/>
                              <w:b w:val="0"/>
                              <w:i/>
                              <w:sz w:val="24"/>
                              <w:szCs w:val="24"/>
                              <w:lang w:val="uk-UA"/>
                            </w:rPr>
                          </m:ctrlPr>
                        </m:dPr>
                        <m:e>
                          <m:r>
                            <m:rPr>
                              <m:nor/>
                            </m:rPr>
                            <w:rPr>
                              <w:b w:val="0"/>
                              <w:sz w:val="24"/>
                              <w:szCs w:val="24"/>
                              <w:lang w:val="uk-UA"/>
                            </w:rPr>
                            <m:t>1+</m:t>
                          </m:r>
                          <m:f>
                            <m:fPr>
                              <m:ctrlPr>
                                <w:rPr>
                                  <w:rFonts w:ascii="Cambria Math" w:hAnsi="Cambria Math"/>
                                  <w:b w:val="0"/>
                                  <w:i/>
                                  <w:sz w:val="24"/>
                                  <w:szCs w:val="24"/>
                                  <w:lang w:val="uk-UA"/>
                                </w:rPr>
                              </m:ctrlPr>
                            </m:fPr>
                            <m:num>
                              <m:r>
                                <m:rPr>
                                  <m:nor/>
                                </m:rPr>
                                <w:rPr>
                                  <w:b w:val="0"/>
                                  <w:sz w:val="24"/>
                                  <w:szCs w:val="24"/>
                                  <w:lang w:val="uk-UA"/>
                                </w:rPr>
                                <m:t>Р</m:t>
                              </m:r>
                            </m:num>
                            <m:den>
                              <m:r>
                                <m:rPr>
                                  <m:nor/>
                                </m:rPr>
                                <w:rPr>
                                  <w:b w:val="0"/>
                                  <w:sz w:val="24"/>
                                  <w:szCs w:val="24"/>
                                  <w:lang w:val="uk-UA"/>
                                </w:rPr>
                                <m:t>100</m:t>
                              </m:r>
                            </m:den>
                          </m:f>
                          <m:r>
                            <m:rPr>
                              <m:nor/>
                            </m:rPr>
                            <w:rPr>
                              <w:b w:val="0"/>
                              <w:sz w:val="24"/>
                              <w:szCs w:val="24"/>
                              <w:lang w:val="uk-UA"/>
                            </w:rPr>
                            <m:t>+</m:t>
                          </m:r>
                          <m:f>
                            <m:fPr>
                              <m:ctrlPr>
                                <w:rPr>
                                  <w:rFonts w:ascii="Cambria Math" w:hAnsi="Cambria Math"/>
                                  <w:b w:val="0"/>
                                  <w:i/>
                                  <w:sz w:val="24"/>
                                  <w:szCs w:val="24"/>
                                  <w:lang w:val="uk-UA"/>
                                </w:rPr>
                              </m:ctrlPr>
                            </m:fPr>
                            <m:num>
                              <m:r>
                                <m:rPr>
                                  <m:nor/>
                                </m:rPr>
                                <w:rPr>
                                  <w:b w:val="0"/>
                                  <w:sz w:val="24"/>
                                  <w:szCs w:val="24"/>
                                  <w:lang w:val="uk-UA"/>
                                </w:rPr>
                                <m:t>К</m:t>
                              </m:r>
                            </m:num>
                            <m:den>
                              <m:r>
                                <m:rPr>
                                  <m:nor/>
                                </m:rPr>
                                <w:rPr>
                                  <w:b w:val="0"/>
                                  <w:sz w:val="24"/>
                                  <w:szCs w:val="24"/>
                                  <w:lang w:val="uk-UA"/>
                                </w:rPr>
                                <m:t>100</m:t>
                              </m:r>
                            </m:den>
                          </m:f>
                          <m:r>
                            <m:rPr>
                              <m:nor/>
                            </m:rPr>
                            <w:rPr>
                              <w:b w:val="0"/>
                              <w:sz w:val="24"/>
                              <w:szCs w:val="24"/>
                              <w:lang w:val="uk-UA"/>
                            </w:rPr>
                            <m:t>+</m:t>
                          </m:r>
                          <m:f>
                            <m:fPr>
                              <m:ctrlPr>
                                <w:rPr>
                                  <w:rFonts w:ascii="Cambria Math" w:hAnsi="Cambria Math"/>
                                  <w:b w:val="0"/>
                                  <w:i/>
                                  <w:sz w:val="24"/>
                                  <w:szCs w:val="24"/>
                                  <w:lang w:val="uk-UA"/>
                                </w:rPr>
                              </m:ctrlPr>
                            </m:fPr>
                            <m:num>
                              <m:r>
                                <m:rPr>
                                  <m:nor/>
                                </m:rPr>
                                <w:rPr>
                                  <w:b w:val="0"/>
                                  <w:sz w:val="24"/>
                                  <w:szCs w:val="24"/>
                                  <w:lang w:val="uk-UA"/>
                                </w:rPr>
                                <m:t>ККІ</m:t>
                              </m:r>
                            </m:num>
                            <m:den>
                              <m:r>
                                <m:rPr>
                                  <m:nor/>
                                </m:rPr>
                                <w:rPr>
                                  <w:b w:val="0"/>
                                  <w:sz w:val="24"/>
                                  <w:szCs w:val="24"/>
                                  <w:lang w:val="uk-UA"/>
                                </w:rPr>
                                <m:t>100</m:t>
                              </m:r>
                            </m:den>
                          </m:f>
                        </m:e>
                      </m:d>
                    </m:num>
                    <m:den>
                      <m:sSub>
                        <m:sSubPr>
                          <m:ctrlPr>
                            <w:rPr>
                              <w:rFonts w:ascii="Cambria Math" w:hAnsi="Cambria Math"/>
                              <w:b w:val="0"/>
                              <w:i/>
                              <w:sz w:val="24"/>
                              <w:szCs w:val="24"/>
                              <w:lang w:val="uk-UA"/>
                            </w:rPr>
                          </m:ctrlPr>
                        </m:sSubPr>
                        <m:e>
                          <m:r>
                            <m:rPr>
                              <m:nor/>
                            </m:rPr>
                            <w:rPr>
                              <w:b w:val="0"/>
                              <w:sz w:val="24"/>
                              <w:szCs w:val="24"/>
                              <w:lang w:val="uk-UA"/>
                            </w:rPr>
                            <m:t>W</m:t>
                          </m:r>
                        </m:e>
                        <m:sub>
                          <m:r>
                            <m:rPr>
                              <m:nor/>
                            </m:rPr>
                            <w:rPr>
                              <w:b w:val="0"/>
                              <w:sz w:val="24"/>
                              <w:szCs w:val="24"/>
                              <w:lang w:val="uk-UA"/>
                            </w:rPr>
                            <m:t>зак</m:t>
                          </m:r>
                        </m:sub>
                      </m:sSub>
                      <m:r>
                        <m:rPr>
                          <m:sty m:val="bi"/>
                        </m:rPr>
                        <w:rPr>
                          <w:rFonts w:ascii="Cambria Math" w:hAnsi="Cambria Math"/>
                          <w:sz w:val="24"/>
                          <w:szCs w:val="24"/>
                          <w:lang w:val="uk-UA"/>
                        </w:rPr>
                        <m:t>+</m:t>
                      </m:r>
                      <m:sSub>
                        <m:sSubPr>
                          <m:ctrlPr>
                            <w:rPr>
                              <w:rFonts w:ascii="Cambria Math" w:hAnsi="Cambria Math"/>
                              <w:b w:val="0"/>
                              <w:i/>
                              <w:sz w:val="24"/>
                              <w:szCs w:val="24"/>
                              <w:lang w:val="uk-UA"/>
                            </w:rPr>
                          </m:ctrlPr>
                        </m:sSubPr>
                        <m:e>
                          <m:r>
                            <m:rPr>
                              <m:nor/>
                            </m:rPr>
                            <w:rPr>
                              <w:b w:val="0"/>
                              <w:sz w:val="24"/>
                              <w:szCs w:val="24"/>
                              <w:lang w:val="uk-UA"/>
                            </w:rPr>
                            <m:t>W</m:t>
                          </m:r>
                        </m:e>
                        <m:sub>
                          <m:r>
                            <m:rPr>
                              <m:nor/>
                            </m:rPr>
                            <w:rPr>
                              <w:b w:val="0"/>
                              <w:sz w:val="24"/>
                              <w:szCs w:val="24"/>
                              <w:lang w:val="uk-UA"/>
                            </w:rPr>
                            <m:t>відб</m:t>
                          </m:r>
                        </m:sub>
                      </m:sSub>
                    </m:den>
                  </m:f>
                </m:e>
              </m:d>
            </m:oMath>
            <w:r w:rsidR="00295C7A" w:rsidRPr="006D097C">
              <w:rPr>
                <w:b w:val="0"/>
                <w:sz w:val="24"/>
                <w:szCs w:val="24"/>
                <w:lang w:val="uk-UA"/>
              </w:rPr>
              <w:t xml:space="preserve">  (грн за 1000 м</w:t>
            </w:r>
            <w:r w:rsidR="00295C7A" w:rsidRPr="006D097C">
              <w:rPr>
                <w:b w:val="0"/>
                <w:sz w:val="24"/>
                <w:szCs w:val="24"/>
                <w:vertAlign w:val="superscript"/>
                <w:lang w:val="uk-UA"/>
              </w:rPr>
              <w:t>3</w:t>
            </w:r>
            <w:r w:rsidR="00295C7A" w:rsidRPr="006D097C">
              <w:rPr>
                <w:b w:val="0"/>
                <w:sz w:val="24"/>
                <w:szCs w:val="24"/>
                <w:lang w:val="uk-UA"/>
              </w:rPr>
              <w:t xml:space="preserve"> на добу),               (7)  </w:t>
            </w:r>
          </w:p>
          <w:p w14:paraId="53B5022D" w14:textId="77777777" w:rsidR="00295C7A" w:rsidRPr="006D097C" w:rsidRDefault="00295C7A" w:rsidP="00295C7A">
            <w:pPr>
              <w:pStyle w:val="2"/>
              <w:ind w:firstLine="709"/>
              <w:contextualSpacing/>
              <w:jc w:val="both"/>
              <w:rPr>
                <w:b w:val="0"/>
                <w:bCs w:val="0"/>
                <w:sz w:val="24"/>
                <w:szCs w:val="24"/>
                <w:lang w:val="uk-UA" w:eastAsia="uk-UA"/>
              </w:rPr>
            </w:pPr>
            <w:r w:rsidRPr="006D097C">
              <w:rPr>
                <w:b w:val="0"/>
                <w:sz w:val="24"/>
                <w:szCs w:val="24"/>
                <w:lang w:val="uk-UA"/>
              </w:rPr>
              <w:t>де Т</w:t>
            </w:r>
            <w:r w:rsidRPr="006D097C">
              <w:rPr>
                <w:b w:val="0"/>
                <w:sz w:val="24"/>
                <w:szCs w:val="24"/>
                <w:vertAlign w:val="subscript"/>
                <w:lang w:val="uk-UA"/>
              </w:rPr>
              <w:t>зак</w:t>
            </w:r>
            <w:r w:rsidRPr="006D097C">
              <w:rPr>
                <w:sz w:val="24"/>
                <w:szCs w:val="24"/>
                <w:vertAlign w:val="subscript"/>
                <w:lang w:val="uk-UA"/>
              </w:rPr>
              <w:t xml:space="preserve"> </w:t>
            </w:r>
            <w:r w:rsidRPr="006D097C">
              <w:rPr>
                <w:b w:val="0"/>
                <w:bCs w:val="0"/>
                <w:sz w:val="24"/>
                <w:szCs w:val="24"/>
                <w:lang w:val="uk-UA" w:eastAsia="uk-UA"/>
              </w:rPr>
              <w:t>– тариф на закачування природного газу, грн за 1000 м</w:t>
            </w:r>
            <w:r w:rsidRPr="006D097C">
              <w:rPr>
                <w:b w:val="0"/>
                <w:bCs w:val="0"/>
                <w:sz w:val="24"/>
                <w:szCs w:val="24"/>
                <w:vertAlign w:val="superscript"/>
                <w:lang w:val="uk-UA" w:eastAsia="uk-UA"/>
              </w:rPr>
              <w:t>3</w:t>
            </w:r>
            <w:r w:rsidRPr="006D097C">
              <w:rPr>
                <w:b w:val="0"/>
                <w:bCs w:val="0"/>
                <w:sz w:val="24"/>
                <w:szCs w:val="24"/>
                <w:lang w:val="uk-UA" w:eastAsia="uk-UA"/>
              </w:rPr>
              <w:t xml:space="preserve"> на добу;</w:t>
            </w:r>
          </w:p>
          <w:p w14:paraId="62216B83" w14:textId="77777777" w:rsidR="00295C7A" w:rsidRPr="006D097C" w:rsidRDefault="00295C7A" w:rsidP="00295C7A">
            <w:pPr>
              <w:pStyle w:val="2"/>
              <w:ind w:firstLine="709"/>
              <w:contextualSpacing/>
              <w:jc w:val="both"/>
              <w:rPr>
                <w:b w:val="0"/>
                <w:bCs w:val="0"/>
                <w:sz w:val="24"/>
                <w:szCs w:val="24"/>
                <w:lang w:val="uk-UA" w:eastAsia="uk-UA"/>
              </w:rPr>
            </w:pPr>
            <w:r w:rsidRPr="006D097C">
              <w:rPr>
                <w:b w:val="0"/>
                <w:sz w:val="24"/>
                <w:szCs w:val="24"/>
                <w:lang w:val="uk-UA"/>
              </w:rPr>
              <w:t>Т</w:t>
            </w:r>
            <w:r w:rsidRPr="006D097C">
              <w:rPr>
                <w:b w:val="0"/>
                <w:sz w:val="24"/>
                <w:szCs w:val="24"/>
                <w:vertAlign w:val="subscript"/>
                <w:lang w:val="uk-UA"/>
              </w:rPr>
              <w:t>відб</w:t>
            </w:r>
            <w:r w:rsidRPr="006D097C">
              <w:rPr>
                <w:b w:val="0"/>
                <w:bCs w:val="0"/>
                <w:sz w:val="24"/>
                <w:szCs w:val="24"/>
                <w:lang w:val="uk-UA" w:eastAsia="uk-UA"/>
              </w:rPr>
              <w:t xml:space="preserve"> – тариф на відбір природного газу, грн за 1000 м</w:t>
            </w:r>
            <w:r w:rsidRPr="006D097C">
              <w:rPr>
                <w:b w:val="0"/>
                <w:bCs w:val="0"/>
                <w:sz w:val="24"/>
                <w:szCs w:val="24"/>
                <w:vertAlign w:val="superscript"/>
                <w:lang w:val="uk-UA" w:eastAsia="uk-UA"/>
              </w:rPr>
              <w:t>3</w:t>
            </w:r>
            <w:r w:rsidRPr="006D097C">
              <w:rPr>
                <w:b w:val="0"/>
                <w:bCs w:val="0"/>
                <w:sz w:val="24"/>
                <w:szCs w:val="24"/>
                <w:lang w:val="uk-UA" w:eastAsia="uk-UA"/>
              </w:rPr>
              <w:t xml:space="preserve"> на добу;</w:t>
            </w:r>
          </w:p>
          <w:p w14:paraId="37266166" w14:textId="77777777" w:rsidR="00295C7A" w:rsidRPr="006D097C" w:rsidRDefault="00295C7A" w:rsidP="00295C7A">
            <w:pPr>
              <w:pStyle w:val="2"/>
              <w:ind w:firstLine="709"/>
              <w:contextualSpacing/>
              <w:jc w:val="both"/>
              <w:rPr>
                <w:b w:val="0"/>
                <w:bCs w:val="0"/>
                <w:sz w:val="24"/>
                <w:szCs w:val="24"/>
                <w:lang w:val="uk-UA" w:eastAsia="uk-UA"/>
              </w:rPr>
            </w:pPr>
            <w:r w:rsidRPr="006D097C">
              <w:rPr>
                <w:b w:val="0"/>
                <w:sz w:val="24"/>
                <w:szCs w:val="24"/>
                <w:lang w:val="uk-UA"/>
              </w:rPr>
              <w:t>В</w:t>
            </w:r>
            <w:r w:rsidRPr="006D097C">
              <w:rPr>
                <w:b w:val="0"/>
                <w:sz w:val="24"/>
                <w:szCs w:val="24"/>
                <w:vertAlign w:val="subscript"/>
                <w:lang w:val="uk-UA"/>
              </w:rPr>
              <w:t>зак</w:t>
            </w:r>
            <w:r w:rsidRPr="006D097C">
              <w:rPr>
                <w:b w:val="0"/>
                <w:bCs w:val="0"/>
                <w:sz w:val="24"/>
                <w:szCs w:val="24"/>
                <w:lang w:val="uk-UA" w:eastAsia="uk-UA"/>
              </w:rPr>
              <w:t xml:space="preserve"> – плановані витрати оператора газосховища на закачування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цієї Методики, тис. грн;</w:t>
            </w:r>
          </w:p>
          <w:p w14:paraId="5673539B" w14:textId="77777777" w:rsidR="00295C7A" w:rsidRPr="006D097C" w:rsidRDefault="00295C7A" w:rsidP="00295C7A">
            <w:pPr>
              <w:pStyle w:val="2"/>
              <w:ind w:firstLine="709"/>
              <w:contextualSpacing/>
              <w:jc w:val="both"/>
              <w:rPr>
                <w:b w:val="0"/>
                <w:bCs w:val="0"/>
                <w:sz w:val="24"/>
                <w:szCs w:val="24"/>
                <w:lang w:val="uk-UA" w:eastAsia="uk-UA"/>
              </w:rPr>
            </w:pPr>
            <w:r w:rsidRPr="006D097C">
              <w:rPr>
                <w:b w:val="0"/>
                <w:sz w:val="24"/>
                <w:szCs w:val="24"/>
                <w:lang w:val="uk-UA"/>
              </w:rPr>
              <w:t>В</w:t>
            </w:r>
            <w:r w:rsidRPr="006D097C">
              <w:rPr>
                <w:b w:val="0"/>
                <w:sz w:val="24"/>
                <w:szCs w:val="24"/>
                <w:vertAlign w:val="subscript"/>
                <w:lang w:val="uk-UA"/>
              </w:rPr>
              <w:t>відб</w:t>
            </w:r>
            <w:r w:rsidRPr="006D097C">
              <w:rPr>
                <w:b w:val="0"/>
                <w:bCs w:val="0"/>
                <w:sz w:val="24"/>
                <w:szCs w:val="24"/>
                <w:lang w:val="uk-UA" w:eastAsia="uk-UA"/>
              </w:rPr>
              <w:t xml:space="preserve"> – плановані витрати оператора газосховища на відбір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w:t>
            </w:r>
            <w:r w:rsidRPr="006D097C">
              <w:rPr>
                <w:b w:val="0"/>
                <w:bCs w:val="0"/>
                <w:sz w:val="24"/>
                <w:szCs w:val="24"/>
                <w:lang w:val="uk-UA" w:eastAsia="uk-UA"/>
              </w:rPr>
              <w:br/>
              <w:t>додатка 1 до цієї Методики, тис. грн;</w:t>
            </w:r>
          </w:p>
          <w:p w14:paraId="215B3B13" w14:textId="77777777" w:rsidR="00295C7A" w:rsidRPr="006D097C" w:rsidRDefault="00295C7A" w:rsidP="00295C7A">
            <w:pPr>
              <w:pStyle w:val="2"/>
              <w:ind w:firstLine="709"/>
              <w:contextualSpacing/>
              <w:jc w:val="both"/>
              <w:rPr>
                <w:b w:val="0"/>
                <w:bCs w:val="0"/>
                <w:sz w:val="24"/>
                <w:szCs w:val="24"/>
                <w:lang w:val="uk-UA" w:eastAsia="uk-UA"/>
              </w:rPr>
            </w:pPr>
            <w:r w:rsidRPr="006D097C">
              <w:rPr>
                <w:b w:val="0"/>
                <w:bCs w:val="0"/>
                <w:sz w:val="24"/>
                <w:szCs w:val="24"/>
                <w:lang w:val="uk-UA" w:eastAsia="uk-UA"/>
              </w:rPr>
              <w:lastRenderedPageBreak/>
              <w:t>Р – планована рентабельність оператора газосховищ, розраховується за формулою (4), %;</w:t>
            </w:r>
          </w:p>
          <w:p w14:paraId="43F6129B" w14:textId="77777777" w:rsidR="00295C7A" w:rsidRPr="006D097C" w:rsidRDefault="00295C7A" w:rsidP="00295C7A">
            <w:pPr>
              <w:pStyle w:val="2"/>
              <w:ind w:firstLine="709"/>
              <w:contextualSpacing/>
              <w:jc w:val="both"/>
              <w:rPr>
                <w:b w:val="0"/>
                <w:bCs w:val="0"/>
                <w:sz w:val="24"/>
                <w:szCs w:val="24"/>
                <w:lang w:val="uk-UA" w:eastAsia="uk-UA"/>
              </w:rPr>
            </w:pPr>
            <w:r w:rsidRPr="006D097C">
              <w:rPr>
                <w:b w:val="0"/>
                <w:bCs w:val="0"/>
                <w:sz w:val="24"/>
                <w:szCs w:val="24"/>
                <w:lang w:val="uk-UA" w:eastAsia="uk-UA"/>
              </w:rPr>
              <w:t>К – коефіцієнт коригування планованої тарифної виручки, що розраховується за формулою (5), %;</w:t>
            </w:r>
          </w:p>
          <w:p w14:paraId="5234A1D1" w14:textId="77777777" w:rsidR="00295C7A" w:rsidRPr="006D097C" w:rsidRDefault="00295C7A" w:rsidP="00295C7A">
            <w:pPr>
              <w:pStyle w:val="2"/>
              <w:ind w:firstLine="709"/>
              <w:contextualSpacing/>
              <w:jc w:val="both"/>
              <w:rPr>
                <w:b w:val="0"/>
                <w:bCs w:val="0"/>
                <w:sz w:val="24"/>
                <w:szCs w:val="24"/>
                <w:lang w:val="uk-UA" w:eastAsia="uk-UA"/>
              </w:rPr>
            </w:pPr>
            <w:r w:rsidRPr="006D097C">
              <w:rPr>
                <w:b w:val="0"/>
                <w:bCs w:val="0"/>
                <w:sz w:val="24"/>
                <w:szCs w:val="24"/>
                <w:lang w:val="uk-UA" w:eastAsia="uk-UA"/>
              </w:rPr>
              <w:t xml:space="preserve">ККІ – коефіцієнт капітальних інвестицій, що розраховується за </w:t>
            </w:r>
            <w:r w:rsidRPr="006D097C">
              <w:rPr>
                <w:b w:val="0"/>
                <w:bCs w:val="0"/>
                <w:sz w:val="24"/>
                <w:szCs w:val="24"/>
                <w:lang w:val="uk-UA" w:eastAsia="uk-UA"/>
              </w:rPr>
              <w:br/>
              <w:t>формулою (6), %;</w:t>
            </w:r>
          </w:p>
          <w:p w14:paraId="4830C324" w14:textId="77777777" w:rsidR="00295C7A" w:rsidRPr="006D097C" w:rsidRDefault="00295C7A" w:rsidP="00295C7A">
            <w:pPr>
              <w:pStyle w:val="2"/>
              <w:ind w:firstLine="709"/>
              <w:contextualSpacing/>
              <w:jc w:val="both"/>
              <w:rPr>
                <w:b w:val="0"/>
                <w:bCs w:val="0"/>
                <w:sz w:val="24"/>
                <w:szCs w:val="24"/>
                <w:lang w:val="uk-UA" w:eastAsia="uk-UA"/>
              </w:rPr>
            </w:pPr>
            <w:r w:rsidRPr="006D097C">
              <w:rPr>
                <w:b w:val="0"/>
                <w:sz w:val="24"/>
                <w:szCs w:val="24"/>
                <w:lang w:val="uk-UA"/>
              </w:rPr>
              <w:t>W</w:t>
            </w:r>
            <w:r w:rsidRPr="006D097C">
              <w:rPr>
                <w:b w:val="0"/>
                <w:sz w:val="24"/>
                <w:szCs w:val="24"/>
                <w:vertAlign w:val="subscript"/>
                <w:lang w:val="uk-UA"/>
              </w:rPr>
              <w:t>зак</w:t>
            </w:r>
            <w:r w:rsidRPr="006D097C">
              <w:rPr>
                <w:b w:val="0"/>
                <w:bCs w:val="0"/>
                <w:sz w:val="24"/>
                <w:szCs w:val="24"/>
                <w:lang w:val="uk-UA" w:eastAsia="uk-UA"/>
              </w:rPr>
              <w:t xml:space="preserve"> – планована річна потужність закачування природного газу в ПСГ на планований період, млн м</w:t>
            </w:r>
            <w:r w:rsidRPr="006D097C">
              <w:rPr>
                <w:b w:val="0"/>
                <w:bCs w:val="0"/>
                <w:sz w:val="24"/>
                <w:szCs w:val="24"/>
                <w:vertAlign w:val="superscript"/>
                <w:lang w:val="uk-UA" w:eastAsia="uk-UA"/>
              </w:rPr>
              <w:t>3</w:t>
            </w:r>
            <w:r w:rsidRPr="006D097C">
              <w:rPr>
                <w:b w:val="0"/>
                <w:bCs w:val="0"/>
                <w:sz w:val="24"/>
                <w:szCs w:val="24"/>
                <w:lang w:val="uk-UA" w:eastAsia="uk-UA"/>
              </w:rPr>
              <w:t xml:space="preserve"> на рік;</w:t>
            </w:r>
          </w:p>
          <w:p w14:paraId="11BB0B5B" w14:textId="77777777" w:rsidR="00295C7A" w:rsidRPr="006D097C" w:rsidRDefault="00295C7A" w:rsidP="00295C7A">
            <w:pPr>
              <w:pStyle w:val="2"/>
              <w:ind w:firstLine="709"/>
              <w:contextualSpacing/>
              <w:jc w:val="both"/>
              <w:rPr>
                <w:b w:val="0"/>
                <w:bCs w:val="0"/>
                <w:sz w:val="24"/>
                <w:szCs w:val="24"/>
                <w:lang w:val="uk-UA" w:eastAsia="uk-UA"/>
              </w:rPr>
            </w:pPr>
            <w:r w:rsidRPr="006D097C">
              <w:rPr>
                <w:b w:val="0"/>
                <w:sz w:val="24"/>
                <w:szCs w:val="24"/>
                <w:lang w:val="uk-UA"/>
              </w:rPr>
              <w:t>W</w:t>
            </w:r>
            <w:r w:rsidRPr="006D097C">
              <w:rPr>
                <w:b w:val="0"/>
                <w:sz w:val="24"/>
                <w:szCs w:val="24"/>
                <w:vertAlign w:val="subscript"/>
                <w:lang w:val="uk-UA"/>
              </w:rPr>
              <w:t>відб</w:t>
            </w:r>
            <w:r w:rsidRPr="006D097C">
              <w:rPr>
                <w:b w:val="0"/>
                <w:bCs w:val="0"/>
                <w:sz w:val="24"/>
                <w:szCs w:val="24"/>
                <w:lang w:val="uk-UA" w:eastAsia="uk-UA"/>
              </w:rPr>
              <w:t xml:space="preserve"> – планована річна потужність відбору природного газу із ПСГ на планований період, млн м</w:t>
            </w:r>
            <w:r w:rsidRPr="006D097C">
              <w:rPr>
                <w:b w:val="0"/>
                <w:bCs w:val="0"/>
                <w:sz w:val="24"/>
                <w:szCs w:val="24"/>
                <w:vertAlign w:val="superscript"/>
                <w:lang w:val="uk-UA" w:eastAsia="uk-UA"/>
              </w:rPr>
              <w:t>3</w:t>
            </w:r>
            <w:r w:rsidRPr="006D097C">
              <w:rPr>
                <w:b w:val="0"/>
                <w:bCs w:val="0"/>
                <w:sz w:val="24"/>
                <w:szCs w:val="24"/>
                <w:lang w:val="uk-UA" w:eastAsia="uk-UA"/>
              </w:rPr>
              <w:t xml:space="preserve"> на рік.»;</w:t>
            </w:r>
          </w:p>
          <w:p w14:paraId="4FAF5C47" w14:textId="77777777" w:rsidR="00295C7A" w:rsidRPr="006D097C" w:rsidRDefault="00295C7A" w:rsidP="00295C7A">
            <w:pPr>
              <w:pStyle w:val="2"/>
              <w:ind w:firstLine="709"/>
              <w:contextualSpacing/>
              <w:jc w:val="both"/>
              <w:rPr>
                <w:b w:val="0"/>
                <w:bCs w:val="0"/>
                <w:iCs/>
                <w:color w:val="000000" w:themeColor="text1"/>
                <w:sz w:val="24"/>
                <w:szCs w:val="24"/>
                <w:shd w:val="clear" w:color="auto" w:fill="FFFFFF"/>
                <w:lang w:val="uk-UA"/>
              </w:rPr>
            </w:pPr>
          </w:p>
        </w:tc>
        <w:tc>
          <w:tcPr>
            <w:tcW w:w="5957" w:type="dxa"/>
          </w:tcPr>
          <w:p w14:paraId="1573EECE" w14:textId="77777777" w:rsidR="00295C7A" w:rsidRPr="006D097C" w:rsidRDefault="00295C7A" w:rsidP="00295C7A">
            <w:pPr>
              <w:tabs>
                <w:tab w:val="left" w:pos="1185"/>
              </w:tabs>
              <w:rPr>
                <w:rFonts w:ascii="Times New Roman" w:hAnsi="Times New Roman" w:cs="Times New Roman"/>
                <w:b/>
                <w:bCs/>
                <w:iCs/>
                <w:color w:val="000000" w:themeColor="text1"/>
                <w:sz w:val="24"/>
                <w:szCs w:val="24"/>
                <w:shd w:val="clear" w:color="auto" w:fill="FFFFFF"/>
                <w:lang w:val="uk-UA"/>
              </w:rPr>
            </w:pPr>
            <w:r w:rsidRPr="006D097C">
              <w:rPr>
                <w:rFonts w:ascii="Times New Roman" w:hAnsi="Times New Roman" w:cs="Times New Roman"/>
                <w:b/>
                <w:bCs/>
                <w:iCs/>
                <w:color w:val="000000" w:themeColor="text1"/>
                <w:sz w:val="24"/>
                <w:szCs w:val="24"/>
                <w:shd w:val="clear" w:color="auto" w:fill="FFFFFF"/>
                <w:lang w:val="uk-UA"/>
              </w:rPr>
              <w:lastRenderedPageBreak/>
              <w:t>Пропозиція Бакулін О.:</w:t>
            </w:r>
          </w:p>
          <w:p w14:paraId="1B9D149A" w14:textId="77777777" w:rsidR="00295C7A" w:rsidRPr="006D097C" w:rsidRDefault="00295C7A" w:rsidP="00295C7A">
            <w:pPr>
              <w:tabs>
                <w:tab w:val="left" w:pos="1185"/>
              </w:tabs>
              <w:rPr>
                <w:rFonts w:ascii="Times New Roman" w:hAnsi="Times New Roman" w:cs="Times New Roman"/>
                <w:b/>
                <w:sz w:val="24"/>
                <w:szCs w:val="24"/>
                <w:lang w:val="uk-UA"/>
              </w:rPr>
            </w:pPr>
          </w:p>
          <w:p w14:paraId="742C2186" w14:textId="77777777" w:rsidR="00295C7A" w:rsidRPr="006D097C" w:rsidRDefault="00295C7A" w:rsidP="00295C7A">
            <w:pPr>
              <w:tabs>
                <w:tab w:val="left" w:pos="1185"/>
              </w:tabs>
              <w:rPr>
                <w:rFonts w:ascii="Times New Roman" w:hAnsi="Times New Roman" w:cs="Times New Roman"/>
                <w:sz w:val="24"/>
                <w:szCs w:val="24"/>
                <w:lang w:val="uk-UA"/>
              </w:rPr>
            </w:pPr>
            <w:r w:rsidRPr="006D097C">
              <w:rPr>
                <w:rFonts w:ascii="Times New Roman" w:hAnsi="Times New Roman" w:cs="Times New Roman"/>
                <w:sz w:val="24"/>
                <w:szCs w:val="24"/>
                <w:lang w:val="uk-UA"/>
              </w:rPr>
              <w:t>Пункт 8 залишити в діючій редакції.</w:t>
            </w:r>
          </w:p>
          <w:p w14:paraId="5C0EF9C1" w14:textId="77777777" w:rsidR="00295C7A" w:rsidRPr="006D097C" w:rsidRDefault="00295C7A" w:rsidP="00295C7A">
            <w:pPr>
              <w:tabs>
                <w:tab w:val="left" w:pos="1185"/>
              </w:tabs>
              <w:rPr>
                <w:rFonts w:ascii="Times New Roman" w:hAnsi="Times New Roman" w:cs="Times New Roman"/>
                <w:b/>
                <w:sz w:val="24"/>
                <w:szCs w:val="24"/>
                <w:lang w:val="uk-UA"/>
              </w:rPr>
            </w:pPr>
          </w:p>
          <w:p w14:paraId="4590467E" w14:textId="77777777" w:rsidR="00295C7A" w:rsidRPr="006D097C" w:rsidRDefault="00295C7A" w:rsidP="00295C7A">
            <w:pPr>
              <w:tabs>
                <w:tab w:val="left" w:pos="1185"/>
              </w:tabs>
              <w:rPr>
                <w:rFonts w:ascii="Times New Roman" w:hAnsi="Times New Roman" w:cs="Times New Roman"/>
                <w:b/>
                <w:sz w:val="24"/>
                <w:szCs w:val="24"/>
                <w:lang w:val="uk-UA"/>
              </w:rPr>
            </w:pPr>
            <w:r w:rsidRPr="006D097C">
              <w:rPr>
                <w:rFonts w:ascii="Times New Roman" w:hAnsi="Times New Roman" w:cs="Times New Roman"/>
                <w:b/>
                <w:sz w:val="24"/>
                <w:szCs w:val="24"/>
                <w:lang w:val="uk-UA"/>
              </w:rPr>
              <w:t>Обґрунтування:</w:t>
            </w:r>
          </w:p>
          <w:p w14:paraId="4AED2065" w14:textId="77777777" w:rsidR="00295C7A" w:rsidRPr="006D097C" w:rsidRDefault="00295C7A" w:rsidP="00295C7A">
            <w:pPr>
              <w:tabs>
                <w:tab w:val="left" w:pos="1185"/>
              </w:tabs>
              <w:jc w:val="both"/>
              <w:rPr>
                <w:rFonts w:ascii="Times New Roman" w:hAnsi="Times New Roman" w:cs="Times New Roman"/>
                <w:sz w:val="24"/>
                <w:szCs w:val="24"/>
                <w:lang w:val="uk-UA"/>
              </w:rPr>
            </w:pPr>
            <w:r w:rsidRPr="006D097C">
              <w:rPr>
                <w:rFonts w:ascii="Times New Roman" w:hAnsi="Times New Roman" w:cs="Times New Roman"/>
                <w:sz w:val="24"/>
                <w:szCs w:val="24"/>
                <w:lang w:val="uk-UA"/>
              </w:rPr>
              <w:t>Запропонованим проєктом постанови пропонується прибрати розрахунок двох окремих тарифів (закачування та відбір) та запровадити розрахунок одного, включивши до</w:t>
            </w:r>
          </w:p>
          <w:p w14:paraId="0600AD9E" w14:textId="77777777" w:rsidR="00295C7A" w:rsidRPr="006D097C" w:rsidRDefault="00295C7A" w:rsidP="00295C7A">
            <w:pPr>
              <w:tabs>
                <w:tab w:val="left" w:pos="1185"/>
              </w:tabs>
              <w:jc w:val="both"/>
              <w:rPr>
                <w:rFonts w:ascii="Times New Roman" w:hAnsi="Times New Roman" w:cs="Times New Roman"/>
                <w:sz w:val="24"/>
                <w:szCs w:val="24"/>
                <w:lang w:val="uk-UA"/>
              </w:rPr>
            </w:pPr>
            <w:r w:rsidRPr="006D097C">
              <w:rPr>
                <w:rFonts w:ascii="Times New Roman" w:hAnsi="Times New Roman" w:cs="Times New Roman"/>
                <w:sz w:val="24"/>
                <w:szCs w:val="24"/>
                <w:lang w:val="uk-UA"/>
              </w:rPr>
              <w:t>його розрахунку 100% матеріальних витрат оператора газосховищ та загальну плановану річну потужність закачування і відбору природного газу.</w:t>
            </w:r>
          </w:p>
          <w:p w14:paraId="63114197" w14:textId="77777777" w:rsidR="00295C7A" w:rsidRPr="006D097C" w:rsidRDefault="00295C7A" w:rsidP="00295C7A">
            <w:pPr>
              <w:tabs>
                <w:tab w:val="left" w:pos="1185"/>
              </w:tabs>
              <w:jc w:val="both"/>
              <w:rPr>
                <w:rFonts w:ascii="Times New Roman" w:hAnsi="Times New Roman" w:cs="Times New Roman"/>
                <w:sz w:val="24"/>
                <w:szCs w:val="24"/>
                <w:lang w:val="uk-UA"/>
              </w:rPr>
            </w:pPr>
            <w:r w:rsidRPr="006D097C">
              <w:rPr>
                <w:rFonts w:ascii="Times New Roman" w:hAnsi="Times New Roman" w:cs="Times New Roman"/>
                <w:sz w:val="24"/>
                <w:szCs w:val="24"/>
                <w:lang w:val="uk-UA"/>
              </w:rPr>
              <w:t>В результаті змін до Методики, відповідно до приписів кодексу газосховищ та договору зберігання (закачування, відбору)природного газу замовнник під час замовлення та оплати закачування природного газу, одночасно покриває оператору газосховищ його витрати на</w:t>
            </w:r>
          </w:p>
          <w:p w14:paraId="280E2ABA" w14:textId="77777777" w:rsidR="00295C7A" w:rsidRPr="006D097C" w:rsidRDefault="00295C7A" w:rsidP="00295C7A">
            <w:pPr>
              <w:tabs>
                <w:tab w:val="left" w:pos="1185"/>
              </w:tabs>
              <w:jc w:val="both"/>
              <w:rPr>
                <w:rFonts w:ascii="Times New Roman" w:hAnsi="Times New Roman" w:cs="Times New Roman"/>
                <w:sz w:val="24"/>
                <w:szCs w:val="24"/>
                <w:lang w:val="uk-UA"/>
              </w:rPr>
            </w:pPr>
            <w:r w:rsidRPr="006D097C">
              <w:rPr>
                <w:rFonts w:ascii="Times New Roman" w:hAnsi="Times New Roman" w:cs="Times New Roman"/>
                <w:sz w:val="24"/>
                <w:szCs w:val="24"/>
                <w:lang w:val="uk-UA"/>
              </w:rPr>
              <w:t>відбір природного газу.</w:t>
            </w:r>
          </w:p>
          <w:p w14:paraId="4289F87D" w14:textId="77777777" w:rsidR="00295C7A" w:rsidRPr="006D097C" w:rsidRDefault="00295C7A" w:rsidP="00295C7A">
            <w:pPr>
              <w:tabs>
                <w:tab w:val="left" w:pos="1185"/>
              </w:tabs>
              <w:jc w:val="both"/>
              <w:rPr>
                <w:rFonts w:ascii="Times New Roman" w:hAnsi="Times New Roman" w:cs="Times New Roman"/>
                <w:sz w:val="24"/>
                <w:szCs w:val="24"/>
                <w:lang w:val="uk-UA"/>
              </w:rPr>
            </w:pPr>
            <w:r w:rsidRPr="006D097C">
              <w:rPr>
                <w:rFonts w:ascii="Times New Roman" w:hAnsi="Times New Roman" w:cs="Times New Roman"/>
                <w:sz w:val="24"/>
                <w:szCs w:val="24"/>
                <w:lang w:val="uk-UA"/>
              </w:rPr>
              <w:t xml:space="preserve">При цьому, такий замовник не обов’язково буде в подальшому здійснювати відбір. Зокрема, відбір </w:t>
            </w:r>
            <w:r w:rsidRPr="006D097C">
              <w:rPr>
                <w:rFonts w:ascii="Times New Roman" w:hAnsi="Times New Roman" w:cs="Times New Roman"/>
                <w:sz w:val="24"/>
                <w:szCs w:val="24"/>
                <w:lang w:val="uk-UA"/>
              </w:rPr>
              <w:lastRenderedPageBreak/>
              <w:t>природного газу може здійснювати інший замовник, який купив такий обсяг в газосховищах. В цьому випадку такий замовник, замовляючи та оплачуючи відбір, одночасно покриває витрати оператора за закачування, які покриті попереднім замовником.</w:t>
            </w:r>
          </w:p>
          <w:p w14:paraId="420EA1DC" w14:textId="77777777" w:rsidR="00295C7A" w:rsidRPr="006D097C" w:rsidRDefault="00295C7A" w:rsidP="00295C7A">
            <w:pPr>
              <w:tabs>
                <w:tab w:val="left" w:pos="1185"/>
              </w:tabs>
              <w:jc w:val="both"/>
              <w:rPr>
                <w:rFonts w:ascii="Times New Roman" w:hAnsi="Times New Roman" w:cs="Times New Roman"/>
                <w:sz w:val="24"/>
                <w:szCs w:val="24"/>
                <w:lang w:val="uk-UA"/>
              </w:rPr>
            </w:pPr>
            <w:r w:rsidRPr="006D097C">
              <w:rPr>
                <w:rFonts w:ascii="Times New Roman" w:hAnsi="Times New Roman" w:cs="Times New Roman"/>
                <w:sz w:val="24"/>
                <w:szCs w:val="24"/>
                <w:lang w:val="uk-UA"/>
              </w:rPr>
              <w:t>Запропонований Регулятором підхід веде до необґрунтованого збільшення витрат замовників, які в подальшому будуть перекладені на споживачів природного газу.</w:t>
            </w:r>
          </w:p>
        </w:tc>
        <w:tc>
          <w:tcPr>
            <w:tcW w:w="3687" w:type="dxa"/>
          </w:tcPr>
          <w:p w14:paraId="46645594" w14:textId="77777777" w:rsidR="00295C7A" w:rsidRPr="006D097C" w:rsidRDefault="00295C7A" w:rsidP="005D63B6">
            <w:pPr>
              <w:jc w:val="both"/>
              <w:rPr>
                <w:rFonts w:ascii="Times New Roman" w:eastAsia="Times New Roman" w:hAnsi="Times New Roman" w:cs="Times New Roman"/>
                <w:b/>
                <w:color w:val="000000" w:themeColor="text1"/>
                <w:sz w:val="24"/>
                <w:szCs w:val="24"/>
                <w:lang w:val="uk-UA" w:eastAsia="uk-UA"/>
              </w:rPr>
            </w:pPr>
            <w:r w:rsidRPr="006D097C">
              <w:rPr>
                <w:rFonts w:ascii="Times New Roman" w:eastAsia="Times New Roman" w:hAnsi="Times New Roman" w:cs="Times New Roman"/>
                <w:b/>
                <w:color w:val="000000" w:themeColor="text1"/>
                <w:sz w:val="24"/>
                <w:szCs w:val="24"/>
                <w:lang w:val="uk-UA" w:eastAsia="uk-UA"/>
              </w:rPr>
              <w:lastRenderedPageBreak/>
              <w:t>Попередньо відхилено</w:t>
            </w:r>
          </w:p>
          <w:p w14:paraId="1233F4BF" w14:textId="77777777" w:rsidR="00295C7A" w:rsidRPr="006D097C" w:rsidRDefault="00295C7A" w:rsidP="00295C7A">
            <w:pPr>
              <w:ind w:hanging="115"/>
              <w:jc w:val="both"/>
              <w:rPr>
                <w:rFonts w:ascii="Times New Roman" w:eastAsia="Times New Roman" w:hAnsi="Times New Roman" w:cs="Times New Roman"/>
                <w:bCs/>
                <w:color w:val="000000" w:themeColor="text1"/>
                <w:sz w:val="24"/>
                <w:szCs w:val="24"/>
                <w:lang w:val="uk-UA" w:eastAsia="uk-UA"/>
              </w:rPr>
            </w:pPr>
          </w:p>
          <w:p w14:paraId="6E40FF07" w14:textId="77777777" w:rsidR="00295C7A" w:rsidRPr="006D097C" w:rsidRDefault="00295C7A" w:rsidP="00295C7A">
            <w:pPr>
              <w:ind w:firstLine="20"/>
              <w:jc w:val="both"/>
              <w:rPr>
                <w:rFonts w:ascii="Times New Roman" w:eastAsia="Times New Roman" w:hAnsi="Times New Roman" w:cs="Times New Roman"/>
                <w:bCs/>
                <w:color w:val="000000" w:themeColor="text1"/>
                <w:sz w:val="24"/>
                <w:szCs w:val="24"/>
                <w:lang w:val="uk-UA" w:eastAsia="uk-UA"/>
              </w:rPr>
            </w:pPr>
            <w:r w:rsidRPr="006D097C">
              <w:rPr>
                <w:rFonts w:ascii="Times New Roman" w:eastAsia="Times New Roman" w:hAnsi="Times New Roman" w:cs="Times New Roman"/>
                <w:bCs/>
                <w:color w:val="000000" w:themeColor="text1"/>
                <w:sz w:val="24"/>
                <w:szCs w:val="24"/>
                <w:lang w:val="uk-UA" w:eastAsia="uk-UA"/>
              </w:rPr>
              <w:t>Методика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затвердженою постановою НКРЕКП від 13.06.2016 № 1131</w:t>
            </w:r>
            <w:r w:rsidR="00A57078">
              <w:rPr>
                <w:rFonts w:ascii="Times New Roman" w:eastAsia="Times New Roman" w:hAnsi="Times New Roman" w:cs="Times New Roman"/>
                <w:bCs/>
                <w:color w:val="000000" w:themeColor="text1"/>
                <w:sz w:val="24"/>
                <w:szCs w:val="24"/>
                <w:lang w:val="uk-UA" w:eastAsia="uk-UA"/>
              </w:rPr>
              <w:t xml:space="preserve"> (далі – Методика)</w:t>
            </w:r>
            <w:r w:rsidRPr="006D097C">
              <w:rPr>
                <w:rFonts w:ascii="Times New Roman" w:eastAsia="Times New Roman" w:hAnsi="Times New Roman" w:cs="Times New Roman"/>
                <w:bCs/>
                <w:color w:val="000000" w:themeColor="text1"/>
                <w:sz w:val="24"/>
                <w:szCs w:val="24"/>
                <w:lang w:val="uk-UA" w:eastAsia="uk-UA"/>
              </w:rPr>
              <w:t xml:space="preserve"> передбачає механізм розрахунку  окремих тарифів на послуги зберігання (закачування, відбору) природного газу. </w:t>
            </w:r>
          </w:p>
          <w:p w14:paraId="4E849FDC" w14:textId="77777777" w:rsidR="00295C7A" w:rsidRDefault="00295C7A" w:rsidP="0068280F">
            <w:pPr>
              <w:jc w:val="both"/>
              <w:rPr>
                <w:rFonts w:ascii="Times New Roman" w:eastAsia="Times New Roman" w:hAnsi="Times New Roman" w:cs="Times New Roman"/>
                <w:bCs/>
                <w:color w:val="000000" w:themeColor="text1"/>
                <w:sz w:val="24"/>
                <w:szCs w:val="24"/>
                <w:lang w:val="uk-UA" w:eastAsia="uk-UA"/>
              </w:rPr>
            </w:pPr>
            <w:r w:rsidRPr="006D097C">
              <w:rPr>
                <w:rFonts w:ascii="Times New Roman" w:eastAsia="Times New Roman" w:hAnsi="Times New Roman" w:cs="Times New Roman"/>
                <w:bCs/>
                <w:color w:val="000000" w:themeColor="text1"/>
                <w:sz w:val="24"/>
                <w:szCs w:val="24"/>
                <w:lang w:val="uk-UA" w:eastAsia="uk-UA"/>
              </w:rPr>
              <w:t xml:space="preserve">Запропоновані зміни, не скасовують диференційоване </w:t>
            </w:r>
            <w:r>
              <w:rPr>
                <w:rFonts w:ascii="Times New Roman" w:eastAsia="Times New Roman" w:hAnsi="Times New Roman" w:cs="Times New Roman"/>
                <w:bCs/>
                <w:color w:val="000000" w:themeColor="text1"/>
                <w:sz w:val="24"/>
                <w:szCs w:val="24"/>
                <w:lang w:val="uk-UA" w:eastAsia="uk-UA"/>
              </w:rPr>
              <w:t>визначення</w:t>
            </w:r>
            <w:r w:rsidRPr="006D097C">
              <w:rPr>
                <w:rFonts w:ascii="Times New Roman" w:eastAsia="Times New Roman" w:hAnsi="Times New Roman" w:cs="Times New Roman"/>
                <w:bCs/>
                <w:color w:val="000000" w:themeColor="text1"/>
                <w:sz w:val="24"/>
                <w:szCs w:val="24"/>
                <w:lang w:val="uk-UA" w:eastAsia="uk-UA"/>
              </w:rPr>
              <w:t xml:space="preserve"> тарифів на закачування та відбір </w:t>
            </w:r>
            <w:r>
              <w:rPr>
                <w:rFonts w:ascii="Times New Roman" w:eastAsia="Times New Roman" w:hAnsi="Times New Roman" w:cs="Times New Roman"/>
                <w:bCs/>
                <w:color w:val="000000" w:themeColor="text1"/>
                <w:sz w:val="24"/>
                <w:szCs w:val="24"/>
                <w:lang w:val="uk-UA" w:eastAsia="uk-UA"/>
              </w:rPr>
              <w:t xml:space="preserve">природного газу </w:t>
            </w:r>
            <w:r w:rsidRPr="006D097C">
              <w:rPr>
                <w:rFonts w:ascii="Times New Roman" w:eastAsia="Times New Roman" w:hAnsi="Times New Roman" w:cs="Times New Roman"/>
                <w:bCs/>
                <w:color w:val="000000" w:themeColor="text1"/>
                <w:sz w:val="24"/>
                <w:szCs w:val="24"/>
                <w:lang w:val="uk-UA" w:eastAsia="uk-UA"/>
              </w:rPr>
              <w:t xml:space="preserve">в частині застосування </w:t>
            </w:r>
            <w:r w:rsidRPr="006D097C">
              <w:rPr>
                <w:rFonts w:ascii="Times New Roman" w:eastAsia="Times New Roman" w:hAnsi="Times New Roman" w:cs="Times New Roman"/>
                <w:bCs/>
                <w:color w:val="000000" w:themeColor="text1"/>
                <w:sz w:val="24"/>
                <w:szCs w:val="24"/>
                <w:lang w:val="uk-UA" w:eastAsia="uk-UA"/>
              </w:rPr>
              <w:lastRenderedPageBreak/>
              <w:t xml:space="preserve">єдиної формули </w:t>
            </w:r>
            <w:r>
              <w:rPr>
                <w:rFonts w:ascii="Times New Roman" w:eastAsia="Times New Roman" w:hAnsi="Times New Roman" w:cs="Times New Roman"/>
                <w:bCs/>
                <w:color w:val="000000" w:themeColor="text1"/>
                <w:sz w:val="24"/>
                <w:szCs w:val="24"/>
                <w:lang w:val="uk-UA" w:eastAsia="uk-UA"/>
              </w:rPr>
              <w:t xml:space="preserve"> та </w:t>
            </w:r>
            <w:r w:rsidRPr="006D097C">
              <w:rPr>
                <w:rFonts w:ascii="Times New Roman" w:eastAsia="Times New Roman" w:hAnsi="Times New Roman" w:cs="Times New Roman"/>
                <w:bCs/>
                <w:color w:val="000000" w:themeColor="text1"/>
                <w:sz w:val="24"/>
                <w:szCs w:val="24"/>
                <w:lang w:val="uk-UA" w:eastAsia="uk-UA"/>
              </w:rPr>
              <w:t>не змінюють принцип тарифоутворення, а</w:t>
            </w:r>
            <w:r>
              <w:rPr>
                <w:rFonts w:ascii="Times New Roman" w:eastAsia="Times New Roman" w:hAnsi="Times New Roman" w:cs="Times New Roman"/>
                <w:bCs/>
                <w:color w:val="000000" w:themeColor="text1"/>
                <w:sz w:val="24"/>
                <w:szCs w:val="24"/>
                <w:lang w:val="uk-UA" w:eastAsia="uk-UA"/>
              </w:rPr>
              <w:t xml:space="preserve"> лише</w:t>
            </w:r>
            <w:r w:rsidRPr="006D097C">
              <w:rPr>
                <w:rFonts w:ascii="Times New Roman" w:eastAsia="Times New Roman" w:hAnsi="Times New Roman" w:cs="Times New Roman"/>
                <w:bCs/>
                <w:color w:val="000000" w:themeColor="text1"/>
                <w:sz w:val="24"/>
                <w:szCs w:val="24"/>
                <w:lang w:val="uk-UA" w:eastAsia="uk-UA"/>
              </w:rPr>
              <w:t xml:space="preserve"> удосконалюють </w:t>
            </w:r>
            <w:r>
              <w:rPr>
                <w:rFonts w:ascii="Times New Roman" w:eastAsia="Times New Roman" w:hAnsi="Times New Roman" w:cs="Times New Roman"/>
                <w:bCs/>
                <w:color w:val="000000" w:themeColor="text1"/>
                <w:sz w:val="24"/>
                <w:szCs w:val="24"/>
                <w:lang w:val="uk-UA" w:eastAsia="uk-UA"/>
              </w:rPr>
              <w:t>механізм розрахунку</w:t>
            </w:r>
            <w:r w:rsidRPr="006D097C">
              <w:rPr>
                <w:rFonts w:ascii="Times New Roman" w:hAnsi="Times New Roman"/>
                <w:sz w:val="28"/>
                <w:szCs w:val="28"/>
                <w:lang w:val="uk-UA"/>
              </w:rPr>
              <w:t xml:space="preserve"> </w:t>
            </w:r>
            <w:r w:rsidRPr="006D097C">
              <w:rPr>
                <w:rFonts w:ascii="Times New Roman" w:eastAsia="Times New Roman" w:hAnsi="Times New Roman" w:cs="Times New Roman"/>
                <w:bCs/>
                <w:color w:val="000000" w:themeColor="text1"/>
                <w:sz w:val="24"/>
                <w:szCs w:val="24"/>
                <w:lang w:val="uk-UA" w:eastAsia="uk-UA"/>
              </w:rPr>
              <w:t>тарифів на послуги закачування та відбору природного газу</w:t>
            </w:r>
            <w:r>
              <w:rPr>
                <w:rFonts w:ascii="Times New Roman" w:eastAsia="Times New Roman" w:hAnsi="Times New Roman" w:cs="Times New Roman"/>
                <w:bCs/>
                <w:color w:val="000000" w:themeColor="text1"/>
                <w:sz w:val="24"/>
                <w:szCs w:val="24"/>
                <w:lang w:val="uk-UA" w:eastAsia="uk-UA"/>
              </w:rPr>
              <w:t xml:space="preserve"> шляхом групування сукупних витрат (</w:t>
            </w:r>
            <w:r w:rsidRPr="005E3CD4">
              <w:rPr>
                <w:rFonts w:ascii="Times New Roman" w:eastAsia="Times New Roman" w:hAnsi="Times New Roman" w:cs="Times New Roman"/>
                <w:bCs/>
                <w:color w:val="000000" w:themeColor="text1"/>
                <w:sz w:val="24"/>
                <w:szCs w:val="24"/>
                <w:lang w:val="uk-UA" w:eastAsia="uk-UA"/>
              </w:rPr>
              <w:t>агрегованого розрахунку сукупних витрат</w:t>
            </w:r>
            <w:r>
              <w:rPr>
                <w:rFonts w:ascii="Times New Roman" w:eastAsia="Times New Roman" w:hAnsi="Times New Roman" w:cs="Times New Roman"/>
                <w:bCs/>
                <w:color w:val="000000" w:themeColor="text1"/>
                <w:sz w:val="24"/>
                <w:szCs w:val="24"/>
                <w:lang w:val="uk-UA" w:eastAsia="uk-UA"/>
              </w:rPr>
              <w:t xml:space="preserve">)  </w:t>
            </w:r>
            <w:r w:rsidRPr="006D097C">
              <w:rPr>
                <w:rFonts w:ascii="Times New Roman" w:eastAsia="Times New Roman" w:hAnsi="Times New Roman" w:cs="Times New Roman"/>
                <w:bCs/>
                <w:color w:val="000000" w:themeColor="text1"/>
                <w:sz w:val="24"/>
                <w:szCs w:val="24"/>
                <w:lang w:val="uk-UA" w:eastAsia="uk-UA"/>
              </w:rPr>
              <w:t>із подальшим пропорційним розподілом між відповідними послугами</w:t>
            </w:r>
            <w:r>
              <w:rPr>
                <w:rFonts w:ascii="Times New Roman" w:eastAsia="Times New Roman" w:hAnsi="Times New Roman" w:cs="Times New Roman"/>
                <w:bCs/>
                <w:color w:val="000000" w:themeColor="text1"/>
                <w:sz w:val="24"/>
                <w:szCs w:val="24"/>
                <w:lang w:val="uk-UA" w:eastAsia="uk-UA"/>
              </w:rPr>
              <w:t>.</w:t>
            </w:r>
          </w:p>
          <w:p w14:paraId="50F59F8D" w14:textId="77777777" w:rsidR="00A57078" w:rsidRDefault="00A57078" w:rsidP="0068280F">
            <w:pPr>
              <w:jc w:val="both"/>
              <w:rPr>
                <w:rFonts w:ascii="Times New Roman" w:eastAsia="Times New Roman" w:hAnsi="Times New Roman" w:cs="Times New Roman"/>
                <w:bCs/>
                <w:color w:val="000000" w:themeColor="text1"/>
                <w:sz w:val="24"/>
                <w:szCs w:val="24"/>
                <w:lang w:val="uk-UA" w:eastAsia="uk-UA"/>
              </w:rPr>
            </w:pPr>
            <w:r>
              <w:rPr>
                <w:rFonts w:ascii="Times New Roman" w:eastAsia="Times New Roman" w:hAnsi="Times New Roman" w:cs="Times New Roman"/>
                <w:bCs/>
                <w:color w:val="000000" w:themeColor="text1"/>
                <w:sz w:val="24"/>
                <w:szCs w:val="24"/>
                <w:lang w:val="uk-UA" w:eastAsia="uk-UA"/>
              </w:rPr>
              <w:t>Такий підхід забезпечить оптимізацію тарифної моделі шляхом вирівнювання тарифів на закачування та відбір природного газу.</w:t>
            </w:r>
          </w:p>
          <w:p w14:paraId="79F6BBE3" w14:textId="77777777" w:rsidR="00295C7A" w:rsidRPr="006D097C" w:rsidRDefault="00295C7A" w:rsidP="00295C7A">
            <w:pPr>
              <w:ind w:firstLine="20"/>
              <w:jc w:val="both"/>
              <w:rPr>
                <w:rFonts w:ascii="Times New Roman" w:eastAsia="Times New Roman" w:hAnsi="Times New Roman" w:cs="Times New Roman"/>
                <w:bCs/>
                <w:color w:val="000000" w:themeColor="text1"/>
                <w:sz w:val="24"/>
                <w:szCs w:val="24"/>
                <w:lang w:val="uk-UA" w:eastAsia="uk-UA"/>
              </w:rPr>
            </w:pPr>
          </w:p>
          <w:p w14:paraId="0992E13D" w14:textId="77777777" w:rsidR="00295C7A" w:rsidRPr="006D097C" w:rsidRDefault="00295C7A" w:rsidP="00295C7A">
            <w:pPr>
              <w:ind w:firstLine="20"/>
              <w:jc w:val="both"/>
              <w:rPr>
                <w:rFonts w:ascii="Times New Roman" w:eastAsia="Times New Roman" w:hAnsi="Times New Roman" w:cs="Times New Roman"/>
                <w:bCs/>
                <w:color w:val="000000" w:themeColor="text1"/>
                <w:sz w:val="24"/>
                <w:szCs w:val="24"/>
                <w:lang w:val="uk-UA" w:eastAsia="uk-UA"/>
              </w:rPr>
            </w:pPr>
          </w:p>
          <w:p w14:paraId="62D798AE" w14:textId="77777777" w:rsidR="00295C7A" w:rsidRPr="006D097C" w:rsidRDefault="00295C7A" w:rsidP="00295C7A">
            <w:pPr>
              <w:ind w:hanging="115"/>
              <w:jc w:val="both"/>
              <w:rPr>
                <w:rFonts w:ascii="Times New Roman" w:eastAsia="Times New Roman" w:hAnsi="Times New Roman" w:cs="Times New Roman"/>
                <w:bCs/>
                <w:color w:val="000000" w:themeColor="text1"/>
                <w:sz w:val="24"/>
                <w:szCs w:val="24"/>
                <w:lang w:val="uk-UA" w:eastAsia="uk-UA"/>
              </w:rPr>
            </w:pPr>
          </w:p>
        </w:tc>
      </w:tr>
      <w:tr w:rsidR="00295C7A" w:rsidRPr="006D097C" w14:paraId="23065281" w14:textId="77777777" w:rsidTr="002C166D">
        <w:trPr>
          <w:jc w:val="center"/>
        </w:trPr>
        <w:tc>
          <w:tcPr>
            <w:tcW w:w="6377" w:type="dxa"/>
            <w:vAlign w:val="center"/>
          </w:tcPr>
          <w:p w14:paraId="714BEDF3" w14:textId="77777777" w:rsidR="00295C7A" w:rsidRPr="006D097C" w:rsidRDefault="00295C7A" w:rsidP="00295C7A">
            <w:pPr>
              <w:pStyle w:val="2"/>
              <w:ind w:firstLine="709"/>
              <w:contextualSpacing/>
              <w:jc w:val="both"/>
              <w:rPr>
                <w:b w:val="0"/>
                <w:bCs w:val="0"/>
                <w:sz w:val="24"/>
                <w:szCs w:val="24"/>
                <w:lang w:val="uk-UA" w:eastAsia="uk-UA"/>
              </w:rPr>
            </w:pPr>
            <w:r w:rsidRPr="006D097C">
              <w:rPr>
                <w:b w:val="0"/>
                <w:bCs w:val="0"/>
                <w:sz w:val="24"/>
                <w:szCs w:val="24"/>
                <w:lang w:val="uk-UA" w:eastAsia="uk-UA"/>
              </w:rPr>
              <w:lastRenderedPageBreak/>
              <w:t>пункт 9 виключити.</w:t>
            </w:r>
          </w:p>
          <w:p w14:paraId="08F465BD" w14:textId="77777777" w:rsidR="00295C7A" w:rsidRPr="006D097C" w:rsidRDefault="00295C7A" w:rsidP="00295C7A">
            <w:pPr>
              <w:pStyle w:val="2"/>
              <w:ind w:firstLine="709"/>
              <w:contextualSpacing/>
              <w:jc w:val="both"/>
              <w:rPr>
                <w:noProof/>
                <w:sz w:val="24"/>
                <w:szCs w:val="24"/>
                <w:lang w:val="uk-UA" w:eastAsia="uk-UA"/>
              </w:rPr>
            </w:pPr>
            <w:r w:rsidRPr="006D097C">
              <w:rPr>
                <w:b w:val="0"/>
                <w:bCs w:val="0"/>
                <w:sz w:val="24"/>
                <w:szCs w:val="24"/>
                <w:lang w:val="uk-UA"/>
              </w:rPr>
              <w:t>У зв’язку з цим пункти 10 та 11 вважати відповідно пунктами 9 та 10;</w:t>
            </w:r>
          </w:p>
        </w:tc>
        <w:tc>
          <w:tcPr>
            <w:tcW w:w="5957" w:type="dxa"/>
          </w:tcPr>
          <w:p w14:paraId="22EFAADA" w14:textId="77777777" w:rsidR="00295C7A" w:rsidRPr="006D097C" w:rsidRDefault="00295C7A" w:rsidP="00295C7A">
            <w:pPr>
              <w:tabs>
                <w:tab w:val="left" w:pos="1185"/>
              </w:tabs>
              <w:jc w:val="both"/>
              <w:rPr>
                <w:rFonts w:ascii="Times New Roman" w:hAnsi="Times New Roman" w:cs="Times New Roman"/>
                <w:b/>
                <w:bCs/>
                <w:iCs/>
                <w:color w:val="000000" w:themeColor="text1"/>
                <w:sz w:val="24"/>
                <w:szCs w:val="24"/>
                <w:shd w:val="clear" w:color="auto" w:fill="FFFFFF"/>
                <w:lang w:val="uk-UA"/>
              </w:rPr>
            </w:pPr>
            <w:r w:rsidRPr="006D097C">
              <w:rPr>
                <w:rFonts w:ascii="Times New Roman" w:hAnsi="Times New Roman" w:cs="Times New Roman"/>
                <w:b/>
                <w:bCs/>
                <w:iCs/>
                <w:color w:val="000000" w:themeColor="text1"/>
                <w:sz w:val="24"/>
                <w:szCs w:val="24"/>
                <w:shd w:val="clear" w:color="auto" w:fill="FFFFFF"/>
                <w:lang w:val="uk-UA"/>
              </w:rPr>
              <w:t>Пропозиція Бакулін О.:</w:t>
            </w:r>
          </w:p>
          <w:p w14:paraId="5F7A2098" w14:textId="77777777" w:rsidR="00295C7A" w:rsidRPr="006D097C" w:rsidRDefault="00295C7A" w:rsidP="00295C7A">
            <w:pPr>
              <w:tabs>
                <w:tab w:val="left" w:pos="1185"/>
              </w:tabs>
              <w:jc w:val="both"/>
              <w:rPr>
                <w:rFonts w:ascii="Times New Roman" w:hAnsi="Times New Roman" w:cs="Times New Roman"/>
                <w:bCs/>
                <w:iCs/>
                <w:color w:val="000000" w:themeColor="text1"/>
                <w:sz w:val="24"/>
                <w:szCs w:val="24"/>
                <w:shd w:val="clear" w:color="auto" w:fill="FFFFFF"/>
                <w:lang w:val="uk-UA"/>
              </w:rPr>
            </w:pPr>
            <w:r w:rsidRPr="006D097C">
              <w:rPr>
                <w:rFonts w:ascii="Times New Roman" w:hAnsi="Times New Roman" w:cs="Times New Roman"/>
                <w:bCs/>
                <w:iCs/>
                <w:color w:val="000000" w:themeColor="text1"/>
                <w:sz w:val="24"/>
                <w:szCs w:val="24"/>
                <w:shd w:val="clear" w:color="auto" w:fill="FFFFFF"/>
                <w:lang w:val="uk-UA"/>
              </w:rPr>
              <w:t>Пункт 9 залишити в діючій редакції.</w:t>
            </w:r>
          </w:p>
          <w:p w14:paraId="6B415849" w14:textId="77777777" w:rsidR="00295C7A" w:rsidRPr="006D097C" w:rsidRDefault="00295C7A" w:rsidP="00295C7A">
            <w:pPr>
              <w:tabs>
                <w:tab w:val="left" w:pos="1185"/>
              </w:tabs>
              <w:jc w:val="both"/>
              <w:rPr>
                <w:rFonts w:ascii="Times New Roman" w:hAnsi="Times New Roman" w:cs="Times New Roman"/>
                <w:bCs/>
                <w:iCs/>
                <w:color w:val="000000" w:themeColor="text1"/>
                <w:sz w:val="24"/>
                <w:szCs w:val="24"/>
                <w:shd w:val="clear" w:color="auto" w:fill="FFFFFF"/>
                <w:lang w:val="uk-UA"/>
              </w:rPr>
            </w:pPr>
          </w:p>
          <w:p w14:paraId="44E4C608" w14:textId="77777777" w:rsidR="00295C7A" w:rsidRPr="006D097C" w:rsidRDefault="00295C7A" w:rsidP="00295C7A">
            <w:pPr>
              <w:tabs>
                <w:tab w:val="left" w:pos="1185"/>
              </w:tabs>
              <w:jc w:val="both"/>
              <w:rPr>
                <w:rFonts w:ascii="Times New Roman" w:hAnsi="Times New Roman" w:cs="Times New Roman"/>
                <w:b/>
                <w:sz w:val="24"/>
                <w:szCs w:val="24"/>
                <w:lang w:val="uk-UA"/>
              </w:rPr>
            </w:pPr>
            <w:r w:rsidRPr="006D097C">
              <w:rPr>
                <w:rFonts w:ascii="Times New Roman" w:hAnsi="Times New Roman" w:cs="Times New Roman"/>
                <w:b/>
                <w:sz w:val="24"/>
                <w:szCs w:val="24"/>
                <w:lang w:val="uk-UA"/>
              </w:rPr>
              <w:t>Обґрунтування:</w:t>
            </w:r>
          </w:p>
          <w:p w14:paraId="178DEEC2" w14:textId="77777777" w:rsidR="00295C7A" w:rsidRPr="006D097C" w:rsidRDefault="00295C7A" w:rsidP="00295C7A">
            <w:pPr>
              <w:tabs>
                <w:tab w:val="left" w:pos="1185"/>
              </w:tabs>
              <w:jc w:val="both"/>
              <w:rPr>
                <w:rFonts w:ascii="Times New Roman" w:hAnsi="Times New Roman" w:cs="Times New Roman"/>
                <w:bCs/>
                <w:iCs/>
                <w:color w:val="000000" w:themeColor="text1"/>
                <w:sz w:val="24"/>
                <w:szCs w:val="24"/>
                <w:shd w:val="clear" w:color="auto" w:fill="FFFFFF"/>
                <w:lang w:val="uk-UA"/>
              </w:rPr>
            </w:pPr>
            <w:r w:rsidRPr="006D097C">
              <w:rPr>
                <w:rFonts w:ascii="Times New Roman" w:hAnsi="Times New Roman" w:cs="Times New Roman"/>
                <w:bCs/>
                <w:iCs/>
                <w:color w:val="000000" w:themeColor="text1"/>
                <w:sz w:val="24"/>
                <w:szCs w:val="24"/>
                <w:shd w:val="clear" w:color="auto" w:fill="FFFFFF"/>
                <w:lang w:val="uk-UA"/>
              </w:rPr>
              <w:t>Запропонованим проєктом постанови пропонується прибрати розрахунок двох окремих тарифів (закачування та відбір) та запровадити розрахунок одного, включивши до</w:t>
            </w:r>
          </w:p>
          <w:p w14:paraId="3B0D57C0" w14:textId="77777777" w:rsidR="00295C7A" w:rsidRPr="006D097C" w:rsidRDefault="00295C7A" w:rsidP="00295C7A">
            <w:pPr>
              <w:tabs>
                <w:tab w:val="left" w:pos="1185"/>
              </w:tabs>
              <w:jc w:val="both"/>
              <w:rPr>
                <w:rFonts w:ascii="Times New Roman" w:hAnsi="Times New Roman" w:cs="Times New Roman"/>
                <w:bCs/>
                <w:iCs/>
                <w:color w:val="000000" w:themeColor="text1"/>
                <w:sz w:val="24"/>
                <w:szCs w:val="24"/>
                <w:shd w:val="clear" w:color="auto" w:fill="FFFFFF"/>
                <w:lang w:val="uk-UA"/>
              </w:rPr>
            </w:pPr>
            <w:r w:rsidRPr="006D097C">
              <w:rPr>
                <w:rFonts w:ascii="Times New Roman" w:hAnsi="Times New Roman" w:cs="Times New Roman"/>
                <w:bCs/>
                <w:iCs/>
                <w:color w:val="000000" w:themeColor="text1"/>
                <w:sz w:val="24"/>
                <w:szCs w:val="24"/>
                <w:shd w:val="clear" w:color="auto" w:fill="FFFFFF"/>
                <w:lang w:val="uk-UA"/>
              </w:rPr>
              <w:t>його розрахунку 100% матеріальних витрат оператора газосховищ та загальну плановану річну потужність закачування і відбору природного газу.</w:t>
            </w:r>
          </w:p>
          <w:p w14:paraId="09EC4156" w14:textId="77777777" w:rsidR="00295C7A" w:rsidRPr="006D097C" w:rsidRDefault="00295C7A" w:rsidP="00295C7A">
            <w:pPr>
              <w:tabs>
                <w:tab w:val="left" w:pos="1185"/>
              </w:tabs>
              <w:jc w:val="both"/>
              <w:rPr>
                <w:rFonts w:ascii="Times New Roman" w:hAnsi="Times New Roman" w:cs="Times New Roman"/>
                <w:bCs/>
                <w:iCs/>
                <w:color w:val="000000" w:themeColor="text1"/>
                <w:sz w:val="24"/>
                <w:szCs w:val="24"/>
                <w:shd w:val="clear" w:color="auto" w:fill="FFFFFF"/>
                <w:lang w:val="uk-UA"/>
              </w:rPr>
            </w:pPr>
            <w:r w:rsidRPr="006D097C">
              <w:rPr>
                <w:rFonts w:ascii="Times New Roman" w:hAnsi="Times New Roman" w:cs="Times New Roman"/>
                <w:bCs/>
                <w:iCs/>
                <w:color w:val="000000" w:themeColor="text1"/>
                <w:sz w:val="24"/>
                <w:szCs w:val="24"/>
                <w:shd w:val="clear" w:color="auto" w:fill="FFFFFF"/>
                <w:lang w:val="uk-UA"/>
              </w:rPr>
              <w:t xml:space="preserve">В результаті змін до Методики, відповідно до приписів кодексу газосховищ та договору зберігання (закачування, відбору) природного газу замовнник під час замовлення та оплати закачування природного газу, </w:t>
            </w:r>
            <w:r w:rsidRPr="006D097C">
              <w:rPr>
                <w:rFonts w:ascii="Times New Roman" w:hAnsi="Times New Roman" w:cs="Times New Roman"/>
                <w:bCs/>
                <w:iCs/>
                <w:color w:val="000000" w:themeColor="text1"/>
                <w:sz w:val="24"/>
                <w:szCs w:val="24"/>
                <w:shd w:val="clear" w:color="auto" w:fill="FFFFFF"/>
                <w:lang w:val="uk-UA"/>
              </w:rPr>
              <w:lastRenderedPageBreak/>
              <w:t>одночасно покриває оператору газосховищ його витрати на відбір природного газу.</w:t>
            </w:r>
          </w:p>
          <w:p w14:paraId="479338E3" w14:textId="77777777" w:rsidR="00295C7A" w:rsidRPr="006D097C" w:rsidRDefault="00295C7A" w:rsidP="00295C7A">
            <w:pPr>
              <w:tabs>
                <w:tab w:val="left" w:pos="1185"/>
              </w:tabs>
              <w:jc w:val="both"/>
              <w:rPr>
                <w:rFonts w:ascii="Times New Roman" w:hAnsi="Times New Roman" w:cs="Times New Roman"/>
                <w:bCs/>
                <w:iCs/>
                <w:color w:val="000000" w:themeColor="text1"/>
                <w:sz w:val="24"/>
                <w:szCs w:val="24"/>
                <w:shd w:val="clear" w:color="auto" w:fill="FFFFFF"/>
                <w:lang w:val="uk-UA"/>
              </w:rPr>
            </w:pPr>
            <w:r w:rsidRPr="006D097C">
              <w:rPr>
                <w:rFonts w:ascii="Times New Roman" w:hAnsi="Times New Roman" w:cs="Times New Roman"/>
                <w:bCs/>
                <w:iCs/>
                <w:color w:val="000000" w:themeColor="text1"/>
                <w:sz w:val="24"/>
                <w:szCs w:val="24"/>
                <w:shd w:val="clear" w:color="auto" w:fill="FFFFFF"/>
                <w:lang w:val="uk-UA"/>
              </w:rPr>
              <w:t>При цьому, такий замовник не обов’язково буде в подальшому здійснювати відбір. Зокрема, відбір природного газу може здійснювати інший замовник, який купив такий</w:t>
            </w:r>
          </w:p>
          <w:p w14:paraId="75FA4297" w14:textId="77777777" w:rsidR="00295C7A" w:rsidRPr="006D097C" w:rsidRDefault="00295C7A" w:rsidP="00295C7A">
            <w:pPr>
              <w:tabs>
                <w:tab w:val="left" w:pos="1185"/>
              </w:tabs>
              <w:jc w:val="both"/>
              <w:rPr>
                <w:rFonts w:ascii="Times New Roman" w:hAnsi="Times New Roman" w:cs="Times New Roman"/>
                <w:bCs/>
                <w:iCs/>
                <w:color w:val="000000" w:themeColor="text1"/>
                <w:sz w:val="24"/>
                <w:szCs w:val="24"/>
                <w:shd w:val="clear" w:color="auto" w:fill="FFFFFF"/>
                <w:lang w:val="uk-UA"/>
              </w:rPr>
            </w:pPr>
            <w:r w:rsidRPr="006D097C">
              <w:rPr>
                <w:rFonts w:ascii="Times New Roman" w:hAnsi="Times New Roman" w:cs="Times New Roman"/>
                <w:bCs/>
                <w:iCs/>
                <w:color w:val="000000" w:themeColor="text1"/>
                <w:sz w:val="24"/>
                <w:szCs w:val="24"/>
                <w:shd w:val="clear" w:color="auto" w:fill="FFFFFF"/>
                <w:lang w:val="uk-UA"/>
              </w:rPr>
              <w:t>обсяг в газосховищах. В цьому випадку такий замовник, замовляючи та оплачуючи відбір, одночасно покриває витрати оператора за</w:t>
            </w:r>
          </w:p>
          <w:p w14:paraId="1CD98ACD" w14:textId="77777777" w:rsidR="00295C7A" w:rsidRPr="006D097C" w:rsidRDefault="00295C7A" w:rsidP="00295C7A">
            <w:pPr>
              <w:tabs>
                <w:tab w:val="left" w:pos="1185"/>
              </w:tabs>
              <w:jc w:val="both"/>
              <w:rPr>
                <w:rFonts w:ascii="Times New Roman" w:hAnsi="Times New Roman" w:cs="Times New Roman"/>
                <w:bCs/>
                <w:iCs/>
                <w:color w:val="000000" w:themeColor="text1"/>
                <w:sz w:val="24"/>
                <w:szCs w:val="24"/>
                <w:shd w:val="clear" w:color="auto" w:fill="FFFFFF"/>
                <w:lang w:val="uk-UA"/>
              </w:rPr>
            </w:pPr>
            <w:r w:rsidRPr="006D097C">
              <w:rPr>
                <w:rFonts w:ascii="Times New Roman" w:hAnsi="Times New Roman" w:cs="Times New Roman"/>
                <w:bCs/>
                <w:iCs/>
                <w:color w:val="000000" w:themeColor="text1"/>
                <w:sz w:val="24"/>
                <w:szCs w:val="24"/>
                <w:shd w:val="clear" w:color="auto" w:fill="FFFFFF"/>
                <w:lang w:val="uk-UA"/>
              </w:rPr>
              <w:t>закачування, які покриті попереднім замовником.</w:t>
            </w:r>
          </w:p>
          <w:p w14:paraId="60AE9C55" w14:textId="77777777" w:rsidR="00295C7A" w:rsidRPr="006D097C" w:rsidRDefault="00295C7A" w:rsidP="00295C7A">
            <w:pPr>
              <w:tabs>
                <w:tab w:val="left" w:pos="1185"/>
              </w:tabs>
              <w:jc w:val="both"/>
              <w:rPr>
                <w:rFonts w:ascii="Times New Roman" w:hAnsi="Times New Roman" w:cs="Times New Roman"/>
                <w:bCs/>
                <w:iCs/>
                <w:color w:val="000000" w:themeColor="text1"/>
                <w:sz w:val="24"/>
                <w:szCs w:val="24"/>
                <w:shd w:val="clear" w:color="auto" w:fill="FFFFFF"/>
                <w:lang w:val="uk-UA"/>
              </w:rPr>
            </w:pPr>
            <w:r w:rsidRPr="006D097C">
              <w:rPr>
                <w:rFonts w:ascii="Times New Roman" w:hAnsi="Times New Roman" w:cs="Times New Roman"/>
                <w:bCs/>
                <w:iCs/>
                <w:color w:val="000000" w:themeColor="text1"/>
                <w:sz w:val="24"/>
                <w:szCs w:val="24"/>
                <w:shd w:val="clear" w:color="auto" w:fill="FFFFFF"/>
                <w:lang w:val="uk-UA"/>
              </w:rPr>
              <w:t>Запропонований Регулятором підхід веде до необґрунтованого збільшення витрат замовників, які в подальшому будуть перекладені на споживачів природного газу.</w:t>
            </w:r>
          </w:p>
        </w:tc>
        <w:tc>
          <w:tcPr>
            <w:tcW w:w="3687" w:type="dxa"/>
          </w:tcPr>
          <w:p w14:paraId="25B05C1F" w14:textId="77777777" w:rsidR="00295C7A" w:rsidRPr="006D097C" w:rsidRDefault="00295C7A" w:rsidP="005D63B6">
            <w:pPr>
              <w:jc w:val="both"/>
              <w:rPr>
                <w:rFonts w:ascii="Times New Roman" w:eastAsia="Times New Roman" w:hAnsi="Times New Roman" w:cs="Times New Roman"/>
                <w:b/>
                <w:color w:val="000000" w:themeColor="text1"/>
                <w:sz w:val="24"/>
                <w:szCs w:val="24"/>
                <w:lang w:val="uk-UA" w:eastAsia="uk-UA"/>
              </w:rPr>
            </w:pPr>
            <w:r w:rsidRPr="006D097C">
              <w:rPr>
                <w:rFonts w:ascii="Times New Roman" w:eastAsia="Times New Roman" w:hAnsi="Times New Roman" w:cs="Times New Roman"/>
                <w:b/>
                <w:color w:val="000000" w:themeColor="text1"/>
                <w:sz w:val="24"/>
                <w:szCs w:val="24"/>
                <w:lang w:val="uk-UA" w:eastAsia="uk-UA"/>
              </w:rPr>
              <w:lastRenderedPageBreak/>
              <w:t>Попередньо відхилено</w:t>
            </w:r>
          </w:p>
          <w:p w14:paraId="79CAD2AC" w14:textId="77777777" w:rsidR="00295C7A" w:rsidRPr="006D097C" w:rsidRDefault="00295C7A" w:rsidP="00295C7A">
            <w:pPr>
              <w:ind w:hanging="115"/>
              <w:jc w:val="both"/>
              <w:rPr>
                <w:rFonts w:ascii="Times New Roman" w:eastAsia="Times New Roman" w:hAnsi="Times New Roman" w:cs="Times New Roman"/>
                <w:bCs/>
                <w:color w:val="000000" w:themeColor="text1"/>
                <w:sz w:val="24"/>
                <w:szCs w:val="24"/>
                <w:lang w:val="uk-UA" w:eastAsia="uk-UA"/>
              </w:rPr>
            </w:pPr>
          </w:p>
          <w:p w14:paraId="75010046" w14:textId="77777777" w:rsidR="00295C7A" w:rsidRPr="006D097C" w:rsidRDefault="00295C7A" w:rsidP="00295C7A">
            <w:pPr>
              <w:ind w:firstLine="20"/>
              <w:jc w:val="both"/>
              <w:rPr>
                <w:rFonts w:ascii="Times New Roman" w:eastAsia="Times New Roman" w:hAnsi="Times New Roman" w:cs="Times New Roman"/>
                <w:bCs/>
                <w:color w:val="000000" w:themeColor="text1"/>
                <w:sz w:val="24"/>
                <w:szCs w:val="24"/>
                <w:lang w:val="uk-UA" w:eastAsia="uk-UA"/>
              </w:rPr>
            </w:pPr>
            <w:r w:rsidRPr="006D097C">
              <w:rPr>
                <w:rFonts w:ascii="Times New Roman" w:eastAsia="Times New Roman" w:hAnsi="Times New Roman" w:cs="Times New Roman"/>
                <w:bCs/>
                <w:color w:val="000000" w:themeColor="text1"/>
                <w:sz w:val="24"/>
                <w:szCs w:val="24"/>
                <w:lang w:val="uk-UA" w:eastAsia="uk-UA"/>
              </w:rPr>
              <w:t xml:space="preserve">Методика передбачає механізм розрахунку  окремих тарифів на послуги зберігання (закачування, відбору) природного газу. </w:t>
            </w:r>
          </w:p>
          <w:p w14:paraId="42747DEF" w14:textId="77777777" w:rsidR="00295C7A" w:rsidRDefault="00295C7A" w:rsidP="0068280F">
            <w:pPr>
              <w:jc w:val="both"/>
              <w:rPr>
                <w:rFonts w:ascii="Times New Roman" w:eastAsia="Times New Roman" w:hAnsi="Times New Roman" w:cs="Times New Roman"/>
                <w:bCs/>
                <w:color w:val="000000" w:themeColor="text1"/>
                <w:sz w:val="24"/>
                <w:szCs w:val="24"/>
                <w:lang w:val="uk-UA" w:eastAsia="uk-UA"/>
              </w:rPr>
            </w:pPr>
            <w:r w:rsidRPr="006D097C">
              <w:rPr>
                <w:rFonts w:ascii="Times New Roman" w:eastAsia="Times New Roman" w:hAnsi="Times New Roman" w:cs="Times New Roman"/>
                <w:bCs/>
                <w:color w:val="000000" w:themeColor="text1"/>
                <w:sz w:val="24"/>
                <w:szCs w:val="24"/>
                <w:lang w:val="uk-UA" w:eastAsia="uk-UA"/>
              </w:rPr>
              <w:t xml:space="preserve">Запропоновані зміни, не скасовують диференційоване </w:t>
            </w:r>
            <w:r>
              <w:rPr>
                <w:rFonts w:ascii="Times New Roman" w:eastAsia="Times New Roman" w:hAnsi="Times New Roman" w:cs="Times New Roman"/>
                <w:bCs/>
                <w:color w:val="000000" w:themeColor="text1"/>
                <w:sz w:val="24"/>
                <w:szCs w:val="24"/>
                <w:lang w:val="uk-UA" w:eastAsia="uk-UA"/>
              </w:rPr>
              <w:t>визначення</w:t>
            </w:r>
            <w:r w:rsidRPr="006D097C">
              <w:rPr>
                <w:rFonts w:ascii="Times New Roman" w:eastAsia="Times New Roman" w:hAnsi="Times New Roman" w:cs="Times New Roman"/>
                <w:bCs/>
                <w:color w:val="000000" w:themeColor="text1"/>
                <w:sz w:val="24"/>
                <w:szCs w:val="24"/>
                <w:lang w:val="uk-UA" w:eastAsia="uk-UA"/>
              </w:rPr>
              <w:t xml:space="preserve"> тарифів на закачування та відбір </w:t>
            </w:r>
            <w:r>
              <w:rPr>
                <w:rFonts w:ascii="Times New Roman" w:eastAsia="Times New Roman" w:hAnsi="Times New Roman" w:cs="Times New Roman"/>
                <w:bCs/>
                <w:color w:val="000000" w:themeColor="text1"/>
                <w:sz w:val="24"/>
                <w:szCs w:val="24"/>
                <w:lang w:val="uk-UA" w:eastAsia="uk-UA"/>
              </w:rPr>
              <w:t xml:space="preserve">природного газу </w:t>
            </w:r>
            <w:r w:rsidRPr="006D097C">
              <w:rPr>
                <w:rFonts w:ascii="Times New Roman" w:eastAsia="Times New Roman" w:hAnsi="Times New Roman" w:cs="Times New Roman"/>
                <w:bCs/>
                <w:color w:val="000000" w:themeColor="text1"/>
                <w:sz w:val="24"/>
                <w:szCs w:val="24"/>
                <w:lang w:val="uk-UA" w:eastAsia="uk-UA"/>
              </w:rPr>
              <w:t xml:space="preserve">в частині застосування єдиної формули </w:t>
            </w:r>
            <w:r>
              <w:rPr>
                <w:rFonts w:ascii="Times New Roman" w:eastAsia="Times New Roman" w:hAnsi="Times New Roman" w:cs="Times New Roman"/>
                <w:bCs/>
                <w:color w:val="000000" w:themeColor="text1"/>
                <w:sz w:val="24"/>
                <w:szCs w:val="24"/>
                <w:lang w:val="uk-UA" w:eastAsia="uk-UA"/>
              </w:rPr>
              <w:t xml:space="preserve"> та </w:t>
            </w:r>
            <w:r w:rsidRPr="006D097C">
              <w:rPr>
                <w:rFonts w:ascii="Times New Roman" w:eastAsia="Times New Roman" w:hAnsi="Times New Roman" w:cs="Times New Roman"/>
                <w:bCs/>
                <w:color w:val="000000" w:themeColor="text1"/>
                <w:sz w:val="24"/>
                <w:szCs w:val="24"/>
                <w:lang w:val="uk-UA" w:eastAsia="uk-UA"/>
              </w:rPr>
              <w:t>не змінюють принцип тарифоутворення, а</w:t>
            </w:r>
            <w:r>
              <w:rPr>
                <w:rFonts w:ascii="Times New Roman" w:eastAsia="Times New Roman" w:hAnsi="Times New Roman" w:cs="Times New Roman"/>
                <w:bCs/>
                <w:color w:val="000000" w:themeColor="text1"/>
                <w:sz w:val="24"/>
                <w:szCs w:val="24"/>
                <w:lang w:val="uk-UA" w:eastAsia="uk-UA"/>
              </w:rPr>
              <w:t xml:space="preserve"> лише</w:t>
            </w:r>
            <w:r w:rsidRPr="006D097C">
              <w:rPr>
                <w:rFonts w:ascii="Times New Roman" w:eastAsia="Times New Roman" w:hAnsi="Times New Roman" w:cs="Times New Roman"/>
                <w:bCs/>
                <w:color w:val="000000" w:themeColor="text1"/>
                <w:sz w:val="24"/>
                <w:szCs w:val="24"/>
                <w:lang w:val="uk-UA" w:eastAsia="uk-UA"/>
              </w:rPr>
              <w:t xml:space="preserve"> удосконалюють </w:t>
            </w:r>
            <w:r>
              <w:rPr>
                <w:rFonts w:ascii="Times New Roman" w:eastAsia="Times New Roman" w:hAnsi="Times New Roman" w:cs="Times New Roman"/>
                <w:bCs/>
                <w:color w:val="000000" w:themeColor="text1"/>
                <w:sz w:val="24"/>
                <w:szCs w:val="24"/>
                <w:lang w:val="uk-UA" w:eastAsia="uk-UA"/>
              </w:rPr>
              <w:t>механізм розрахунку</w:t>
            </w:r>
            <w:r w:rsidRPr="006D097C">
              <w:rPr>
                <w:rFonts w:ascii="Times New Roman" w:hAnsi="Times New Roman"/>
                <w:sz w:val="28"/>
                <w:szCs w:val="28"/>
                <w:lang w:val="uk-UA"/>
              </w:rPr>
              <w:t xml:space="preserve"> </w:t>
            </w:r>
            <w:r w:rsidRPr="006D097C">
              <w:rPr>
                <w:rFonts w:ascii="Times New Roman" w:eastAsia="Times New Roman" w:hAnsi="Times New Roman" w:cs="Times New Roman"/>
                <w:bCs/>
                <w:color w:val="000000" w:themeColor="text1"/>
                <w:sz w:val="24"/>
                <w:szCs w:val="24"/>
                <w:lang w:val="uk-UA" w:eastAsia="uk-UA"/>
              </w:rPr>
              <w:t xml:space="preserve">тарифів на послуги </w:t>
            </w:r>
            <w:r w:rsidRPr="006D097C">
              <w:rPr>
                <w:rFonts w:ascii="Times New Roman" w:eastAsia="Times New Roman" w:hAnsi="Times New Roman" w:cs="Times New Roman"/>
                <w:bCs/>
                <w:color w:val="000000" w:themeColor="text1"/>
                <w:sz w:val="24"/>
                <w:szCs w:val="24"/>
                <w:lang w:val="uk-UA" w:eastAsia="uk-UA"/>
              </w:rPr>
              <w:lastRenderedPageBreak/>
              <w:t>закачування та відбору природного газу</w:t>
            </w:r>
            <w:r>
              <w:rPr>
                <w:rFonts w:ascii="Times New Roman" w:eastAsia="Times New Roman" w:hAnsi="Times New Roman" w:cs="Times New Roman"/>
                <w:bCs/>
                <w:color w:val="000000" w:themeColor="text1"/>
                <w:sz w:val="24"/>
                <w:szCs w:val="24"/>
                <w:lang w:val="uk-UA" w:eastAsia="uk-UA"/>
              </w:rPr>
              <w:t xml:space="preserve"> шляхом групування сукупних витрат (</w:t>
            </w:r>
            <w:r w:rsidRPr="005E3CD4">
              <w:rPr>
                <w:rFonts w:ascii="Times New Roman" w:eastAsia="Times New Roman" w:hAnsi="Times New Roman" w:cs="Times New Roman"/>
                <w:bCs/>
                <w:color w:val="000000" w:themeColor="text1"/>
                <w:sz w:val="24"/>
                <w:szCs w:val="24"/>
                <w:lang w:val="uk-UA" w:eastAsia="uk-UA"/>
              </w:rPr>
              <w:t>агрегованого розрахунку сукупних витрат</w:t>
            </w:r>
            <w:r>
              <w:rPr>
                <w:rFonts w:ascii="Times New Roman" w:eastAsia="Times New Roman" w:hAnsi="Times New Roman" w:cs="Times New Roman"/>
                <w:bCs/>
                <w:color w:val="000000" w:themeColor="text1"/>
                <w:sz w:val="24"/>
                <w:szCs w:val="24"/>
                <w:lang w:val="uk-UA" w:eastAsia="uk-UA"/>
              </w:rPr>
              <w:t xml:space="preserve">)  </w:t>
            </w:r>
            <w:r w:rsidRPr="006D097C">
              <w:rPr>
                <w:rFonts w:ascii="Times New Roman" w:eastAsia="Times New Roman" w:hAnsi="Times New Roman" w:cs="Times New Roman"/>
                <w:bCs/>
                <w:color w:val="000000" w:themeColor="text1"/>
                <w:sz w:val="24"/>
                <w:szCs w:val="24"/>
                <w:lang w:val="uk-UA" w:eastAsia="uk-UA"/>
              </w:rPr>
              <w:t>із подальшим пропорційним розподілом між відповідними послугами</w:t>
            </w:r>
            <w:r>
              <w:rPr>
                <w:rFonts w:ascii="Times New Roman" w:eastAsia="Times New Roman" w:hAnsi="Times New Roman" w:cs="Times New Roman"/>
                <w:bCs/>
                <w:color w:val="000000" w:themeColor="text1"/>
                <w:sz w:val="24"/>
                <w:szCs w:val="24"/>
                <w:lang w:val="uk-UA" w:eastAsia="uk-UA"/>
              </w:rPr>
              <w:t>.</w:t>
            </w:r>
          </w:p>
          <w:p w14:paraId="0A100116" w14:textId="77777777" w:rsidR="00295C7A" w:rsidRPr="00A57078" w:rsidRDefault="00A57078" w:rsidP="00A57078">
            <w:pPr>
              <w:jc w:val="both"/>
              <w:rPr>
                <w:rFonts w:ascii="Times New Roman" w:eastAsia="Times New Roman" w:hAnsi="Times New Roman" w:cs="Times New Roman"/>
                <w:bCs/>
                <w:color w:val="000000" w:themeColor="text1"/>
                <w:sz w:val="24"/>
                <w:szCs w:val="24"/>
                <w:lang w:val="uk-UA" w:eastAsia="uk-UA"/>
              </w:rPr>
            </w:pPr>
            <w:r>
              <w:rPr>
                <w:rFonts w:ascii="Times New Roman" w:eastAsia="Times New Roman" w:hAnsi="Times New Roman" w:cs="Times New Roman"/>
                <w:bCs/>
                <w:color w:val="000000" w:themeColor="text1"/>
                <w:sz w:val="24"/>
                <w:szCs w:val="24"/>
                <w:lang w:val="uk-UA" w:eastAsia="uk-UA"/>
              </w:rPr>
              <w:t>Такий підхід забезпечить оптимізацію тарифної моделі шляхом вирівнювання тарифів на закачування та відбір природного газу.</w:t>
            </w:r>
          </w:p>
        </w:tc>
      </w:tr>
      <w:tr w:rsidR="007450FA" w:rsidRPr="006D097C" w14:paraId="130ABBA3" w14:textId="77777777" w:rsidTr="00E35721">
        <w:trPr>
          <w:jc w:val="center"/>
        </w:trPr>
        <w:tc>
          <w:tcPr>
            <w:tcW w:w="16021" w:type="dxa"/>
            <w:gridSpan w:val="3"/>
            <w:vAlign w:val="center"/>
          </w:tcPr>
          <w:p w14:paraId="4497EA77" w14:textId="77777777" w:rsidR="007450FA" w:rsidRPr="005E3CD4" w:rsidRDefault="007450FA" w:rsidP="007450FA">
            <w:pPr>
              <w:ind w:hanging="115"/>
              <w:jc w:val="center"/>
              <w:rPr>
                <w:rFonts w:ascii="Times New Roman" w:eastAsia="Times New Roman" w:hAnsi="Times New Roman" w:cs="Times New Roman"/>
                <w:b/>
                <w:i/>
                <w:color w:val="000000" w:themeColor="text1"/>
                <w:sz w:val="24"/>
                <w:szCs w:val="24"/>
                <w:lang w:eastAsia="uk-UA"/>
              </w:rPr>
            </w:pPr>
            <w:r w:rsidRPr="007450FA">
              <w:rPr>
                <w:rFonts w:ascii="Times New Roman" w:hAnsi="Times New Roman" w:cs="Times New Roman"/>
                <w:b/>
                <w:bCs/>
                <w:iCs/>
                <w:color w:val="000000" w:themeColor="text1"/>
                <w:sz w:val="28"/>
                <w:szCs w:val="28"/>
                <w:shd w:val="clear" w:color="auto" w:fill="FFFFFF"/>
                <w:lang w:val="uk-UA"/>
              </w:rPr>
              <w:lastRenderedPageBreak/>
              <w:t>III. Перелік витрат, що враховуються при визначенні планованої тарифної виручки</w:t>
            </w:r>
          </w:p>
        </w:tc>
      </w:tr>
      <w:tr w:rsidR="00295C7A" w:rsidRPr="006D097C" w14:paraId="5D3245DB" w14:textId="77777777" w:rsidTr="002C166D">
        <w:trPr>
          <w:jc w:val="center"/>
        </w:trPr>
        <w:tc>
          <w:tcPr>
            <w:tcW w:w="6377" w:type="dxa"/>
            <w:vAlign w:val="center"/>
          </w:tcPr>
          <w:p w14:paraId="1DCD1EFA" w14:textId="77777777" w:rsidR="00295C7A" w:rsidRPr="006D097C" w:rsidRDefault="00295C7A" w:rsidP="00F256FA">
            <w:pPr>
              <w:pStyle w:val="2"/>
              <w:spacing w:before="0" w:beforeAutospacing="0" w:after="0" w:afterAutospacing="0"/>
              <w:ind w:firstLine="709"/>
              <w:jc w:val="both"/>
              <w:rPr>
                <w:b w:val="0"/>
                <w:bCs w:val="0"/>
                <w:sz w:val="24"/>
                <w:szCs w:val="24"/>
                <w:lang w:val="uk-UA" w:eastAsia="uk-UA"/>
              </w:rPr>
            </w:pPr>
            <w:r w:rsidRPr="006D097C">
              <w:rPr>
                <w:b w:val="0"/>
                <w:bCs w:val="0"/>
                <w:sz w:val="24"/>
                <w:szCs w:val="24"/>
                <w:lang w:val="uk-UA" w:eastAsia="uk-UA"/>
              </w:rPr>
              <w:t xml:space="preserve">2) </w:t>
            </w:r>
            <w:r w:rsidRPr="006D097C">
              <w:rPr>
                <w:b w:val="0"/>
                <w:sz w:val="24"/>
                <w:szCs w:val="24"/>
                <w:lang w:val="uk-UA"/>
              </w:rPr>
              <w:t xml:space="preserve">пункт </w:t>
            </w:r>
            <w:r w:rsidRPr="006D097C">
              <w:rPr>
                <w:b w:val="0"/>
                <w:sz w:val="24"/>
                <w:szCs w:val="24"/>
                <w:lang w:val="uk-UA" w:eastAsia="uk-UA"/>
              </w:rPr>
              <w:t xml:space="preserve">4 </w:t>
            </w:r>
            <w:r w:rsidRPr="006D097C">
              <w:rPr>
                <w:b w:val="0"/>
                <w:bCs w:val="0"/>
                <w:sz w:val="24"/>
                <w:szCs w:val="24"/>
                <w:lang w:val="uk-UA" w:eastAsia="uk-UA"/>
              </w:rPr>
              <w:t xml:space="preserve"> розділу ІІІ </w:t>
            </w:r>
            <w:r w:rsidRPr="006D097C">
              <w:rPr>
                <w:b w:val="0"/>
                <w:sz w:val="24"/>
                <w:szCs w:val="24"/>
                <w:lang w:val="uk-UA" w:eastAsia="uk-UA"/>
              </w:rPr>
              <w:t xml:space="preserve">доповнити новим </w:t>
            </w:r>
            <w:r w:rsidRPr="006D097C">
              <w:rPr>
                <w:b w:val="0"/>
                <w:bCs w:val="0"/>
                <w:sz w:val="24"/>
                <w:szCs w:val="24"/>
                <w:lang w:val="uk-UA" w:eastAsia="uk-UA"/>
              </w:rPr>
              <w:t>абзацом такого змісту:</w:t>
            </w:r>
          </w:p>
          <w:p w14:paraId="612A3097" w14:textId="77777777" w:rsidR="00295C7A" w:rsidRPr="006D097C" w:rsidRDefault="00295C7A" w:rsidP="00F256FA">
            <w:pPr>
              <w:ind w:firstLine="709"/>
              <w:jc w:val="both"/>
              <w:rPr>
                <w:rFonts w:ascii="Times New Roman" w:hAnsi="Times New Roman" w:cs="Times New Roman"/>
                <w:b/>
                <w:bCs/>
                <w:iCs/>
                <w:color w:val="000000" w:themeColor="text1"/>
                <w:sz w:val="24"/>
                <w:szCs w:val="24"/>
                <w:shd w:val="clear" w:color="auto" w:fill="FFFFFF"/>
                <w:lang w:val="uk-UA"/>
              </w:rPr>
            </w:pPr>
            <w:r w:rsidRPr="006D097C">
              <w:rPr>
                <w:rFonts w:ascii="Times New Roman" w:eastAsia="Calibri" w:hAnsi="Times New Roman" w:cs="Times New Roman"/>
                <w:sz w:val="24"/>
                <w:szCs w:val="24"/>
                <w:lang w:val="uk-UA" w:eastAsia="uk-UA"/>
              </w:rPr>
              <w:t>«Додатково до складу планованих матеріальних витрат можуть бути включені витрати, пов'язані з формуванням аварійного запасу матеріально-технічних ресурсів, необхідних для оперативного відновлення експлуатаційно придатного стану об’єктів підземних сховищ газу або їх складових, зокрема  усунення можливих аварійних та надзвичайних ситуацій внаслідок військової агресії російської федерації проти України.»;</w:t>
            </w:r>
          </w:p>
        </w:tc>
        <w:tc>
          <w:tcPr>
            <w:tcW w:w="5957" w:type="dxa"/>
          </w:tcPr>
          <w:p w14:paraId="2A96ED8B" w14:textId="77777777" w:rsidR="00295C7A" w:rsidRDefault="001A309C" w:rsidP="001A309C">
            <w:pPr>
              <w:ind w:left="27"/>
              <w:jc w:val="both"/>
              <w:rPr>
                <w:rFonts w:ascii="Times New Roman" w:hAnsi="Times New Roman" w:cs="Times New Roman"/>
                <w:b/>
                <w:bCs/>
                <w:iCs/>
                <w:color w:val="000000" w:themeColor="text1"/>
                <w:sz w:val="24"/>
                <w:szCs w:val="24"/>
                <w:shd w:val="clear" w:color="auto" w:fill="FFFFFF"/>
                <w:lang w:val="uk-UA"/>
              </w:rPr>
            </w:pPr>
            <w:r w:rsidRPr="001A309C">
              <w:rPr>
                <w:rFonts w:ascii="Times New Roman" w:hAnsi="Times New Roman" w:cs="Times New Roman"/>
                <w:b/>
                <w:bCs/>
                <w:iCs/>
                <w:color w:val="000000" w:themeColor="text1"/>
                <w:sz w:val="24"/>
                <w:szCs w:val="24"/>
                <w:shd w:val="clear" w:color="auto" w:fill="FFFFFF"/>
                <w:lang w:val="uk-UA"/>
              </w:rPr>
              <w:t>Пропозиція Асоціація газовидобувних компаній України</w:t>
            </w:r>
          </w:p>
          <w:p w14:paraId="7B23BB6B" w14:textId="77777777" w:rsidR="001A309C" w:rsidRDefault="001A309C" w:rsidP="001A309C">
            <w:pPr>
              <w:ind w:left="27"/>
              <w:jc w:val="both"/>
              <w:rPr>
                <w:rFonts w:ascii="Times New Roman" w:hAnsi="Times New Roman" w:cs="Times New Roman"/>
                <w:bCs/>
                <w:iCs/>
                <w:color w:val="000000" w:themeColor="text1"/>
                <w:sz w:val="24"/>
                <w:szCs w:val="24"/>
                <w:shd w:val="clear" w:color="auto" w:fill="FFFFFF"/>
                <w:lang w:val="uk-UA"/>
              </w:rPr>
            </w:pPr>
            <w:r w:rsidRPr="001A309C">
              <w:rPr>
                <w:rFonts w:ascii="Times New Roman" w:hAnsi="Times New Roman" w:cs="Times New Roman"/>
                <w:bCs/>
                <w:iCs/>
                <w:color w:val="000000" w:themeColor="text1"/>
                <w:sz w:val="24"/>
                <w:szCs w:val="24"/>
                <w:shd w:val="clear" w:color="auto" w:fill="FFFFFF"/>
                <w:lang w:val="uk-UA"/>
              </w:rPr>
              <w:t>Викласти в наступній редакції</w:t>
            </w:r>
            <w:r>
              <w:rPr>
                <w:rFonts w:ascii="Times New Roman" w:hAnsi="Times New Roman" w:cs="Times New Roman"/>
                <w:bCs/>
                <w:iCs/>
                <w:color w:val="000000" w:themeColor="text1"/>
                <w:sz w:val="24"/>
                <w:szCs w:val="24"/>
                <w:shd w:val="clear" w:color="auto" w:fill="FFFFFF"/>
                <w:lang w:val="uk-UA"/>
              </w:rPr>
              <w:t>:</w:t>
            </w:r>
          </w:p>
          <w:p w14:paraId="24D9F47B" w14:textId="77777777" w:rsidR="001A309C" w:rsidRPr="001A309C" w:rsidRDefault="001A309C" w:rsidP="001A309C">
            <w:pPr>
              <w:ind w:left="27"/>
              <w:jc w:val="both"/>
              <w:rPr>
                <w:rFonts w:ascii="Times New Roman" w:hAnsi="Times New Roman" w:cs="Times New Roman"/>
                <w:bCs/>
                <w:iCs/>
                <w:color w:val="000000" w:themeColor="text1"/>
                <w:sz w:val="24"/>
                <w:szCs w:val="24"/>
                <w:shd w:val="clear" w:color="auto" w:fill="FFFFFF"/>
                <w:lang w:val="uk-UA"/>
              </w:rPr>
            </w:pPr>
            <w:r w:rsidRPr="001A309C">
              <w:rPr>
                <w:rFonts w:ascii="Times New Roman" w:hAnsi="Times New Roman" w:cs="Times New Roman"/>
                <w:bCs/>
                <w:iCs/>
                <w:color w:val="000000" w:themeColor="text1"/>
                <w:sz w:val="24"/>
                <w:szCs w:val="24"/>
                <w:shd w:val="clear" w:color="auto" w:fill="FFFFFF"/>
                <w:lang w:val="uk-UA"/>
              </w:rPr>
              <w:t>4. До складу планованих прямих матеріальних витрат включаються витрати, пов'язані з:</w:t>
            </w:r>
          </w:p>
          <w:p w14:paraId="5884C8DB" w14:textId="77777777" w:rsidR="001A309C" w:rsidRPr="001A309C" w:rsidRDefault="001A309C" w:rsidP="001A309C">
            <w:pPr>
              <w:ind w:left="27"/>
              <w:jc w:val="both"/>
              <w:rPr>
                <w:rFonts w:ascii="Times New Roman" w:hAnsi="Times New Roman" w:cs="Times New Roman"/>
                <w:bCs/>
                <w:iCs/>
                <w:color w:val="000000" w:themeColor="text1"/>
                <w:sz w:val="24"/>
                <w:szCs w:val="24"/>
                <w:shd w:val="clear" w:color="auto" w:fill="FFFFFF"/>
                <w:lang w:val="uk-UA"/>
              </w:rPr>
            </w:pPr>
            <w:r w:rsidRPr="001A309C">
              <w:rPr>
                <w:rFonts w:ascii="Times New Roman" w:hAnsi="Times New Roman" w:cs="Times New Roman"/>
                <w:bCs/>
                <w:iCs/>
                <w:color w:val="000000" w:themeColor="text1"/>
                <w:sz w:val="24"/>
                <w:szCs w:val="24"/>
                <w:shd w:val="clear" w:color="auto" w:fill="FFFFFF"/>
                <w:lang w:val="uk-UA"/>
              </w:rPr>
              <w:t>…</w:t>
            </w:r>
          </w:p>
          <w:p w14:paraId="791A5FE8" w14:textId="77777777" w:rsidR="001A309C" w:rsidRPr="001A309C" w:rsidRDefault="001A309C" w:rsidP="001A309C">
            <w:pPr>
              <w:ind w:left="27"/>
              <w:jc w:val="both"/>
              <w:rPr>
                <w:rFonts w:ascii="Times New Roman" w:hAnsi="Times New Roman" w:cs="Times New Roman"/>
                <w:bCs/>
                <w:iCs/>
                <w:color w:val="000000" w:themeColor="text1"/>
                <w:sz w:val="24"/>
                <w:szCs w:val="24"/>
                <w:shd w:val="clear" w:color="auto" w:fill="FFFFFF"/>
                <w:lang w:val="uk-UA"/>
              </w:rPr>
            </w:pPr>
            <w:r w:rsidRPr="001A309C">
              <w:rPr>
                <w:rFonts w:ascii="Times New Roman" w:hAnsi="Times New Roman" w:cs="Times New Roman"/>
                <w:bCs/>
                <w:iCs/>
                <w:color w:val="000000" w:themeColor="text1"/>
                <w:sz w:val="24"/>
                <w:szCs w:val="24"/>
                <w:shd w:val="clear" w:color="auto" w:fill="FFFFFF"/>
                <w:lang w:val="uk-UA"/>
              </w:rPr>
              <w:t>Додатково до складу планованих матеріальних витрат можуть бути включені витрати, пов'язані з формуванням аварійного запасу матеріально-технічних ресурсів, необхідних для оперативного відновлення експлуатаційно придатного стану об’єктів підземних сховищ газу або їх складових, зокрема  усунення можливих аварійних та надзвичайних ситуацій внаслідок військової агресії російської федерації проти України.</w:t>
            </w:r>
          </w:p>
          <w:p w14:paraId="03DE4C22" w14:textId="77777777" w:rsidR="001A309C" w:rsidRPr="001A309C" w:rsidRDefault="001A309C" w:rsidP="001A309C">
            <w:pPr>
              <w:ind w:left="27"/>
              <w:jc w:val="both"/>
              <w:rPr>
                <w:rFonts w:ascii="Times New Roman" w:hAnsi="Times New Roman" w:cs="Times New Roman"/>
                <w:bCs/>
                <w:iCs/>
                <w:color w:val="000000" w:themeColor="text1"/>
                <w:sz w:val="24"/>
                <w:szCs w:val="24"/>
                <w:shd w:val="clear" w:color="auto" w:fill="FFFFFF"/>
                <w:lang w:val="uk-UA"/>
              </w:rPr>
            </w:pPr>
            <w:r w:rsidRPr="001A309C">
              <w:rPr>
                <w:rFonts w:ascii="Times New Roman" w:hAnsi="Times New Roman" w:cs="Times New Roman"/>
                <w:bCs/>
                <w:iCs/>
                <w:color w:val="000000" w:themeColor="text1"/>
                <w:sz w:val="24"/>
                <w:szCs w:val="24"/>
                <w:shd w:val="clear" w:color="auto" w:fill="FFFFFF"/>
                <w:lang w:val="uk-UA"/>
              </w:rPr>
              <w:t>Обсяг витрат на формування аварійного запасу не може перевищувати 10% від планового обсягу матеріальних витрат у відповідному тарифному періоді.</w:t>
            </w:r>
          </w:p>
          <w:p w14:paraId="021B69C8" w14:textId="77777777" w:rsidR="001A309C" w:rsidRDefault="001A309C" w:rsidP="001A309C">
            <w:pPr>
              <w:ind w:left="27"/>
              <w:jc w:val="both"/>
              <w:rPr>
                <w:rFonts w:ascii="Times New Roman" w:hAnsi="Times New Roman" w:cs="Times New Roman"/>
                <w:bCs/>
                <w:iCs/>
                <w:color w:val="000000" w:themeColor="text1"/>
                <w:sz w:val="24"/>
                <w:szCs w:val="24"/>
                <w:shd w:val="clear" w:color="auto" w:fill="FFFFFF"/>
                <w:lang w:val="uk-UA"/>
              </w:rPr>
            </w:pPr>
            <w:r w:rsidRPr="001A309C">
              <w:rPr>
                <w:rFonts w:ascii="Times New Roman" w:hAnsi="Times New Roman" w:cs="Times New Roman"/>
                <w:bCs/>
                <w:iCs/>
                <w:color w:val="000000" w:themeColor="text1"/>
                <w:sz w:val="24"/>
                <w:szCs w:val="24"/>
                <w:shd w:val="clear" w:color="auto" w:fill="FFFFFF"/>
                <w:lang w:val="uk-UA"/>
              </w:rPr>
              <w:lastRenderedPageBreak/>
              <w:t>У разі документально підтвердженого невикористання аварійного запасу за рішенням регулятора здійснюється коригування річної планованої тарифної виручки у бік зменшення в наступних періодах.</w:t>
            </w:r>
          </w:p>
          <w:p w14:paraId="70B5BE53" w14:textId="77777777" w:rsidR="001A309C" w:rsidRDefault="001A309C" w:rsidP="001A309C">
            <w:pPr>
              <w:ind w:left="27"/>
              <w:jc w:val="both"/>
              <w:rPr>
                <w:rFonts w:ascii="Times New Roman" w:hAnsi="Times New Roman" w:cs="Times New Roman"/>
                <w:b/>
                <w:sz w:val="24"/>
                <w:szCs w:val="24"/>
                <w:lang w:val="uk-UA"/>
              </w:rPr>
            </w:pPr>
            <w:r w:rsidRPr="006D097C">
              <w:rPr>
                <w:rFonts w:ascii="Times New Roman" w:hAnsi="Times New Roman" w:cs="Times New Roman"/>
                <w:b/>
                <w:sz w:val="24"/>
                <w:szCs w:val="24"/>
                <w:lang w:val="uk-UA"/>
              </w:rPr>
              <w:t>Обґрунтування:</w:t>
            </w:r>
          </w:p>
          <w:p w14:paraId="0753577E" w14:textId="77777777" w:rsidR="001A309C" w:rsidRPr="001A309C" w:rsidRDefault="001A309C" w:rsidP="001A309C">
            <w:pPr>
              <w:ind w:left="27"/>
              <w:jc w:val="both"/>
              <w:rPr>
                <w:rFonts w:ascii="Times New Roman" w:hAnsi="Times New Roman" w:cs="Times New Roman"/>
                <w:bCs/>
                <w:iCs/>
                <w:color w:val="000000" w:themeColor="text1"/>
                <w:sz w:val="24"/>
                <w:szCs w:val="24"/>
                <w:shd w:val="clear" w:color="auto" w:fill="FFFFFF"/>
                <w:lang w:val="uk-UA"/>
              </w:rPr>
            </w:pPr>
            <w:r w:rsidRPr="001A309C">
              <w:rPr>
                <w:rFonts w:ascii="Times New Roman" w:hAnsi="Times New Roman" w:cs="Times New Roman"/>
                <w:bCs/>
                <w:iCs/>
                <w:color w:val="000000" w:themeColor="text1"/>
                <w:sz w:val="24"/>
                <w:szCs w:val="24"/>
                <w:shd w:val="clear" w:color="auto" w:fill="FFFFFF"/>
                <w:lang w:val="uk-UA"/>
              </w:rPr>
              <w:t>Пропонуємо встановити ліміт коштів який може бути використаний на формування аварійного запасу, а також передбачити в майбутньому, що у випадку невикористання таких запасів, вартість таких запасів можна врахувати для зменшення тарифної виручки.</w:t>
            </w:r>
          </w:p>
          <w:p w14:paraId="23501F05" w14:textId="77777777" w:rsidR="001A309C" w:rsidRPr="001A309C" w:rsidRDefault="001A309C" w:rsidP="001A309C">
            <w:pPr>
              <w:ind w:left="-115"/>
              <w:jc w:val="both"/>
              <w:rPr>
                <w:rFonts w:ascii="Times New Roman" w:hAnsi="Times New Roman" w:cs="Times New Roman"/>
                <w:b/>
                <w:bCs/>
                <w:iCs/>
                <w:color w:val="000000" w:themeColor="text1"/>
                <w:sz w:val="24"/>
                <w:szCs w:val="24"/>
                <w:shd w:val="clear" w:color="auto" w:fill="FFFFFF"/>
                <w:lang w:val="uk-UA"/>
              </w:rPr>
            </w:pPr>
          </w:p>
        </w:tc>
        <w:tc>
          <w:tcPr>
            <w:tcW w:w="3687" w:type="dxa"/>
          </w:tcPr>
          <w:p w14:paraId="53C2B6AA" w14:textId="77777777" w:rsidR="00295C7A" w:rsidRDefault="005D63B6" w:rsidP="001A309C">
            <w:pPr>
              <w:jc w:val="both"/>
              <w:rPr>
                <w:rFonts w:ascii="Times New Roman" w:eastAsia="Times New Roman" w:hAnsi="Times New Roman" w:cs="Times New Roman"/>
                <w:b/>
                <w:color w:val="000000" w:themeColor="text1"/>
                <w:sz w:val="24"/>
                <w:szCs w:val="24"/>
                <w:lang w:val="uk-UA" w:eastAsia="uk-UA"/>
              </w:rPr>
            </w:pPr>
            <w:r w:rsidRPr="006D097C">
              <w:rPr>
                <w:rFonts w:ascii="Times New Roman" w:eastAsia="Times New Roman" w:hAnsi="Times New Roman" w:cs="Times New Roman"/>
                <w:b/>
                <w:color w:val="000000" w:themeColor="text1"/>
                <w:sz w:val="24"/>
                <w:szCs w:val="24"/>
                <w:lang w:val="uk-UA" w:eastAsia="uk-UA"/>
              </w:rPr>
              <w:lastRenderedPageBreak/>
              <w:t>Попередньо відхилено</w:t>
            </w:r>
          </w:p>
          <w:p w14:paraId="6FE68C45" w14:textId="77777777" w:rsidR="005D63B6" w:rsidRDefault="005D63B6" w:rsidP="001A309C">
            <w:pPr>
              <w:jc w:val="both"/>
              <w:rPr>
                <w:rFonts w:ascii="Times New Roman" w:eastAsia="Times New Roman" w:hAnsi="Times New Roman" w:cs="Times New Roman"/>
                <w:b/>
                <w:color w:val="000000" w:themeColor="text1"/>
                <w:sz w:val="24"/>
                <w:szCs w:val="24"/>
                <w:lang w:val="uk-UA" w:eastAsia="uk-UA"/>
              </w:rPr>
            </w:pPr>
          </w:p>
          <w:p w14:paraId="7AA01E36" w14:textId="77777777" w:rsidR="00AB6F18" w:rsidRPr="00AB6F18" w:rsidRDefault="00AB6F18" w:rsidP="001A309C">
            <w:pPr>
              <w:jc w:val="both"/>
              <w:rPr>
                <w:rFonts w:ascii="Times New Roman" w:eastAsia="Times New Roman" w:hAnsi="Times New Roman" w:cs="Times New Roman"/>
                <w:color w:val="000000" w:themeColor="text1"/>
                <w:sz w:val="24"/>
                <w:szCs w:val="24"/>
                <w:lang w:val="uk-UA" w:eastAsia="uk-UA"/>
              </w:rPr>
            </w:pPr>
          </w:p>
          <w:p w14:paraId="6BB3F43A" w14:textId="77777777" w:rsidR="00A57078" w:rsidRPr="00A57078" w:rsidRDefault="00A57078" w:rsidP="00A57078">
            <w:pPr>
              <w:jc w:val="both"/>
              <w:rPr>
                <w:rFonts w:ascii="Times New Roman" w:eastAsia="Times New Roman" w:hAnsi="Times New Roman" w:cs="Times New Roman"/>
                <w:color w:val="000000" w:themeColor="text1"/>
                <w:sz w:val="24"/>
                <w:szCs w:val="24"/>
                <w:lang w:val="uk-UA" w:eastAsia="uk-UA"/>
              </w:rPr>
            </w:pPr>
            <w:r w:rsidRPr="00A57078">
              <w:rPr>
                <w:rFonts w:ascii="Times New Roman" w:eastAsia="Times New Roman" w:hAnsi="Times New Roman" w:cs="Times New Roman"/>
                <w:color w:val="000000" w:themeColor="text1"/>
                <w:sz w:val="24"/>
                <w:szCs w:val="24"/>
                <w:lang w:val="uk-UA" w:eastAsia="uk-UA"/>
              </w:rPr>
              <w:t>Главою 3 розділу І Кодексу</w:t>
            </w:r>
            <w:r>
              <w:rPr>
                <w:rFonts w:ascii="Times New Roman" w:eastAsia="Times New Roman" w:hAnsi="Times New Roman" w:cs="Times New Roman"/>
                <w:color w:val="000000" w:themeColor="text1"/>
                <w:sz w:val="24"/>
                <w:szCs w:val="24"/>
                <w:lang w:val="uk-UA" w:eastAsia="uk-UA"/>
              </w:rPr>
              <w:t xml:space="preserve"> газосховищ</w:t>
            </w:r>
            <w:r w:rsidRPr="00A57078">
              <w:rPr>
                <w:rFonts w:ascii="Times New Roman" w:eastAsia="Times New Roman" w:hAnsi="Times New Roman" w:cs="Times New Roman"/>
                <w:color w:val="000000" w:themeColor="text1"/>
                <w:sz w:val="24"/>
                <w:szCs w:val="24"/>
                <w:lang w:val="uk-UA" w:eastAsia="uk-UA"/>
              </w:rPr>
              <w:t xml:space="preserve"> визначено обов’язки оператора газосховищ, зокрема щодо вжиття заходів із забезпечення безпеки постачання природного газу, включаючи безаварійну та безперебійну роботу газосховища (газосховищ).</w:t>
            </w:r>
            <w:r>
              <w:rPr>
                <w:rFonts w:ascii="Times New Roman" w:eastAsia="Times New Roman" w:hAnsi="Times New Roman" w:cs="Times New Roman"/>
                <w:color w:val="000000" w:themeColor="text1"/>
                <w:sz w:val="24"/>
                <w:szCs w:val="24"/>
                <w:lang w:val="uk-UA" w:eastAsia="uk-UA"/>
              </w:rPr>
              <w:t xml:space="preserve"> </w:t>
            </w:r>
            <w:r w:rsidRPr="00A57078">
              <w:rPr>
                <w:rFonts w:ascii="Times New Roman" w:eastAsia="Times New Roman" w:hAnsi="Times New Roman" w:cs="Times New Roman"/>
                <w:color w:val="000000" w:themeColor="text1"/>
                <w:sz w:val="24"/>
                <w:szCs w:val="24"/>
                <w:lang w:val="uk-UA" w:eastAsia="uk-UA"/>
              </w:rPr>
              <w:t xml:space="preserve">Відповідно до положень розділу </w:t>
            </w:r>
            <w:r w:rsidRPr="00A57078">
              <w:rPr>
                <w:rFonts w:ascii="Times New Roman" w:eastAsia="Times New Roman" w:hAnsi="Times New Roman" w:cs="Times New Roman"/>
                <w:color w:val="000000" w:themeColor="text1"/>
                <w:sz w:val="24"/>
                <w:szCs w:val="24"/>
                <w:lang w:eastAsia="uk-UA"/>
              </w:rPr>
              <w:t>V</w:t>
            </w:r>
            <w:r w:rsidRPr="00A57078">
              <w:rPr>
                <w:rFonts w:ascii="Times New Roman" w:eastAsia="Times New Roman" w:hAnsi="Times New Roman" w:cs="Times New Roman"/>
                <w:color w:val="000000" w:themeColor="text1"/>
                <w:sz w:val="24"/>
                <w:szCs w:val="24"/>
                <w:lang w:val="uk-UA" w:eastAsia="uk-UA"/>
              </w:rPr>
              <w:t xml:space="preserve"> Кодексу оператор газосховищ для надійної та безпечної експлуатації газосховищ забезпечує проведення запобіжних заходів безаварійної експлуатації, включаючи </w:t>
            </w:r>
            <w:r w:rsidRPr="00A57078">
              <w:rPr>
                <w:rFonts w:ascii="Times New Roman" w:eastAsia="Times New Roman" w:hAnsi="Times New Roman" w:cs="Times New Roman"/>
                <w:color w:val="000000" w:themeColor="text1"/>
                <w:sz w:val="24"/>
                <w:szCs w:val="24"/>
                <w:lang w:val="uk-UA" w:eastAsia="uk-UA"/>
              </w:rPr>
              <w:lastRenderedPageBreak/>
              <w:t>комплекс робіт із технічного обслуговування, поточного або капітального ремонту, а також підтримку технічного стану обладнання, установок і споруд згідно з вимогами технічних норм і стандартів безпеки, правил технічної експлуатації газосховищ.</w:t>
            </w:r>
          </w:p>
          <w:p w14:paraId="71AD4396" w14:textId="77777777" w:rsidR="00A57078" w:rsidRDefault="00A57078" w:rsidP="001A309C">
            <w:pPr>
              <w:jc w:val="both"/>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color w:val="000000" w:themeColor="text1"/>
                <w:sz w:val="24"/>
                <w:szCs w:val="24"/>
                <w:lang w:val="uk-UA" w:eastAsia="uk-UA"/>
              </w:rPr>
              <w:t>Отже, Оператор ПСГ може забезпечувати формування а</w:t>
            </w:r>
            <w:r w:rsidR="00F256FA" w:rsidRPr="00F256FA">
              <w:rPr>
                <w:rFonts w:ascii="Times New Roman" w:eastAsia="Times New Roman" w:hAnsi="Times New Roman" w:cs="Times New Roman"/>
                <w:color w:val="000000" w:themeColor="text1"/>
                <w:sz w:val="24"/>
                <w:szCs w:val="24"/>
                <w:lang w:val="uk-UA" w:eastAsia="uk-UA"/>
              </w:rPr>
              <w:t>варійн</w:t>
            </w:r>
            <w:r>
              <w:rPr>
                <w:rFonts w:ascii="Times New Roman" w:eastAsia="Times New Roman" w:hAnsi="Times New Roman" w:cs="Times New Roman"/>
                <w:color w:val="000000" w:themeColor="text1"/>
                <w:sz w:val="24"/>
                <w:szCs w:val="24"/>
                <w:lang w:val="uk-UA" w:eastAsia="uk-UA"/>
              </w:rPr>
              <w:t>ого</w:t>
            </w:r>
            <w:r w:rsidR="00F256FA" w:rsidRPr="00F256FA">
              <w:rPr>
                <w:rFonts w:ascii="Times New Roman" w:eastAsia="Times New Roman" w:hAnsi="Times New Roman" w:cs="Times New Roman"/>
                <w:color w:val="000000" w:themeColor="text1"/>
                <w:sz w:val="24"/>
                <w:szCs w:val="24"/>
                <w:lang w:val="uk-UA" w:eastAsia="uk-UA"/>
              </w:rPr>
              <w:t xml:space="preserve"> запас</w:t>
            </w:r>
            <w:r>
              <w:rPr>
                <w:rFonts w:ascii="Times New Roman" w:eastAsia="Times New Roman" w:hAnsi="Times New Roman" w:cs="Times New Roman"/>
                <w:color w:val="000000" w:themeColor="text1"/>
                <w:sz w:val="24"/>
                <w:szCs w:val="24"/>
                <w:lang w:val="uk-UA" w:eastAsia="uk-UA"/>
              </w:rPr>
              <w:t>у</w:t>
            </w:r>
            <w:r w:rsidR="00F256FA">
              <w:rPr>
                <w:rFonts w:ascii="Times New Roman" w:eastAsia="Times New Roman" w:hAnsi="Times New Roman" w:cs="Times New Roman"/>
                <w:color w:val="000000" w:themeColor="text1"/>
                <w:sz w:val="24"/>
                <w:szCs w:val="24"/>
                <w:lang w:val="uk-UA" w:eastAsia="uk-UA"/>
              </w:rPr>
              <w:t xml:space="preserve"> </w:t>
            </w:r>
            <w:r w:rsidR="00F256FA" w:rsidRPr="00F256FA">
              <w:rPr>
                <w:rFonts w:ascii="Times New Roman" w:eastAsia="Times New Roman" w:hAnsi="Times New Roman" w:cs="Times New Roman"/>
                <w:color w:val="000000" w:themeColor="text1"/>
                <w:sz w:val="24"/>
                <w:szCs w:val="24"/>
                <w:lang w:val="uk-UA" w:eastAsia="uk-UA"/>
              </w:rPr>
              <w:t>матеріально-технічних ресурсів</w:t>
            </w:r>
            <w:r>
              <w:rPr>
                <w:rFonts w:ascii="Times New Roman" w:eastAsia="Times New Roman" w:hAnsi="Times New Roman" w:cs="Times New Roman"/>
                <w:color w:val="000000" w:themeColor="text1"/>
                <w:sz w:val="24"/>
                <w:szCs w:val="24"/>
                <w:lang w:val="uk-UA" w:eastAsia="uk-UA"/>
              </w:rPr>
              <w:t xml:space="preserve">, з метою усунення та запобігання </w:t>
            </w:r>
            <w:r w:rsidRPr="00A57078">
              <w:rPr>
                <w:rFonts w:ascii="Times New Roman" w:eastAsia="Times New Roman" w:hAnsi="Times New Roman" w:cs="Times New Roman"/>
                <w:color w:val="000000" w:themeColor="text1"/>
                <w:sz w:val="24"/>
                <w:szCs w:val="24"/>
                <w:u w:val="single"/>
                <w:lang w:val="uk-UA" w:eastAsia="uk-UA"/>
              </w:rPr>
              <w:t>можливих</w:t>
            </w:r>
            <w:r w:rsidRPr="00A57078">
              <w:rPr>
                <w:rFonts w:ascii="Times New Roman" w:eastAsia="Times New Roman" w:hAnsi="Times New Roman" w:cs="Times New Roman"/>
                <w:color w:val="000000" w:themeColor="text1"/>
                <w:sz w:val="24"/>
                <w:szCs w:val="24"/>
                <w:lang w:val="uk-UA" w:eastAsia="uk-UA"/>
              </w:rPr>
              <w:t xml:space="preserve"> надзвичайних ситуацій</w:t>
            </w:r>
            <w:r>
              <w:rPr>
                <w:rFonts w:ascii="Times New Roman" w:eastAsia="Times New Roman" w:hAnsi="Times New Roman" w:cs="Times New Roman"/>
                <w:color w:val="000000" w:themeColor="text1"/>
                <w:sz w:val="24"/>
                <w:szCs w:val="24"/>
                <w:lang w:val="uk-UA" w:eastAsia="uk-UA"/>
              </w:rPr>
              <w:t>, а також мінімізації</w:t>
            </w:r>
            <w:r w:rsidR="00F256FA" w:rsidRPr="00F256FA">
              <w:rPr>
                <w:rFonts w:ascii="Times New Roman" w:eastAsia="Times New Roman" w:hAnsi="Times New Roman" w:cs="Times New Roman"/>
                <w:color w:val="000000" w:themeColor="text1"/>
                <w:sz w:val="24"/>
                <w:szCs w:val="24"/>
                <w:lang w:val="uk-UA" w:eastAsia="uk-UA"/>
              </w:rPr>
              <w:t xml:space="preserve"> екстрених ситуацій</w:t>
            </w:r>
            <w:r>
              <w:rPr>
                <w:rFonts w:ascii="Times New Roman" w:eastAsia="Times New Roman" w:hAnsi="Times New Roman" w:cs="Times New Roman"/>
                <w:color w:val="000000" w:themeColor="text1"/>
                <w:sz w:val="24"/>
                <w:szCs w:val="24"/>
                <w:lang w:val="uk-UA" w:eastAsia="uk-UA"/>
              </w:rPr>
              <w:t>/пошкоджень</w:t>
            </w:r>
            <w:r w:rsidR="002E7C7B">
              <w:rPr>
                <w:rFonts w:ascii="Times New Roman" w:eastAsia="Times New Roman" w:hAnsi="Times New Roman" w:cs="Times New Roman"/>
                <w:color w:val="000000" w:themeColor="text1"/>
                <w:sz w:val="24"/>
                <w:szCs w:val="24"/>
                <w:lang w:val="uk-UA" w:eastAsia="uk-UA"/>
              </w:rPr>
              <w:t xml:space="preserve">, зокрема подальшого усунення можливих аварійних та надзвичайних ситуацій </w:t>
            </w:r>
            <w:r w:rsidR="002E7C7B" w:rsidRPr="002E7C7B">
              <w:rPr>
                <w:rFonts w:ascii="Times New Roman" w:eastAsia="Times New Roman" w:hAnsi="Times New Roman" w:cs="Times New Roman"/>
                <w:color w:val="000000" w:themeColor="text1"/>
                <w:sz w:val="24"/>
                <w:szCs w:val="24"/>
                <w:lang w:val="uk-UA" w:eastAsia="uk-UA"/>
              </w:rPr>
              <w:t>в наслідок військової агресії російської федерації проти України</w:t>
            </w:r>
            <w:r>
              <w:rPr>
                <w:rFonts w:ascii="Times New Roman" w:eastAsia="Times New Roman" w:hAnsi="Times New Roman" w:cs="Times New Roman"/>
                <w:color w:val="000000" w:themeColor="text1"/>
                <w:sz w:val="24"/>
                <w:szCs w:val="24"/>
                <w:lang w:val="uk-UA" w:eastAsia="uk-UA"/>
              </w:rPr>
              <w:t>. Разом з тим, ймовірність настання таких ситуацій, а також</w:t>
            </w:r>
            <w:r w:rsidR="00F256FA" w:rsidRPr="00F256FA">
              <w:rPr>
                <w:rFonts w:ascii="Times New Roman" w:eastAsia="Times New Roman" w:hAnsi="Times New Roman" w:cs="Times New Roman"/>
                <w:color w:val="000000" w:themeColor="text1"/>
                <w:sz w:val="24"/>
                <w:szCs w:val="24"/>
                <w:lang w:val="uk-UA" w:eastAsia="uk-UA"/>
              </w:rPr>
              <w:t xml:space="preserve"> масштаби можливих пошкоджень </w:t>
            </w:r>
            <w:r w:rsidRPr="00A57078">
              <w:rPr>
                <w:rFonts w:ascii="Times New Roman" w:eastAsia="Times New Roman" w:hAnsi="Times New Roman" w:cs="Times New Roman"/>
                <w:color w:val="000000" w:themeColor="text1"/>
                <w:sz w:val="24"/>
                <w:szCs w:val="24"/>
                <w:lang w:val="uk-UA" w:eastAsia="uk-UA"/>
              </w:rPr>
              <w:t>складно точно передбачити, що ускладнює їх прогнозування у вартісному</w:t>
            </w:r>
            <w:r w:rsidR="00F256FA" w:rsidRPr="00F256FA">
              <w:rPr>
                <w:rFonts w:ascii="Times New Roman" w:eastAsia="Times New Roman" w:hAnsi="Times New Roman" w:cs="Times New Roman"/>
                <w:color w:val="000000" w:themeColor="text1"/>
                <w:sz w:val="24"/>
                <w:szCs w:val="24"/>
                <w:lang w:val="uk-UA" w:eastAsia="uk-UA"/>
              </w:rPr>
              <w:t xml:space="preserve"> </w:t>
            </w:r>
            <w:r>
              <w:rPr>
                <w:rFonts w:ascii="Times New Roman" w:eastAsia="Times New Roman" w:hAnsi="Times New Roman" w:cs="Times New Roman"/>
                <w:color w:val="000000" w:themeColor="text1"/>
                <w:sz w:val="24"/>
                <w:szCs w:val="24"/>
                <w:lang w:val="uk-UA" w:eastAsia="uk-UA"/>
              </w:rPr>
              <w:t>виразі з метою забезпечення реальних потреб Оператора ПСГ.</w:t>
            </w:r>
          </w:p>
          <w:p w14:paraId="1F06CEB3" w14:textId="77777777" w:rsidR="00A57078" w:rsidRDefault="00A57078" w:rsidP="00A57078">
            <w:pPr>
              <w:jc w:val="both"/>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color w:val="000000" w:themeColor="text1"/>
                <w:sz w:val="24"/>
                <w:szCs w:val="24"/>
                <w:lang w:val="uk-UA" w:eastAsia="uk-UA"/>
              </w:rPr>
              <w:t>Таким чином, застосування фіксованого обмеження</w:t>
            </w:r>
            <w:r w:rsidR="00F256FA" w:rsidRPr="00F256FA">
              <w:rPr>
                <w:rFonts w:ascii="Times New Roman" w:eastAsia="Times New Roman" w:hAnsi="Times New Roman" w:cs="Times New Roman"/>
                <w:color w:val="000000" w:themeColor="text1"/>
                <w:sz w:val="24"/>
                <w:szCs w:val="24"/>
                <w:lang w:val="uk-UA" w:eastAsia="uk-UA"/>
              </w:rPr>
              <w:t xml:space="preserve"> у 10% може призвести </w:t>
            </w:r>
            <w:r>
              <w:rPr>
                <w:rFonts w:ascii="Times New Roman" w:eastAsia="Times New Roman" w:hAnsi="Times New Roman" w:cs="Times New Roman"/>
                <w:color w:val="000000" w:themeColor="text1"/>
                <w:sz w:val="24"/>
                <w:szCs w:val="24"/>
                <w:lang w:val="uk-UA" w:eastAsia="uk-UA"/>
              </w:rPr>
              <w:t xml:space="preserve">до відсутності достатніх ресурсів у Оператора </w:t>
            </w:r>
            <w:r>
              <w:rPr>
                <w:rFonts w:ascii="Times New Roman" w:eastAsia="Times New Roman" w:hAnsi="Times New Roman" w:cs="Times New Roman"/>
                <w:color w:val="000000" w:themeColor="text1"/>
                <w:sz w:val="24"/>
                <w:szCs w:val="24"/>
                <w:lang w:val="uk-UA" w:eastAsia="uk-UA"/>
              </w:rPr>
              <w:lastRenderedPageBreak/>
              <w:t>ПСГ, у разі настання необхідності</w:t>
            </w:r>
            <w:r w:rsidRPr="00A57078">
              <w:rPr>
                <w:rFonts w:ascii="Times New Roman" w:eastAsia="Times New Roman" w:hAnsi="Times New Roman" w:cs="Times New Roman"/>
                <w:color w:val="000000" w:themeColor="text1"/>
                <w:sz w:val="24"/>
                <w:szCs w:val="24"/>
                <w:lang w:val="uk-UA" w:eastAsia="uk-UA"/>
              </w:rPr>
              <w:t xml:space="preserve"> ліквідації можливих аварій або критичних ситуацій</w:t>
            </w:r>
            <w:r>
              <w:rPr>
                <w:rFonts w:ascii="Times New Roman" w:eastAsia="Times New Roman" w:hAnsi="Times New Roman" w:cs="Times New Roman"/>
                <w:color w:val="000000" w:themeColor="text1"/>
                <w:sz w:val="24"/>
                <w:szCs w:val="24"/>
                <w:lang w:val="uk-UA" w:eastAsia="uk-UA"/>
              </w:rPr>
              <w:t xml:space="preserve">, що в свою чергу матиме негативний вплив </w:t>
            </w:r>
            <w:r w:rsidRPr="00A57078">
              <w:rPr>
                <w:rFonts w:ascii="Times New Roman" w:eastAsia="Times New Roman" w:hAnsi="Times New Roman" w:cs="Times New Roman"/>
                <w:color w:val="000000" w:themeColor="text1"/>
                <w:sz w:val="24"/>
                <w:szCs w:val="24"/>
                <w:lang w:val="uk-UA" w:eastAsia="uk-UA"/>
              </w:rPr>
              <w:t>на забезпечення безперебійної роботи інфраструктури</w:t>
            </w:r>
            <w:r>
              <w:rPr>
                <w:rFonts w:ascii="Times New Roman" w:eastAsia="Times New Roman" w:hAnsi="Times New Roman" w:cs="Times New Roman"/>
                <w:color w:val="000000" w:themeColor="text1"/>
                <w:sz w:val="24"/>
                <w:szCs w:val="24"/>
                <w:lang w:val="uk-UA" w:eastAsia="uk-UA"/>
              </w:rPr>
              <w:t xml:space="preserve"> ПСГ.</w:t>
            </w:r>
          </w:p>
          <w:p w14:paraId="63347095" w14:textId="77777777" w:rsidR="00A57078" w:rsidRDefault="00A57078" w:rsidP="00A57078">
            <w:pPr>
              <w:jc w:val="both"/>
              <w:rPr>
                <w:rFonts w:ascii="Times New Roman" w:eastAsia="Times New Roman" w:hAnsi="Times New Roman" w:cs="Times New Roman"/>
                <w:color w:val="000000" w:themeColor="text1"/>
                <w:sz w:val="24"/>
                <w:szCs w:val="24"/>
                <w:lang w:val="uk-UA" w:eastAsia="uk-UA"/>
              </w:rPr>
            </w:pPr>
          </w:p>
          <w:p w14:paraId="6DCFEFE0" w14:textId="77777777" w:rsidR="00A57078" w:rsidRPr="00F256FA" w:rsidRDefault="00A57078" w:rsidP="008D6E76">
            <w:pPr>
              <w:jc w:val="both"/>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color w:val="000000" w:themeColor="text1"/>
                <w:sz w:val="24"/>
                <w:szCs w:val="24"/>
                <w:lang w:val="uk-UA" w:eastAsia="uk-UA"/>
              </w:rPr>
              <w:t>Окремо зазначаємо, що Роз</w:t>
            </w:r>
            <w:r w:rsidR="00AB593C">
              <w:rPr>
                <w:rFonts w:ascii="Times New Roman" w:eastAsia="Times New Roman" w:hAnsi="Times New Roman" w:cs="Times New Roman"/>
                <w:color w:val="000000" w:themeColor="text1"/>
                <w:sz w:val="24"/>
                <w:szCs w:val="24"/>
                <w:lang w:val="uk-UA" w:eastAsia="uk-UA"/>
              </w:rPr>
              <w:t>діл</w:t>
            </w:r>
            <w:r>
              <w:rPr>
                <w:rFonts w:ascii="Times New Roman" w:eastAsia="Times New Roman" w:hAnsi="Times New Roman" w:cs="Times New Roman"/>
                <w:color w:val="000000" w:themeColor="text1"/>
                <w:sz w:val="24"/>
                <w:szCs w:val="24"/>
                <w:lang w:val="uk-UA" w:eastAsia="uk-UA"/>
              </w:rPr>
              <w:t>ом</w:t>
            </w:r>
            <w:r w:rsidR="00AB593C">
              <w:rPr>
                <w:rFonts w:ascii="Times New Roman" w:eastAsia="Times New Roman" w:hAnsi="Times New Roman" w:cs="Times New Roman"/>
                <w:color w:val="000000" w:themeColor="text1"/>
                <w:sz w:val="24"/>
                <w:szCs w:val="24"/>
                <w:lang w:val="uk-UA" w:eastAsia="uk-UA"/>
              </w:rPr>
              <w:t xml:space="preserve"> </w:t>
            </w:r>
            <w:r w:rsidR="00AB593C">
              <w:rPr>
                <w:rFonts w:ascii="Times New Roman" w:eastAsia="Times New Roman" w:hAnsi="Times New Roman" w:cs="Times New Roman"/>
                <w:color w:val="000000" w:themeColor="text1"/>
                <w:sz w:val="24"/>
                <w:szCs w:val="24"/>
                <w:lang w:val="en-US" w:eastAsia="uk-UA"/>
              </w:rPr>
              <w:t>VI</w:t>
            </w:r>
            <w:r w:rsidR="00AB593C" w:rsidRPr="00E95B43">
              <w:rPr>
                <w:rFonts w:ascii="Times New Roman" w:eastAsia="Times New Roman" w:hAnsi="Times New Roman" w:cs="Times New Roman"/>
                <w:color w:val="000000" w:themeColor="text1"/>
                <w:sz w:val="24"/>
                <w:szCs w:val="24"/>
                <w:lang w:val="uk-UA" w:eastAsia="uk-UA"/>
              </w:rPr>
              <w:t xml:space="preserve"> </w:t>
            </w:r>
            <w:r w:rsidR="00E95B43" w:rsidRPr="00E95B43">
              <w:rPr>
                <w:rFonts w:ascii="Times New Roman" w:eastAsia="Times New Roman" w:hAnsi="Times New Roman" w:cs="Times New Roman"/>
                <w:color w:val="000000" w:themeColor="text1"/>
                <w:sz w:val="24"/>
                <w:szCs w:val="24"/>
                <w:lang w:val="uk-UA" w:eastAsia="uk-UA"/>
              </w:rPr>
              <w:t>Методик</w:t>
            </w:r>
            <w:r w:rsidR="00E95B43">
              <w:rPr>
                <w:rFonts w:ascii="Times New Roman" w:eastAsia="Times New Roman" w:hAnsi="Times New Roman" w:cs="Times New Roman"/>
                <w:color w:val="000000" w:themeColor="text1"/>
                <w:sz w:val="24"/>
                <w:szCs w:val="24"/>
                <w:lang w:val="uk-UA" w:eastAsia="uk-UA"/>
              </w:rPr>
              <w:t>и</w:t>
            </w:r>
            <w:r w:rsidR="00E95B43" w:rsidRPr="00E95B43">
              <w:rPr>
                <w:rFonts w:ascii="Times New Roman" w:eastAsia="Times New Roman" w:hAnsi="Times New Roman" w:cs="Times New Roman"/>
                <w:color w:val="000000" w:themeColor="text1"/>
                <w:sz w:val="24"/>
                <w:szCs w:val="24"/>
                <w:lang w:val="uk-UA" w:eastAsia="uk-UA"/>
              </w:rPr>
              <w:t xml:space="preserve"> </w:t>
            </w:r>
            <w:r>
              <w:rPr>
                <w:rFonts w:ascii="Times New Roman" w:eastAsia="Times New Roman" w:hAnsi="Times New Roman" w:cs="Times New Roman"/>
                <w:color w:val="000000" w:themeColor="text1"/>
                <w:sz w:val="24"/>
                <w:szCs w:val="24"/>
                <w:lang w:val="uk-UA" w:eastAsia="uk-UA"/>
              </w:rPr>
              <w:t>визначено, що</w:t>
            </w:r>
            <w:r w:rsidR="00E95B43" w:rsidRPr="00E95B43">
              <w:rPr>
                <w:rFonts w:ascii="Times New Roman" w:eastAsia="Times New Roman" w:hAnsi="Times New Roman" w:cs="Times New Roman"/>
                <w:color w:val="000000" w:themeColor="text1"/>
                <w:sz w:val="24"/>
                <w:szCs w:val="24"/>
                <w:lang w:val="uk-UA" w:eastAsia="uk-UA"/>
              </w:rPr>
              <w:t xml:space="preserve"> </w:t>
            </w:r>
            <w:r w:rsidRPr="00A57078">
              <w:rPr>
                <w:rFonts w:ascii="Times New Roman" w:eastAsia="Times New Roman" w:hAnsi="Times New Roman" w:cs="Times New Roman"/>
                <w:color w:val="000000" w:themeColor="text1"/>
                <w:sz w:val="24"/>
                <w:szCs w:val="24"/>
                <w:lang w:val="uk-UA" w:eastAsia="uk-UA"/>
              </w:rPr>
              <w:t>до складу планованої тарифної виручки може включатися коригування планованої тарифної виручки</w:t>
            </w:r>
            <w:r>
              <w:rPr>
                <w:rFonts w:ascii="Times New Roman" w:eastAsia="Times New Roman" w:hAnsi="Times New Roman" w:cs="Times New Roman"/>
                <w:color w:val="000000" w:themeColor="text1"/>
                <w:sz w:val="24"/>
                <w:szCs w:val="24"/>
                <w:lang w:val="uk-UA" w:eastAsia="uk-UA"/>
              </w:rPr>
              <w:t>, яке визначається зокрема</w:t>
            </w:r>
            <w:r w:rsidR="00E95B43">
              <w:rPr>
                <w:rFonts w:ascii="Times New Roman" w:eastAsia="Times New Roman" w:hAnsi="Times New Roman" w:cs="Times New Roman"/>
                <w:color w:val="000000" w:themeColor="text1"/>
                <w:sz w:val="24"/>
                <w:szCs w:val="24"/>
                <w:lang w:val="uk-UA" w:eastAsia="uk-UA"/>
              </w:rPr>
              <w:t xml:space="preserve"> </w:t>
            </w:r>
            <w:r w:rsidR="00AB593C" w:rsidRPr="00AB593C">
              <w:rPr>
                <w:rFonts w:ascii="Times New Roman" w:eastAsia="Times New Roman" w:hAnsi="Times New Roman" w:cs="Times New Roman"/>
                <w:color w:val="000000" w:themeColor="text1"/>
                <w:sz w:val="24"/>
                <w:szCs w:val="24"/>
                <w:lang w:val="uk-UA" w:eastAsia="uk-UA"/>
              </w:rPr>
              <w:t>за результатами проведення планового та/або позапланового заходу державного нагляду (контролю) щодо дотримання суб’єктом господарювання вимог законодавства у нафтогазовій сфері та Ліцензійних умов провадження  господарської діяльності із зберігання (закачування, відбору) природного газу, затверджених постановою НКРЕКП від 16 лютого 2017 року № 201</w:t>
            </w:r>
            <w:r w:rsidR="00E95B43">
              <w:rPr>
                <w:rFonts w:ascii="Times New Roman" w:eastAsia="Times New Roman" w:hAnsi="Times New Roman" w:cs="Times New Roman"/>
                <w:color w:val="000000" w:themeColor="text1"/>
                <w:sz w:val="24"/>
                <w:szCs w:val="24"/>
                <w:lang w:val="uk-UA" w:eastAsia="uk-UA"/>
              </w:rPr>
              <w:t>.</w:t>
            </w:r>
          </w:p>
        </w:tc>
      </w:tr>
    </w:tbl>
    <w:p w14:paraId="6CAEC889" w14:textId="77777777" w:rsidR="00FB10F3" w:rsidRDefault="00FB10F3" w:rsidP="00FB10F3">
      <w:pPr>
        <w:pBdr>
          <w:top w:val="nil"/>
          <w:left w:val="nil"/>
          <w:bottom w:val="nil"/>
          <w:right w:val="nil"/>
          <w:between w:val="nil"/>
        </w:pBdr>
        <w:spacing w:after="0" w:line="240" w:lineRule="auto"/>
        <w:ind w:left="6" w:hanging="6"/>
        <w:jc w:val="both"/>
        <w:rPr>
          <w:rFonts w:ascii="Times New Roman" w:eastAsia="Calibri" w:hAnsi="Times New Roman" w:cs="Times New Roman"/>
          <w:b/>
          <w:sz w:val="28"/>
          <w:szCs w:val="28"/>
          <w:lang w:eastAsia="uk-UA"/>
        </w:rPr>
      </w:pPr>
    </w:p>
    <w:sectPr w:rsidR="00FB10F3" w:rsidSect="007C7117">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E46"/>
    <w:rsid w:val="000E5D69"/>
    <w:rsid w:val="000F1E98"/>
    <w:rsid w:val="00135205"/>
    <w:rsid w:val="001A309C"/>
    <w:rsid w:val="001A384F"/>
    <w:rsid w:val="00295C7A"/>
    <w:rsid w:val="002C166D"/>
    <w:rsid w:val="002E7C7B"/>
    <w:rsid w:val="003039C6"/>
    <w:rsid w:val="00321DF9"/>
    <w:rsid w:val="003420C7"/>
    <w:rsid w:val="0037498B"/>
    <w:rsid w:val="003E398F"/>
    <w:rsid w:val="0041378C"/>
    <w:rsid w:val="00430B78"/>
    <w:rsid w:val="004A3930"/>
    <w:rsid w:val="005170B3"/>
    <w:rsid w:val="00593EE6"/>
    <w:rsid w:val="005D63B6"/>
    <w:rsid w:val="005E3CD4"/>
    <w:rsid w:val="0067405C"/>
    <w:rsid w:val="0068280F"/>
    <w:rsid w:val="0069133F"/>
    <w:rsid w:val="006D097C"/>
    <w:rsid w:val="006E3806"/>
    <w:rsid w:val="007178B0"/>
    <w:rsid w:val="007450FA"/>
    <w:rsid w:val="00760DB7"/>
    <w:rsid w:val="007C7117"/>
    <w:rsid w:val="007E7581"/>
    <w:rsid w:val="0080293A"/>
    <w:rsid w:val="00850203"/>
    <w:rsid w:val="00865486"/>
    <w:rsid w:val="008670B4"/>
    <w:rsid w:val="008D6E76"/>
    <w:rsid w:val="008F46D0"/>
    <w:rsid w:val="0095431F"/>
    <w:rsid w:val="00992E46"/>
    <w:rsid w:val="00A57078"/>
    <w:rsid w:val="00A77350"/>
    <w:rsid w:val="00AB593C"/>
    <w:rsid w:val="00AB6F18"/>
    <w:rsid w:val="00B33C94"/>
    <w:rsid w:val="00BE6C7B"/>
    <w:rsid w:val="00CD0B24"/>
    <w:rsid w:val="00CD2B87"/>
    <w:rsid w:val="00DD6155"/>
    <w:rsid w:val="00E95B43"/>
    <w:rsid w:val="00EA74D7"/>
    <w:rsid w:val="00F01E57"/>
    <w:rsid w:val="00F256FA"/>
    <w:rsid w:val="00FB10F3"/>
    <w:rsid w:val="00FF29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171C1"/>
  <w15:chartTrackingRefBased/>
  <w15:docId w15:val="{9CD8D08B-6F38-4015-B1B3-E1929A57C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5205"/>
  </w:style>
  <w:style w:type="paragraph" w:styleId="2">
    <w:name w:val="heading 2"/>
    <w:basedOn w:val="a"/>
    <w:link w:val="20"/>
    <w:qFormat/>
    <w:rsid w:val="0069133F"/>
    <w:pPr>
      <w:spacing w:before="100" w:beforeAutospacing="1" w:after="100" w:afterAutospacing="1" w:line="240" w:lineRule="auto"/>
      <w:outlineLvl w:val="1"/>
    </w:pPr>
    <w:rPr>
      <w:rFonts w:ascii="Times New Roman" w:eastAsia="Calibri" w:hAnsi="Times New Roman" w:cs="Times New Roman"/>
      <w:b/>
      <w:bCs/>
      <w:sz w:val="36"/>
      <w:szCs w:val="3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520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0E5D69"/>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5">
    <w:name w:val="Нижній колонтитул Знак"/>
    <w:basedOn w:val="a0"/>
    <w:link w:val="a4"/>
    <w:rsid w:val="000E5D69"/>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9133F"/>
    <w:rPr>
      <w:rFonts w:ascii="Times New Roman" w:eastAsia="Calibri" w:hAnsi="Times New Roman" w:cs="Times New Roman"/>
      <w:b/>
      <w:bCs/>
      <w:sz w:val="36"/>
      <w:szCs w:val="36"/>
      <w:lang w:val="x-none" w:eastAsia="ru-RU"/>
    </w:rPr>
  </w:style>
  <w:style w:type="paragraph" w:styleId="a6">
    <w:name w:val="Normal (Web)"/>
    <w:basedOn w:val="a"/>
    <w:uiPriority w:val="99"/>
    <w:rsid w:val="0069133F"/>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7">
    <w:name w:val="Title"/>
    <w:basedOn w:val="a"/>
    <w:next w:val="a"/>
    <w:link w:val="a8"/>
    <w:rsid w:val="00FB10F3"/>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cs="Times New Roman"/>
      <w:b/>
      <w:position w:val="-1"/>
      <w:sz w:val="72"/>
      <w:szCs w:val="72"/>
      <w:lang w:eastAsia="ru-RU"/>
    </w:rPr>
  </w:style>
  <w:style w:type="character" w:customStyle="1" w:styleId="a8">
    <w:name w:val="Назва Знак"/>
    <w:basedOn w:val="a0"/>
    <w:link w:val="a7"/>
    <w:rsid w:val="00FB10F3"/>
    <w:rPr>
      <w:rFonts w:ascii="Times New Roman" w:eastAsia="Times New Roman" w:hAnsi="Times New Roman" w:cs="Times New Roman"/>
      <w:b/>
      <w:position w:val="-1"/>
      <w:sz w:val="72"/>
      <w:szCs w:val="7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540442">
      <w:bodyDiv w:val="1"/>
      <w:marLeft w:val="0"/>
      <w:marRight w:val="0"/>
      <w:marTop w:val="0"/>
      <w:marBottom w:val="0"/>
      <w:divBdr>
        <w:top w:val="none" w:sz="0" w:space="0" w:color="auto"/>
        <w:left w:val="none" w:sz="0" w:space="0" w:color="auto"/>
        <w:bottom w:val="none" w:sz="0" w:space="0" w:color="auto"/>
        <w:right w:val="none" w:sz="0" w:space="0" w:color="auto"/>
      </w:divBdr>
    </w:div>
    <w:div w:id="1124419975">
      <w:bodyDiv w:val="1"/>
      <w:marLeft w:val="0"/>
      <w:marRight w:val="0"/>
      <w:marTop w:val="0"/>
      <w:marBottom w:val="0"/>
      <w:divBdr>
        <w:top w:val="none" w:sz="0" w:space="0" w:color="auto"/>
        <w:left w:val="none" w:sz="0" w:space="0" w:color="auto"/>
        <w:bottom w:val="none" w:sz="0" w:space="0" w:color="auto"/>
        <w:right w:val="none" w:sz="0" w:space="0" w:color="auto"/>
      </w:divBdr>
    </w:div>
    <w:div w:id="1316639264">
      <w:bodyDiv w:val="1"/>
      <w:marLeft w:val="0"/>
      <w:marRight w:val="0"/>
      <w:marTop w:val="0"/>
      <w:marBottom w:val="0"/>
      <w:divBdr>
        <w:top w:val="none" w:sz="0" w:space="0" w:color="auto"/>
        <w:left w:val="none" w:sz="0" w:space="0" w:color="auto"/>
        <w:bottom w:val="none" w:sz="0" w:space="0" w:color="auto"/>
        <w:right w:val="none" w:sz="0" w:space="0" w:color="auto"/>
      </w:divBdr>
    </w:div>
    <w:div w:id="1343167473">
      <w:bodyDiv w:val="1"/>
      <w:marLeft w:val="0"/>
      <w:marRight w:val="0"/>
      <w:marTop w:val="0"/>
      <w:marBottom w:val="0"/>
      <w:divBdr>
        <w:top w:val="none" w:sz="0" w:space="0" w:color="auto"/>
        <w:left w:val="none" w:sz="0" w:space="0" w:color="auto"/>
        <w:bottom w:val="none" w:sz="0" w:space="0" w:color="auto"/>
        <w:right w:val="none" w:sz="0" w:space="0" w:color="auto"/>
      </w:divBdr>
    </w:div>
    <w:div w:id="1550460664">
      <w:bodyDiv w:val="1"/>
      <w:marLeft w:val="0"/>
      <w:marRight w:val="0"/>
      <w:marTop w:val="0"/>
      <w:marBottom w:val="0"/>
      <w:divBdr>
        <w:top w:val="none" w:sz="0" w:space="0" w:color="auto"/>
        <w:left w:val="none" w:sz="0" w:space="0" w:color="auto"/>
        <w:bottom w:val="none" w:sz="0" w:space="0" w:color="auto"/>
        <w:right w:val="none" w:sz="0" w:space="0" w:color="auto"/>
      </w:divBdr>
    </w:div>
    <w:div w:id="1877035445">
      <w:bodyDiv w:val="1"/>
      <w:marLeft w:val="0"/>
      <w:marRight w:val="0"/>
      <w:marTop w:val="0"/>
      <w:marBottom w:val="0"/>
      <w:divBdr>
        <w:top w:val="none" w:sz="0" w:space="0" w:color="auto"/>
        <w:left w:val="none" w:sz="0" w:space="0" w:color="auto"/>
        <w:bottom w:val="none" w:sz="0" w:space="0" w:color="auto"/>
        <w:right w:val="none" w:sz="0" w:space="0" w:color="auto"/>
      </w:divBdr>
    </w:div>
    <w:div w:id="20352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4AFC0-4056-4C3E-A90F-D1028B4B1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5</Pages>
  <Words>6353</Words>
  <Characters>3622</Characters>
  <Application>Microsoft Office Word</Application>
  <DocSecurity>4</DocSecurity>
  <Lines>30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Пузіков</dc:creator>
  <cp:keywords/>
  <dc:description/>
  <cp:lastModifiedBy>AI</cp:lastModifiedBy>
  <cp:revision>2</cp:revision>
  <dcterms:created xsi:type="dcterms:W3CDTF">2025-02-11T06:54:00Z</dcterms:created>
  <dcterms:modified xsi:type="dcterms:W3CDTF">2025-02-11T06:54:00Z</dcterms:modified>
</cp:coreProperties>
</file>