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FABA7" w14:textId="77777777" w:rsidR="0018455A" w:rsidRPr="00C27A60" w:rsidRDefault="0018455A" w:rsidP="0018455A">
      <w:pPr>
        <w:jc w:val="center"/>
        <w:rPr>
          <w:b/>
          <w:bCs/>
          <w:sz w:val="24"/>
          <w:szCs w:val="24"/>
        </w:rPr>
      </w:pPr>
      <w:r w:rsidRPr="00C27A60">
        <w:rPr>
          <w:b/>
          <w:bCs/>
          <w:sz w:val="24"/>
          <w:szCs w:val="24"/>
        </w:rPr>
        <w:t>УЗАГАЛЬНЕНІ ЗАУВАЖЕННЯ</w:t>
      </w:r>
    </w:p>
    <w:p w14:paraId="6968EB20" w14:textId="77777777" w:rsidR="007B4965" w:rsidRPr="00C27A60" w:rsidRDefault="0018455A" w:rsidP="0018455A">
      <w:pPr>
        <w:jc w:val="center"/>
        <w:rPr>
          <w:b/>
          <w:bCs/>
          <w:sz w:val="24"/>
          <w:szCs w:val="24"/>
        </w:rPr>
      </w:pPr>
      <w:r w:rsidRPr="00C27A60">
        <w:rPr>
          <w:b/>
          <w:bCs/>
          <w:sz w:val="24"/>
          <w:szCs w:val="24"/>
        </w:rPr>
        <w:t xml:space="preserve">та пропозиції до </w:t>
      </w:r>
      <w:r w:rsidR="00AE4FBF" w:rsidRPr="00AE4FBF">
        <w:rPr>
          <w:b/>
          <w:bCs/>
          <w:sz w:val="24"/>
          <w:szCs w:val="24"/>
        </w:rPr>
        <w:t>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w:t>
      </w:r>
    </w:p>
    <w:p w14:paraId="79111312" w14:textId="77777777" w:rsidR="004A2B24" w:rsidRPr="00C27A60"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39"/>
        <w:gridCol w:w="5812"/>
        <w:gridCol w:w="3546"/>
      </w:tblGrid>
      <w:tr w:rsidR="00C27A60" w:rsidRPr="00C27A60" w14:paraId="3D2F4BB2" w14:textId="77777777" w:rsidTr="008D1DC5">
        <w:trPr>
          <w:trHeight w:val="595"/>
        </w:trPr>
        <w:tc>
          <w:tcPr>
            <w:tcW w:w="5839" w:type="dxa"/>
            <w:vAlign w:val="center"/>
          </w:tcPr>
          <w:p w14:paraId="1F15A1B0" w14:textId="77777777" w:rsidR="0018455A" w:rsidRPr="00C27A60" w:rsidRDefault="0018455A" w:rsidP="0018455A">
            <w:pPr>
              <w:jc w:val="center"/>
              <w:rPr>
                <w:b/>
                <w:sz w:val="22"/>
                <w:szCs w:val="22"/>
              </w:rPr>
            </w:pPr>
            <w:r w:rsidRPr="00C27A60">
              <w:rPr>
                <w:b/>
                <w:sz w:val="22"/>
                <w:szCs w:val="22"/>
              </w:rPr>
              <w:t>Редакція проєкту рішення НКРЕКП</w:t>
            </w:r>
          </w:p>
        </w:tc>
        <w:tc>
          <w:tcPr>
            <w:tcW w:w="5812" w:type="dxa"/>
            <w:vAlign w:val="center"/>
          </w:tcPr>
          <w:p w14:paraId="1BE89210" w14:textId="77777777" w:rsidR="0018455A" w:rsidRPr="00C27A60" w:rsidRDefault="0018455A" w:rsidP="0018455A">
            <w:pPr>
              <w:jc w:val="center"/>
              <w:rPr>
                <w:b/>
                <w:sz w:val="22"/>
                <w:szCs w:val="22"/>
              </w:rPr>
            </w:pPr>
            <w:r w:rsidRPr="00C27A60">
              <w:rPr>
                <w:b/>
                <w:sz w:val="22"/>
                <w:szCs w:val="22"/>
              </w:rPr>
              <w:t>Зауваження та пропозиції до проєкту рішення НКРЕКП</w:t>
            </w:r>
          </w:p>
        </w:tc>
        <w:tc>
          <w:tcPr>
            <w:tcW w:w="3546" w:type="dxa"/>
            <w:vAlign w:val="center"/>
          </w:tcPr>
          <w:p w14:paraId="44384156" w14:textId="77777777" w:rsidR="0018455A" w:rsidRPr="00C27A60" w:rsidRDefault="0018455A" w:rsidP="0018455A">
            <w:pPr>
              <w:jc w:val="center"/>
              <w:rPr>
                <w:b/>
                <w:sz w:val="22"/>
                <w:szCs w:val="22"/>
              </w:rPr>
            </w:pPr>
            <w:r w:rsidRPr="00C27A60">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C27A60" w:rsidRPr="00C27A60" w14:paraId="488D3F14" w14:textId="77777777" w:rsidTr="00FC32FE">
        <w:trPr>
          <w:trHeight w:val="595"/>
        </w:trPr>
        <w:tc>
          <w:tcPr>
            <w:tcW w:w="15197" w:type="dxa"/>
            <w:gridSpan w:val="3"/>
            <w:shd w:val="clear" w:color="auto" w:fill="BDD6EE" w:themeFill="accent1" w:themeFillTint="66"/>
            <w:vAlign w:val="center"/>
          </w:tcPr>
          <w:p w14:paraId="5A77C221" w14:textId="77777777" w:rsidR="00AE4FBF" w:rsidRDefault="00AE4FBF" w:rsidP="009504CE">
            <w:pPr>
              <w:jc w:val="center"/>
              <w:rPr>
                <w:b/>
                <w:sz w:val="22"/>
                <w:szCs w:val="22"/>
              </w:rPr>
            </w:pPr>
            <w:r w:rsidRPr="00AE4FBF">
              <w:rPr>
                <w:b/>
                <w:sz w:val="22"/>
                <w:szCs w:val="22"/>
              </w:rPr>
              <w:t xml:space="preserve">Додаток 29 </w:t>
            </w:r>
          </w:p>
          <w:p w14:paraId="3F5F5D5B" w14:textId="77777777" w:rsidR="009504CE" w:rsidRPr="00C27A60" w:rsidRDefault="00AE4FBF" w:rsidP="009504CE">
            <w:pPr>
              <w:jc w:val="center"/>
              <w:rPr>
                <w:b/>
                <w:sz w:val="22"/>
                <w:szCs w:val="22"/>
              </w:rPr>
            </w:pPr>
            <w:r w:rsidRPr="00AE4FBF">
              <w:rPr>
                <w:b/>
                <w:sz w:val="22"/>
                <w:szCs w:val="22"/>
              </w:rPr>
              <w:t>Методика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tc>
      </w:tr>
      <w:tr w:rsidR="00C27A60" w:rsidRPr="00C27A60" w14:paraId="70B48722" w14:textId="77777777" w:rsidTr="006F4698">
        <w:trPr>
          <w:trHeight w:val="595"/>
        </w:trPr>
        <w:tc>
          <w:tcPr>
            <w:tcW w:w="5839" w:type="dxa"/>
            <w:shd w:val="clear" w:color="auto" w:fill="auto"/>
          </w:tcPr>
          <w:p w14:paraId="6DB9C5FE" w14:textId="77777777" w:rsidR="00965B90" w:rsidRDefault="00965B90" w:rsidP="006F4698">
            <w:pPr>
              <w:ind w:firstLine="308"/>
              <w:rPr>
                <w:sz w:val="22"/>
                <w:szCs w:val="22"/>
                <w:shd w:val="clear" w:color="auto" w:fill="FFFFFF"/>
              </w:rPr>
            </w:pPr>
          </w:p>
          <w:p w14:paraId="17631AA3" w14:textId="73734CCE" w:rsidR="00965B90" w:rsidRPr="00C27A60" w:rsidRDefault="00965B90" w:rsidP="006F4698">
            <w:pPr>
              <w:ind w:firstLine="308"/>
              <w:rPr>
                <w:sz w:val="22"/>
                <w:szCs w:val="22"/>
                <w:shd w:val="clear" w:color="auto" w:fill="FFFFFF"/>
              </w:rPr>
            </w:pPr>
            <w:r w:rsidRPr="00C27A60">
              <w:rPr>
                <w:sz w:val="22"/>
                <w:szCs w:val="22"/>
                <w:shd w:val="clear" w:color="auto" w:fill="FFFFFF"/>
              </w:rPr>
              <w:t>&lt;…&gt;</w:t>
            </w:r>
          </w:p>
          <w:p w14:paraId="50019E3B" w14:textId="77777777" w:rsidR="00AE4FBF" w:rsidRDefault="00AE4FBF" w:rsidP="006F4698">
            <w:pPr>
              <w:pStyle w:val="tj"/>
              <w:shd w:val="clear" w:color="auto" w:fill="FFFFFF"/>
              <w:spacing w:before="0" w:beforeAutospacing="0" w:after="0" w:afterAutospacing="0"/>
              <w:rPr>
                <w:i/>
                <w:color w:val="FF0000"/>
                <w:sz w:val="22"/>
                <w:szCs w:val="22"/>
              </w:rPr>
            </w:pPr>
            <w:r>
              <w:rPr>
                <w:b/>
                <w:sz w:val="22"/>
                <w:szCs w:val="22"/>
              </w:rPr>
              <w:t>Пункт 4</w:t>
            </w:r>
            <w:r>
              <w:rPr>
                <w:i/>
                <w:color w:val="FF0000"/>
                <w:sz w:val="22"/>
                <w:szCs w:val="22"/>
              </w:rPr>
              <w:t xml:space="preserve"> </w:t>
            </w:r>
          </w:p>
          <w:p w14:paraId="69200E0E" w14:textId="77777777" w:rsidR="00AE4FBF" w:rsidRDefault="00AE4FBF" w:rsidP="006F4698">
            <w:pPr>
              <w:pStyle w:val="tj"/>
              <w:shd w:val="clear" w:color="auto" w:fill="FFFFFF"/>
              <w:spacing w:before="0" w:beforeAutospacing="0" w:after="0" w:afterAutospacing="0"/>
              <w:rPr>
                <w:color w:val="FF0000"/>
                <w:sz w:val="22"/>
                <w:szCs w:val="22"/>
              </w:rPr>
            </w:pPr>
            <w:r>
              <w:rPr>
                <w:sz w:val="22"/>
                <w:szCs w:val="22"/>
              </w:rPr>
              <w:t>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DC81A03" w14:textId="77777777" w:rsidR="00AE4FBF" w:rsidRDefault="00AE4FBF" w:rsidP="006F4698">
            <w:pPr>
              <w:pStyle w:val="tj"/>
              <w:shd w:val="clear" w:color="auto" w:fill="FFFFFF"/>
              <w:spacing w:before="0" w:beforeAutospacing="0" w:after="0" w:afterAutospacing="0"/>
              <w:rPr>
                <w:b/>
                <w:sz w:val="22"/>
                <w:szCs w:val="22"/>
              </w:rPr>
            </w:pPr>
            <w:r>
              <w:rPr>
                <w:b/>
                <w:sz w:val="22"/>
                <w:szCs w:val="22"/>
              </w:rPr>
              <w:t>………………………….</w:t>
            </w:r>
          </w:p>
          <w:p w14:paraId="509AA048" w14:textId="77777777" w:rsidR="00AE4FBF" w:rsidRDefault="00AE4FBF" w:rsidP="006F4698">
            <w:pPr>
              <w:ind w:firstLine="709"/>
              <w:rPr>
                <w:sz w:val="22"/>
                <w:szCs w:val="22"/>
                <w:lang w:eastAsia="uk-UA"/>
              </w:rPr>
            </w:pPr>
            <w:r>
              <w:rPr>
                <w:lang w:eastAsia="uk-UA"/>
              </w:rPr>
              <w:t xml:space="preserve">4) сума уточнених операційних контрольованих витрат (ОКВ) у звітному році </w:t>
            </w:r>
          </w:p>
          <w:p w14:paraId="5703D707" w14:textId="77777777" w:rsidR="00AE4FBF" w:rsidRDefault="00AE4FBF" w:rsidP="006F4698">
            <w:pPr>
              <w:rPr>
                <w:b/>
                <w:bCs/>
                <w:lang w:eastAsia="uk-UA"/>
              </w:rPr>
            </w:pPr>
            <w:r>
              <w:rPr>
                <w:b/>
                <w:bCs/>
                <w:lang w:eastAsia="uk-UA"/>
              </w:rPr>
              <w:t>За 2022 - 2024 роки для АТ «ДТЕК ДОНЕЦЬКI ЕЛЕКТРОМЕРЕЖI», ПАТ «ЗАПОРIЖЖЯОБЛЕНЕРГО», АТ «ХЕРСОНОБЛЕНЕРГО» та ТОВ «ДТЕК ВИСОКОВОЛЬТНI МЕРЕЖI» з урахуванням зміни кількості умовних одиниць обладнання, у тому числі в результаті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495CFE76" w14:textId="77777777" w:rsidR="00965B90" w:rsidRDefault="00965B90" w:rsidP="006F4698">
            <w:pPr>
              <w:ind w:firstLine="308"/>
              <w:rPr>
                <w:sz w:val="22"/>
                <w:szCs w:val="22"/>
                <w:shd w:val="clear" w:color="auto" w:fill="FFFFFF"/>
              </w:rPr>
            </w:pPr>
          </w:p>
          <w:p w14:paraId="0F9AC352" w14:textId="77777777" w:rsidR="00AE4FBF" w:rsidRDefault="00AE4FBF" w:rsidP="006F4698">
            <w:pPr>
              <w:ind w:firstLine="308"/>
              <w:rPr>
                <w:sz w:val="22"/>
                <w:szCs w:val="22"/>
                <w:shd w:val="clear" w:color="auto" w:fill="FFFFFF"/>
              </w:rPr>
            </w:pPr>
          </w:p>
          <w:p w14:paraId="3F43DB15" w14:textId="77777777" w:rsidR="00AE4FBF" w:rsidRDefault="00AE4FBF" w:rsidP="006F4698">
            <w:pPr>
              <w:ind w:firstLine="308"/>
              <w:rPr>
                <w:sz w:val="22"/>
                <w:szCs w:val="22"/>
                <w:shd w:val="clear" w:color="auto" w:fill="FFFFFF"/>
              </w:rPr>
            </w:pPr>
          </w:p>
          <w:p w14:paraId="29389A9C" w14:textId="77777777" w:rsidR="00AE4FBF" w:rsidRDefault="00AE4FBF" w:rsidP="006F4698">
            <w:pPr>
              <w:ind w:firstLine="308"/>
              <w:rPr>
                <w:sz w:val="22"/>
                <w:szCs w:val="22"/>
                <w:shd w:val="clear" w:color="auto" w:fill="FFFFFF"/>
              </w:rPr>
            </w:pPr>
          </w:p>
          <w:p w14:paraId="7B900E50" w14:textId="77777777" w:rsidR="00AE4FBF" w:rsidRPr="00C27A60" w:rsidRDefault="00AE4FBF" w:rsidP="006F4698">
            <w:pPr>
              <w:ind w:firstLine="308"/>
              <w:rPr>
                <w:sz w:val="22"/>
                <w:szCs w:val="22"/>
                <w:shd w:val="clear" w:color="auto" w:fill="FFFFFF"/>
              </w:rPr>
            </w:pPr>
          </w:p>
          <w:p w14:paraId="60820361" w14:textId="77777777" w:rsidR="00AE4FBF" w:rsidRDefault="00AE4FBF" w:rsidP="006F4698">
            <w:pPr>
              <w:ind w:firstLine="308"/>
              <w:rPr>
                <w:sz w:val="22"/>
                <w:szCs w:val="22"/>
                <w:shd w:val="clear" w:color="auto" w:fill="FFFFFF"/>
              </w:rPr>
            </w:pPr>
          </w:p>
          <w:p w14:paraId="76C884DD" w14:textId="77777777" w:rsidR="00AE4FBF" w:rsidRDefault="00AE4FBF" w:rsidP="006F4698">
            <w:pPr>
              <w:ind w:firstLine="308"/>
              <w:rPr>
                <w:sz w:val="22"/>
                <w:szCs w:val="22"/>
                <w:shd w:val="clear" w:color="auto" w:fill="FFFFFF"/>
              </w:rPr>
            </w:pPr>
          </w:p>
          <w:p w14:paraId="059E1052" w14:textId="77777777" w:rsidR="00AE4FBF" w:rsidRDefault="00AE4FBF" w:rsidP="006F4698">
            <w:pPr>
              <w:ind w:firstLine="308"/>
              <w:rPr>
                <w:sz w:val="22"/>
                <w:szCs w:val="22"/>
                <w:shd w:val="clear" w:color="auto" w:fill="FFFFFF"/>
              </w:rPr>
            </w:pPr>
          </w:p>
          <w:p w14:paraId="1BE4BAFC" w14:textId="77777777" w:rsidR="00AE4FBF" w:rsidRDefault="00AE4FBF" w:rsidP="006F4698">
            <w:pPr>
              <w:ind w:firstLine="308"/>
              <w:rPr>
                <w:sz w:val="22"/>
                <w:szCs w:val="22"/>
                <w:shd w:val="clear" w:color="auto" w:fill="FFFFFF"/>
              </w:rPr>
            </w:pPr>
          </w:p>
          <w:p w14:paraId="30E61AEF" w14:textId="77777777" w:rsidR="00AE4FBF" w:rsidRDefault="00AE4FBF" w:rsidP="006F4698">
            <w:pPr>
              <w:ind w:firstLine="308"/>
              <w:rPr>
                <w:sz w:val="22"/>
                <w:szCs w:val="22"/>
                <w:shd w:val="clear" w:color="auto" w:fill="FFFFFF"/>
              </w:rPr>
            </w:pPr>
          </w:p>
          <w:p w14:paraId="06A3FDF2" w14:textId="77777777" w:rsidR="00AE4FBF" w:rsidRDefault="00AE4FBF" w:rsidP="006F4698">
            <w:pPr>
              <w:ind w:firstLine="308"/>
              <w:rPr>
                <w:sz w:val="22"/>
                <w:szCs w:val="22"/>
                <w:shd w:val="clear" w:color="auto" w:fill="FFFFFF"/>
              </w:rPr>
            </w:pPr>
          </w:p>
          <w:p w14:paraId="5C51EC74" w14:textId="77777777" w:rsidR="00AE4FBF" w:rsidRDefault="00AE4FBF" w:rsidP="006F4698">
            <w:pPr>
              <w:ind w:firstLine="308"/>
              <w:rPr>
                <w:sz w:val="22"/>
                <w:szCs w:val="22"/>
                <w:shd w:val="clear" w:color="auto" w:fill="FFFFFF"/>
              </w:rPr>
            </w:pPr>
          </w:p>
          <w:p w14:paraId="4DE8F92E" w14:textId="77777777" w:rsidR="00AE4FBF" w:rsidRDefault="00AE4FBF" w:rsidP="006F4698">
            <w:pPr>
              <w:ind w:firstLine="308"/>
              <w:rPr>
                <w:sz w:val="22"/>
                <w:szCs w:val="22"/>
                <w:shd w:val="clear" w:color="auto" w:fill="FFFFFF"/>
              </w:rPr>
            </w:pPr>
          </w:p>
          <w:p w14:paraId="7DAC27C8" w14:textId="77777777" w:rsidR="00AE4FBF" w:rsidRDefault="00AE4FBF" w:rsidP="006F4698">
            <w:pPr>
              <w:ind w:firstLine="308"/>
              <w:rPr>
                <w:sz w:val="22"/>
                <w:szCs w:val="22"/>
                <w:shd w:val="clear" w:color="auto" w:fill="FFFFFF"/>
              </w:rPr>
            </w:pPr>
          </w:p>
          <w:p w14:paraId="507F2E33" w14:textId="77777777" w:rsidR="00AE4FBF" w:rsidRDefault="00AE4FBF" w:rsidP="006F4698">
            <w:pPr>
              <w:ind w:firstLine="308"/>
              <w:rPr>
                <w:sz w:val="22"/>
                <w:szCs w:val="22"/>
                <w:shd w:val="clear" w:color="auto" w:fill="FFFFFF"/>
              </w:rPr>
            </w:pPr>
          </w:p>
          <w:p w14:paraId="3A1C2ED3" w14:textId="77777777" w:rsidR="00AE4FBF" w:rsidRDefault="00AE4FBF" w:rsidP="006F4698">
            <w:pPr>
              <w:ind w:firstLine="308"/>
              <w:rPr>
                <w:sz w:val="22"/>
                <w:szCs w:val="22"/>
                <w:shd w:val="clear" w:color="auto" w:fill="FFFFFF"/>
              </w:rPr>
            </w:pPr>
          </w:p>
          <w:p w14:paraId="663D1563" w14:textId="77777777" w:rsidR="00AE4FBF" w:rsidRDefault="00AE4FBF" w:rsidP="006F4698">
            <w:pPr>
              <w:rPr>
                <w:sz w:val="22"/>
                <w:szCs w:val="22"/>
                <w:shd w:val="clear" w:color="auto" w:fill="FFFFFF"/>
              </w:rPr>
            </w:pPr>
          </w:p>
          <w:p w14:paraId="506A74C5" w14:textId="77777777" w:rsidR="00AE4FBF" w:rsidRPr="00C27A60" w:rsidRDefault="00AE4FBF" w:rsidP="006F4698">
            <w:pPr>
              <w:ind w:firstLine="308"/>
              <w:rPr>
                <w:sz w:val="22"/>
                <w:szCs w:val="22"/>
                <w:shd w:val="clear" w:color="auto" w:fill="FFFFFF"/>
              </w:rPr>
            </w:pPr>
          </w:p>
        </w:tc>
        <w:tc>
          <w:tcPr>
            <w:tcW w:w="5812" w:type="dxa"/>
            <w:shd w:val="clear" w:color="auto" w:fill="auto"/>
          </w:tcPr>
          <w:p w14:paraId="0AAEA023" w14:textId="77777777" w:rsidR="003A322D" w:rsidRPr="00C27A60" w:rsidRDefault="003A322D" w:rsidP="006F4698">
            <w:pPr>
              <w:ind w:firstLine="308"/>
              <w:rPr>
                <w:i/>
                <w:sz w:val="22"/>
                <w:szCs w:val="22"/>
                <w:shd w:val="clear" w:color="auto" w:fill="FFFFFF"/>
              </w:rPr>
            </w:pPr>
            <w:r w:rsidRPr="00C27A60">
              <w:rPr>
                <w:i/>
                <w:sz w:val="22"/>
                <w:szCs w:val="22"/>
                <w:shd w:val="clear" w:color="auto" w:fill="FFFFFF"/>
              </w:rPr>
              <w:lastRenderedPageBreak/>
              <w:t>АТ ДТЕК «ДОНЕЦЬКІ ЕЛЕКТРОМЕРЕЖІ»</w:t>
            </w:r>
          </w:p>
          <w:p w14:paraId="4BF6F9FF" w14:textId="77777777" w:rsidR="00965B90" w:rsidRPr="00C27A60" w:rsidRDefault="00965B90" w:rsidP="006F4698">
            <w:pPr>
              <w:ind w:firstLine="308"/>
              <w:rPr>
                <w:sz w:val="22"/>
                <w:szCs w:val="22"/>
                <w:shd w:val="clear" w:color="auto" w:fill="FFFFFF"/>
              </w:rPr>
            </w:pPr>
            <w:r w:rsidRPr="00C27A60">
              <w:rPr>
                <w:sz w:val="22"/>
                <w:szCs w:val="22"/>
                <w:shd w:val="clear" w:color="auto" w:fill="FFFFFF"/>
              </w:rPr>
              <w:t>&lt;…&gt;</w:t>
            </w:r>
          </w:p>
          <w:p w14:paraId="2E8EA7D0" w14:textId="77777777" w:rsidR="006F4698" w:rsidRDefault="006F4698" w:rsidP="006F4698">
            <w:pPr>
              <w:pStyle w:val="tj"/>
              <w:shd w:val="clear" w:color="auto" w:fill="FFFFFF"/>
              <w:spacing w:before="0" w:beforeAutospacing="0" w:after="0" w:afterAutospacing="0"/>
              <w:rPr>
                <w:sz w:val="22"/>
                <w:szCs w:val="22"/>
              </w:rPr>
            </w:pPr>
          </w:p>
          <w:p w14:paraId="5CE17ECE" w14:textId="7196502C" w:rsidR="00AE4FBF" w:rsidRDefault="00AE4FBF" w:rsidP="006F4698">
            <w:pPr>
              <w:pStyle w:val="tj"/>
              <w:shd w:val="clear" w:color="auto" w:fill="FFFFFF"/>
              <w:spacing w:before="0" w:beforeAutospacing="0" w:after="0" w:afterAutospacing="0"/>
              <w:rPr>
                <w:color w:val="FF0000"/>
                <w:sz w:val="22"/>
                <w:szCs w:val="22"/>
              </w:rPr>
            </w:pPr>
            <w:r>
              <w:rPr>
                <w:sz w:val="22"/>
                <w:szCs w:val="22"/>
              </w:rPr>
              <w:t>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51CA9680" w14:textId="77777777" w:rsidR="00AE4FBF" w:rsidRDefault="00AE4FBF" w:rsidP="006F4698">
            <w:pPr>
              <w:pStyle w:val="tj"/>
              <w:shd w:val="clear" w:color="auto" w:fill="FFFFFF"/>
              <w:spacing w:before="0" w:beforeAutospacing="0" w:after="0" w:afterAutospacing="0"/>
              <w:rPr>
                <w:b/>
                <w:sz w:val="22"/>
                <w:szCs w:val="22"/>
              </w:rPr>
            </w:pPr>
            <w:r>
              <w:rPr>
                <w:b/>
                <w:sz w:val="22"/>
                <w:szCs w:val="22"/>
              </w:rPr>
              <w:t>………………………….</w:t>
            </w:r>
          </w:p>
          <w:p w14:paraId="63FC9B64" w14:textId="77777777" w:rsidR="00AE4FBF" w:rsidRPr="006F4698" w:rsidRDefault="00AE4FBF" w:rsidP="006F4698">
            <w:pPr>
              <w:ind w:firstLine="709"/>
              <w:rPr>
                <w:sz w:val="22"/>
                <w:szCs w:val="22"/>
                <w:lang w:eastAsia="uk-UA"/>
              </w:rPr>
            </w:pPr>
            <w:r>
              <w:rPr>
                <w:lang w:eastAsia="uk-UA"/>
              </w:rPr>
              <w:t>4) сума уточнених операційних контрольованих витрат (</w:t>
            </w:r>
            <w:r w:rsidRPr="006F4698">
              <w:rPr>
                <w:lang w:eastAsia="uk-UA"/>
              </w:rPr>
              <w:t xml:space="preserve">ОКВ) у звітному році </w:t>
            </w:r>
          </w:p>
          <w:p w14:paraId="6CE244EF" w14:textId="77777777" w:rsidR="00AE4FBF" w:rsidRPr="006F4698" w:rsidRDefault="00AE4FBF" w:rsidP="006F4698">
            <w:pPr>
              <w:rPr>
                <w:b/>
                <w:bCs/>
                <w:lang w:eastAsia="uk-UA"/>
              </w:rPr>
            </w:pPr>
            <w:r w:rsidRPr="006F4698">
              <w:rPr>
                <w:b/>
                <w:bCs/>
                <w:lang w:eastAsia="uk-UA"/>
              </w:rPr>
              <w:t>За 2022 - 2024 роки для АТ «ДТЕК ДОНЕЦЬКI ЕЛЕКТРОМЕРЕЖI», ПАТ «ЗАПОРIЖЖЯОБЛЕНЕРГО», АТ «ХЕРСОНОБЛЕНЕРГО» та ТОВ «ДТЕК ВИСОКОВОЛЬТНI МЕРЕЖI»  сума уточнених операційних контрольованих витрат (ОКВ) не розраховується; з 2025 року уточнені ОКВ дорівнюють тарифним.</w:t>
            </w:r>
          </w:p>
          <w:p w14:paraId="3F7B7D76" w14:textId="77777777" w:rsidR="00AE4FBF" w:rsidRDefault="00AE4FBF" w:rsidP="006F4698">
            <w:pPr>
              <w:rPr>
                <w:sz w:val="22"/>
                <w:szCs w:val="22"/>
              </w:rPr>
            </w:pPr>
          </w:p>
          <w:p w14:paraId="7F88DC6C" w14:textId="77777777" w:rsidR="00AE4FBF" w:rsidRPr="00AE4FBF" w:rsidRDefault="00AE4FBF" w:rsidP="006F4698">
            <w:pPr>
              <w:rPr>
                <w:i/>
                <w:sz w:val="22"/>
                <w:szCs w:val="22"/>
              </w:rPr>
            </w:pPr>
            <w:r w:rsidRPr="00AE4FBF">
              <w:rPr>
                <w:i/>
                <w:sz w:val="22"/>
                <w:szCs w:val="22"/>
              </w:rPr>
              <w:t>ОБГРУНТУВАННЯ</w:t>
            </w:r>
          </w:p>
          <w:p w14:paraId="407D2328" w14:textId="77777777" w:rsidR="00AE4FBF" w:rsidRPr="00A4769E" w:rsidRDefault="00AE4FBF" w:rsidP="006F4698">
            <w:pPr>
              <w:rPr>
                <w:sz w:val="22"/>
                <w:szCs w:val="22"/>
              </w:rPr>
            </w:pPr>
            <w:r w:rsidRPr="00A4769E">
              <w:rPr>
                <w:sz w:val="22"/>
                <w:szCs w:val="22"/>
              </w:rPr>
              <w:t xml:space="preserve">Для АТ «ДТЕК ДОНЕЦЬКI ЕЛЕКТРОМЕРЕЖI», ПАТ «ЗАПОРIЖЖЯОБЛЕНЕРГО», АТ «ХЕРСОНОБЛЕНЕРГО» та ТОВ «ДТЕК ВИСОКОВОЛЬТНI МЕРЕЖI» у відповідності до вимог розділу 4 п.19 та розділу 5 п.2 НКРЕКП від 14.06.2018 № 428 за рахунок застосування ЧОД операційні контрольовані витрати (ОКВ) враховуються лише в розмірі фактично отриманої суми доходу, без повернення до тарифних значень, тому немає сенсу уточнювати ОКВ по цим періодам. </w:t>
            </w:r>
          </w:p>
          <w:p w14:paraId="1BBA7C31" w14:textId="77777777" w:rsidR="00AE4FBF" w:rsidRPr="00AE4FBF" w:rsidRDefault="00AE4FBF" w:rsidP="006F4698">
            <w:pPr>
              <w:rPr>
                <w:sz w:val="22"/>
                <w:szCs w:val="22"/>
              </w:rPr>
            </w:pPr>
            <w:r w:rsidRPr="00A4769E">
              <w:rPr>
                <w:sz w:val="22"/>
                <w:szCs w:val="22"/>
              </w:rPr>
              <w:t xml:space="preserve">Починаючи з 2025 року у відповідності до вимог п.5.4. НКРЕКП від 05.10.2018 № 1175  при затвердженні тарифів </w:t>
            </w:r>
            <w:r w:rsidRPr="00A4769E">
              <w:rPr>
                <w:sz w:val="22"/>
                <w:szCs w:val="22"/>
              </w:rPr>
              <w:lastRenderedPageBreak/>
              <w:t>цих ліцензіатів ОКВ розраховується із застосуванням КФУ (коригуючого коефіцієнту зміни фактичних умовних одиниць енергетичного обладнання ліцензіата, що знаходиться на контрольованій території держави). Таким чином, з 2025року в тарифах враховуються вже уточнені ОКВ.</w:t>
            </w:r>
          </w:p>
        </w:tc>
        <w:tc>
          <w:tcPr>
            <w:tcW w:w="3546" w:type="dxa"/>
            <w:shd w:val="clear" w:color="auto" w:fill="auto"/>
          </w:tcPr>
          <w:p w14:paraId="7F4ABED6" w14:textId="77777777" w:rsidR="006F4698" w:rsidRDefault="006F4698" w:rsidP="006F4698">
            <w:pPr>
              <w:rPr>
                <w:b/>
                <w:sz w:val="22"/>
                <w:szCs w:val="22"/>
              </w:rPr>
            </w:pPr>
          </w:p>
          <w:p w14:paraId="0A1A528C" w14:textId="77777777" w:rsidR="006F4698" w:rsidRDefault="006F4698" w:rsidP="006F4698">
            <w:pPr>
              <w:rPr>
                <w:b/>
                <w:sz w:val="22"/>
                <w:szCs w:val="22"/>
              </w:rPr>
            </w:pPr>
          </w:p>
          <w:p w14:paraId="032FF7F8" w14:textId="77777777" w:rsidR="006F4698" w:rsidRDefault="006F4698" w:rsidP="006F4698">
            <w:pPr>
              <w:rPr>
                <w:b/>
                <w:sz w:val="22"/>
                <w:szCs w:val="22"/>
              </w:rPr>
            </w:pPr>
          </w:p>
          <w:p w14:paraId="5C3B224A" w14:textId="2EDD847A" w:rsidR="008B4C2D" w:rsidRDefault="00527D0A" w:rsidP="006F4698">
            <w:pPr>
              <w:rPr>
                <w:b/>
                <w:sz w:val="22"/>
                <w:szCs w:val="22"/>
              </w:rPr>
            </w:pPr>
            <w:r>
              <w:rPr>
                <w:b/>
                <w:sz w:val="22"/>
                <w:szCs w:val="22"/>
              </w:rPr>
              <w:t>Враховано</w:t>
            </w:r>
          </w:p>
          <w:p w14:paraId="306FCBA1" w14:textId="52461C47" w:rsidR="00325B5A" w:rsidRPr="00A4769E" w:rsidRDefault="00AF227A" w:rsidP="006F4698">
            <w:pPr>
              <w:rPr>
                <w:sz w:val="22"/>
                <w:szCs w:val="22"/>
              </w:rPr>
            </w:pPr>
            <w:r w:rsidRPr="00D5314D">
              <w:rPr>
                <w:sz w:val="22"/>
                <w:szCs w:val="22"/>
              </w:rPr>
              <w:t>П</w:t>
            </w:r>
            <w:r w:rsidR="00150116" w:rsidRPr="00D5314D">
              <w:rPr>
                <w:sz w:val="22"/>
                <w:szCs w:val="22"/>
              </w:rPr>
              <w:t>ропозиці</w:t>
            </w:r>
            <w:r w:rsidRPr="00D5314D">
              <w:rPr>
                <w:sz w:val="22"/>
                <w:szCs w:val="22"/>
              </w:rPr>
              <w:t>я</w:t>
            </w:r>
            <w:r w:rsidR="00150116" w:rsidRPr="00D5314D">
              <w:rPr>
                <w:sz w:val="22"/>
                <w:szCs w:val="22"/>
              </w:rPr>
              <w:t xml:space="preserve"> </w:t>
            </w:r>
            <w:r w:rsidRPr="00D5314D">
              <w:rPr>
                <w:sz w:val="22"/>
                <w:szCs w:val="22"/>
              </w:rPr>
              <w:t>слушна</w:t>
            </w:r>
            <w:r w:rsidR="00150116" w:rsidRPr="00D5314D">
              <w:rPr>
                <w:sz w:val="22"/>
                <w:szCs w:val="22"/>
              </w:rPr>
              <w:t xml:space="preserve"> </w:t>
            </w:r>
            <w:r w:rsidRPr="00D5314D">
              <w:rPr>
                <w:sz w:val="22"/>
                <w:szCs w:val="22"/>
              </w:rPr>
              <w:t>щодо</w:t>
            </w:r>
            <w:r w:rsidR="00150116">
              <w:rPr>
                <w:sz w:val="22"/>
                <w:szCs w:val="22"/>
              </w:rPr>
              <w:t xml:space="preserve"> нед</w:t>
            </w:r>
            <w:r w:rsidR="00391E3E">
              <w:rPr>
                <w:sz w:val="22"/>
                <w:szCs w:val="22"/>
              </w:rPr>
              <w:t>оцільно</w:t>
            </w:r>
            <w:r w:rsidR="00150116">
              <w:rPr>
                <w:sz w:val="22"/>
                <w:szCs w:val="22"/>
              </w:rPr>
              <w:t>сті</w:t>
            </w:r>
            <w:r w:rsidR="00391E3E">
              <w:rPr>
                <w:sz w:val="22"/>
                <w:szCs w:val="22"/>
              </w:rPr>
              <w:t xml:space="preserve"> фікс</w:t>
            </w:r>
            <w:r w:rsidR="00150116">
              <w:rPr>
                <w:sz w:val="22"/>
                <w:szCs w:val="22"/>
              </w:rPr>
              <w:t>ації</w:t>
            </w:r>
            <w:r w:rsidR="00391E3E">
              <w:rPr>
                <w:sz w:val="22"/>
                <w:szCs w:val="22"/>
              </w:rPr>
              <w:t xml:space="preserve"> уточнен</w:t>
            </w:r>
            <w:r w:rsidR="00150116">
              <w:rPr>
                <w:sz w:val="22"/>
                <w:szCs w:val="22"/>
              </w:rPr>
              <w:t>их</w:t>
            </w:r>
            <w:r w:rsidR="00391E3E">
              <w:rPr>
                <w:sz w:val="22"/>
                <w:szCs w:val="22"/>
              </w:rPr>
              <w:t xml:space="preserve"> ОКВ за 2022-2024 роки для </w:t>
            </w:r>
            <w:r w:rsidR="005622A9">
              <w:rPr>
                <w:sz w:val="22"/>
                <w:szCs w:val="22"/>
              </w:rPr>
              <w:t>вказаних</w:t>
            </w:r>
            <w:r w:rsidR="00391E3E">
              <w:rPr>
                <w:sz w:val="22"/>
                <w:szCs w:val="22"/>
              </w:rPr>
              <w:t xml:space="preserve"> компаній</w:t>
            </w:r>
            <w:r w:rsidR="005622A9">
              <w:rPr>
                <w:sz w:val="22"/>
                <w:szCs w:val="22"/>
              </w:rPr>
              <w:t>,</w:t>
            </w:r>
            <w:r w:rsidR="00391E3E">
              <w:rPr>
                <w:sz w:val="22"/>
                <w:szCs w:val="22"/>
              </w:rPr>
              <w:t xml:space="preserve"> </w:t>
            </w:r>
            <w:r w:rsidR="00150116">
              <w:rPr>
                <w:sz w:val="22"/>
                <w:szCs w:val="22"/>
              </w:rPr>
              <w:t>при цьому</w:t>
            </w:r>
            <w:r w:rsidR="00391E3E">
              <w:rPr>
                <w:sz w:val="22"/>
                <w:szCs w:val="22"/>
              </w:rPr>
              <w:t xml:space="preserve"> </w:t>
            </w:r>
            <w:r w:rsidR="00D72B14">
              <w:rPr>
                <w:sz w:val="22"/>
                <w:szCs w:val="22"/>
              </w:rPr>
              <w:t xml:space="preserve">під час перевірки </w:t>
            </w:r>
            <w:r w:rsidR="00391E3E">
              <w:rPr>
                <w:sz w:val="22"/>
                <w:szCs w:val="22"/>
              </w:rPr>
              <w:t xml:space="preserve">2025 року приймати </w:t>
            </w:r>
            <w:r w:rsidR="00150116">
              <w:rPr>
                <w:sz w:val="22"/>
                <w:szCs w:val="22"/>
              </w:rPr>
              <w:t>уточнен</w:t>
            </w:r>
            <w:r>
              <w:rPr>
                <w:sz w:val="22"/>
                <w:szCs w:val="22"/>
              </w:rPr>
              <w:t>і</w:t>
            </w:r>
            <w:r w:rsidR="00150116">
              <w:rPr>
                <w:sz w:val="22"/>
                <w:szCs w:val="22"/>
              </w:rPr>
              <w:t xml:space="preserve"> ОКВ </w:t>
            </w:r>
            <w:r w:rsidR="0045666C">
              <w:rPr>
                <w:sz w:val="22"/>
                <w:szCs w:val="22"/>
              </w:rPr>
              <w:t>за попередній</w:t>
            </w:r>
            <w:r w:rsidR="00150116">
              <w:rPr>
                <w:sz w:val="22"/>
                <w:szCs w:val="22"/>
              </w:rPr>
              <w:t xml:space="preserve"> період на рівні </w:t>
            </w:r>
            <w:r w:rsidR="00391E3E">
              <w:rPr>
                <w:sz w:val="22"/>
                <w:szCs w:val="22"/>
              </w:rPr>
              <w:t>тарифн</w:t>
            </w:r>
            <w:r w:rsidR="00AC7E33">
              <w:rPr>
                <w:sz w:val="22"/>
                <w:szCs w:val="22"/>
              </w:rPr>
              <w:t>их</w:t>
            </w:r>
            <w:r w:rsidR="00391E3E">
              <w:rPr>
                <w:sz w:val="22"/>
                <w:szCs w:val="22"/>
              </w:rPr>
              <w:t xml:space="preserve"> (як</w:t>
            </w:r>
            <w:r>
              <w:rPr>
                <w:sz w:val="22"/>
                <w:szCs w:val="22"/>
              </w:rPr>
              <w:t>і</w:t>
            </w:r>
            <w:r w:rsidR="00391E3E">
              <w:rPr>
                <w:sz w:val="22"/>
                <w:szCs w:val="22"/>
              </w:rPr>
              <w:t xml:space="preserve"> вже врахову</w:t>
            </w:r>
            <w:r>
              <w:rPr>
                <w:sz w:val="22"/>
                <w:szCs w:val="22"/>
              </w:rPr>
              <w:t>ють</w:t>
            </w:r>
            <w:r w:rsidR="00391E3E">
              <w:rPr>
                <w:sz w:val="22"/>
                <w:szCs w:val="22"/>
              </w:rPr>
              <w:t xml:space="preserve"> змін</w:t>
            </w:r>
            <w:r w:rsidR="00150116">
              <w:rPr>
                <w:sz w:val="22"/>
                <w:szCs w:val="22"/>
              </w:rPr>
              <w:t>у</w:t>
            </w:r>
            <w:r w:rsidR="00391E3E">
              <w:rPr>
                <w:sz w:val="22"/>
                <w:szCs w:val="22"/>
              </w:rPr>
              <w:t xml:space="preserve"> </w:t>
            </w:r>
            <w:r w:rsidR="00150116" w:rsidRPr="00150116">
              <w:rPr>
                <w:sz w:val="22"/>
                <w:szCs w:val="22"/>
              </w:rPr>
              <w:t xml:space="preserve">кількості умовних одиниць обладнання, у тому числі в результаті виведення/повернення активів, що розташовані на тимчасово окупованих територіях держави та/або над якими втрачено контроль унаслідок агресії </w:t>
            </w:r>
            <w:proofErr w:type="spellStart"/>
            <w:r w:rsidR="00A32516">
              <w:rPr>
                <w:sz w:val="22"/>
                <w:szCs w:val="22"/>
              </w:rPr>
              <w:t>рф</w:t>
            </w:r>
            <w:proofErr w:type="spellEnd"/>
            <w:r w:rsidR="00391E3E">
              <w:rPr>
                <w:sz w:val="22"/>
                <w:szCs w:val="22"/>
              </w:rPr>
              <w:t>)</w:t>
            </w:r>
            <w:r w:rsidR="00150116">
              <w:rPr>
                <w:sz w:val="22"/>
                <w:szCs w:val="22"/>
              </w:rPr>
              <w:t>.</w:t>
            </w:r>
          </w:p>
          <w:p w14:paraId="639F5D74" w14:textId="77777777" w:rsidR="008B4C2D" w:rsidRPr="00150116" w:rsidRDefault="008B4C2D" w:rsidP="006F4698">
            <w:pPr>
              <w:rPr>
                <w:sz w:val="22"/>
                <w:szCs w:val="22"/>
              </w:rPr>
            </w:pPr>
          </w:p>
          <w:p w14:paraId="73D10C8B" w14:textId="77777777" w:rsidR="008B4C2D" w:rsidRPr="00C27A60" w:rsidRDefault="008B4C2D" w:rsidP="006F4698">
            <w:pPr>
              <w:rPr>
                <w:b/>
                <w:sz w:val="22"/>
                <w:szCs w:val="22"/>
              </w:rPr>
            </w:pPr>
          </w:p>
          <w:p w14:paraId="7A77B8D9" w14:textId="77777777" w:rsidR="008B4C2D" w:rsidRDefault="008B4C2D" w:rsidP="006F4698">
            <w:pPr>
              <w:rPr>
                <w:b/>
                <w:sz w:val="22"/>
                <w:szCs w:val="22"/>
              </w:rPr>
            </w:pPr>
          </w:p>
          <w:p w14:paraId="7F801BB9" w14:textId="31C8ABE8" w:rsidR="006F4698" w:rsidRPr="00C27A60" w:rsidRDefault="006F4698" w:rsidP="006F4698">
            <w:pPr>
              <w:rPr>
                <w:sz w:val="22"/>
                <w:szCs w:val="22"/>
              </w:rPr>
            </w:pPr>
          </w:p>
        </w:tc>
      </w:tr>
      <w:tr w:rsidR="006F4698" w:rsidRPr="00C27A60" w14:paraId="6247ED2F" w14:textId="77777777" w:rsidTr="006F4698">
        <w:trPr>
          <w:trHeight w:val="595"/>
        </w:trPr>
        <w:tc>
          <w:tcPr>
            <w:tcW w:w="5839" w:type="dxa"/>
            <w:shd w:val="clear" w:color="auto" w:fill="auto"/>
          </w:tcPr>
          <w:p w14:paraId="13B08622" w14:textId="77777777" w:rsidR="006F4698" w:rsidRPr="000B3A25" w:rsidRDefault="006F4698" w:rsidP="006F4698">
            <w:pPr>
              <w:ind w:firstLine="308"/>
              <w:contextualSpacing/>
              <w:rPr>
                <w:b/>
                <w:sz w:val="22"/>
                <w:szCs w:val="22"/>
              </w:rPr>
            </w:pPr>
          </w:p>
          <w:p w14:paraId="596053C3" w14:textId="77777777" w:rsidR="006F4698" w:rsidRPr="000B3A25" w:rsidRDefault="006F4698" w:rsidP="006F4698">
            <w:pPr>
              <w:ind w:firstLine="308"/>
              <w:contextualSpacing/>
              <w:rPr>
                <w:b/>
                <w:sz w:val="22"/>
                <w:szCs w:val="22"/>
              </w:rPr>
            </w:pPr>
          </w:p>
          <w:p w14:paraId="58B1182A" w14:textId="761687B0" w:rsidR="006F4698" w:rsidRPr="000B3A25" w:rsidRDefault="006F4698" w:rsidP="006F4698">
            <w:pPr>
              <w:ind w:firstLine="308"/>
              <w:contextualSpacing/>
              <w:rPr>
                <w:b/>
                <w:sz w:val="22"/>
                <w:szCs w:val="22"/>
              </w:rPr>
            </w:pPr>
            <w:r w:rsidRPr="000B3A25">
              <w:rPr>
                <w:b/>
                <w:sz w:val="22"/>
                <w:szCs w:val="22"/>
              </w:rPr>
              <w:t>&lt;…&gt;</w:t>
            </w:r>
          </w:p>
          <w:p w14:paraId="1CF8E3FE" w14:textId="77777777" w:rsidR="006F4698" w:rsidRPr="000B3A25" w:rsidRDefault="006F4698" w:rsidP="006F4698">
            <w:pPr>
              <w:pStyle w:val="tr"/>
              <w:shd w:val="clear" w:color="auto" w:fill="FFFFFF"/>
              <w:spacing w:before="0" w:beforeAutospacing="0" w:after="0" w:afterAutospacing="0"/>
              <w:contextualSpacing/>
              <w:rPr>
                <w:color w:val="333333"/>
                <w:sz w:val="22"/>
                <w:szCs w:val="22"/>
                <w:shd w:val="clear" w:color="auto" w:fill="FFFFFF"/>
              </w:rPr>
            </w:pPr>
            <w:r w:rsidRPr="000B3A25">
              <w:rPr>
                <w:sz w:val="22"/>
                <w:szCs w:val="22"/>
              </w:rPr>
              <w:t>10) кількість умовних одиниць у розрізі класів напруги на початок звітного періоду,</w:t>
            </w:r>
            <w:r w:rsidRPr="000B3A25">
              <w:rPr>
                <w:color w:val="333333"/>
                <w:sz w:val="22"/>
                <w:szCs w:val="22"/>
                <w:shd w:val="clear" w:color="auto" w:fill="FFFFFF"/>
              </w:rPr>
              <w:t xml:space="preserve"> </w:t>
            </w:r>
          </w:p>
          <w:p w14:paraId="134F4DDC" w14:textId="77777777" w:rsidR="006F4698" w:rsidRPr="000B3A25" w:rsidRDefault="006F4698" w:rsidP="006F4698">
            <w:pPr>
              <w:ind w:firstLine="308"/>
              <w:contextualSpacing/>
              <w:rPr>
                <w:b/>
                <w:bCs/>
                <w:shd w:val="clear" w:color="auto" w:fill="FFFFFF"/>
              </w:rPr>
            </w:pPr>
            <w:r w:rsidRPr="000B3A25">
              <w:rPr>
                <w:b/>
                <w:bCs/>
              </w:rPr>
              <w:t xml:space="preserve">За 2022 - 2024 роки для АТ «ДТЕК ДОНЕЦЬКI ЕЛЕКТРОМЕРЕЖI», ПАТ «ЗАПОРIЖЖЯОБЛЕНЕРГО», АТ «ХЕРСОНОБЛЕНЕРГО» та ТОВ «ДТЕК ВИСОКОВОЛЬТНI МЕРЕЖI» </w:t>
            </w:r>
            <w:r w:rsidRPr="000B3A25">
              <w:rPr>
                <w:b/>
                <w:bCs/>
                <w:shd w:val="clear" w:color="auto" w:fill="FFFFFF"/>
              </w:rPr>
              <w:t>кількість умовних одиниць у розрізі класів напруги на початок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40DB7927" w14:textId="77777777" w:rsidR="00D63051" w:rsidRPr="000B3A25" w:rsidRDefault="00D63051" w:rsidP="00D63051">
            <w:pPr>
              <w:ind w:firstLine="308"/>
              <w:contextualSpacing/>
              <w:rPr>
                <w:b/>
                <w:sz w:val="22"/>
                <w:szCs w:val="22"/>
              </w:rPr>
            </w:pPr>
            <w:r w:rsidRPr="000B3A25">
              <w:rPr>
                <w:b/>
                <w:sz w:val="22"/>
                <w:szCs w:val="22"/>
              </w:rPr>
              <w:t>&lt;…&gt;</w:t>
            </w:r>
          </w:p>
          <w:p w14:paraId="6ACCE7BE" w14:textId="744A91CD" w:rsidR="006F4698" w:rsidRPr="000B3A25" w:rsidRDefault="006F4698" w:rsidP="006F4698">
            <w:pPr>
              <w:ind w:firstLine="308"/>
              <w:contextualSpacing/>
              <w:rPr>
                <w:b/>
                <w:sz w:val="22"/>
                <w:szCs w:val="22"/>
              </w:rPr>
            </w:pPr>
          </w:p>
        </w:tc>
        <w:tc>
          <w:tcPr>
            <w:tcW w:w="5812" w:type="dxa"/>
            <w:shd w:val="clear" w:color="auto" w:fill="auto"/>
          </w:tcPr>
          <w:p w14:paraId="51E3450E" w14:textId="77777777" w:rsidR="006F4698" w:rsidRPr="00C27A60" w:rsidRDefault="006F4698" w:rsidP="00AE4FBF">
            <w:pPr>
              <w:ind w:firstLine="308"/>
              <w:jc w:val="both"/>
              <w:rPr>
                <w:i/>
                <w:sz w:val="22"/>
                <w:szCs w:val="22"/>
                <w:shd w:val="clear" w:color="auto" w:fill="FFFFFF"/>
              </w:rPr>
            </w:pPr>
            <w:r w:rsidRPr="00C27A60">
              <w:rPr>
                <w:i/>
                <w:sz w:val="22"/>
                <w:szCs w:val="22"/>
                <w:shd w:val="clear" w:color="auto" w:fill="FFFFFF"/>
              </w:rPr>
              <w:t>АТ ДТЕК «ДОНЕЦЬКІ ЕЛЕКТРОМЕРЕЖІ»</w:t>
            </w:r>
          </w:p>
          <w:p w14:paraId="16DD0C9F" w14:textId="77777777" w:rsidR="006F4698" w:rsidRPr="00C27A60" w:rsidRDefault="006F4698" w:rsidP="00EB3D9C">
            <w:pPr>
              <w:ind w:firstLine="240"/>
              <w:jc w:val="both"/>
              <w:rPr>
                <w:sz w:val="22"/>
                <w:szCs w:val="22"/>
              </w:rPr>
            </w:pPr>
          </w:p>
          <w:p w14:paraId="3939DDC5" w14:textId="77777777" w:rsidR="006F4698" w:rsidRDefault="006F4698" w:rsidP="00AE4FBF">
            <w:pPr>
              <w:jc w:val="both"/>
              <w:rPr>
                <w:sz w:val="22"/>
                <w:szCs w:val="22"/>
              </w:rPr>
            </w:pPr>
            <w:r w:rsidRPr="00AE4FBF">
              <w:rPr>
                <w:sz w:val="22"/>
                <w:szCs w:val="22"/>
              </w:rPr>
              <w:t>&lt;…&gt;</w:t>
            </w:r>
          </w:p>
          <w:p w14:paraId="7BFD9645" w14:textId="77777777" w:rsidR="006F4698" w:rsidRDefault="006F4698" w:rsidP="00AE4FBF">
            <w:pPr>
              <w:jc w:val="both"/>
              <w:rPr>
                <w:lang w:eastAsia="uk-UA"/>
              </w:rPr>
            </w:pPr>
            <w:r>
              <w:rPr>
                <w:lang w:eastAsia="uk-UA"/>
              </w:rPr>
              <w:t>10) кількість умовних одиниць у розрізі класів напруги на початок звітного періоду;</w:t>
            </w:r>
          </w:p>
          <w:p w14:paraId="4A7ACEC0" w14:textId="77777777" w:rsidR="006F4698" w:rsidRDefault="006F4698" w:rsidP="00AE4FBF">
            <w:pPr>
              <w:jc w:val="both"/>
              <w:rPr>
                <w:sz w:val="22"/>
                <w:szCs w:val="22"/>
              </w:rPr>
            </w:pPr>
          </w:p>
          <w:p w14:paraId="645A74FD" w14:textId="77777777" w:rsidR="006F4698" w:rsidRDefault="006F4698" w:rsidP="00AE4FBF">
            <w:pPr>
              <w:jc w:val="both"/>
              <w:rPr>
                <w:i/>
                <w:sz w:val="22"/>
                <w:szCs w:val="22"/>
              </w:rPr>
            </w:pPr>
            <w:r w:rsidRPr="00AE4FBF">
              <w:rPr>
                <w:i/>
                <w:sz w:val="22"/>
                <w:szCs w:val="22"/>
              </w:rPr>
              <w:t>ОБГРУНТУВАННЯ</w:t>
            </w:r>
          </w:p>
          <w:p w14:paraId="7D46F48F" w14:textId="77777777" w:rsidR="006F4698" w:rsidRPr="00A4769E" w:rsidRDefault="006F4698" w:rsidP="00AE4FBF">
            <w:pPr>
              <w:jc w:val="both"/>
              <w:rPr>
                <w:sz w:val="22"/>
                <w:szCs w:val="22"/>
              </w:rPr>
            </w:pPr>
            <w:r w:rsidRPr="00A4769E">
              <w:rPr>
                <w:sz w:val="22"/>
                <w:szCs w:val="22"/>
              </w:rPr>
              <w:t>Пропонується залишити у діючій редакції, тому що кількість умовних одиниць у розрізі класів напруги на початок звітного 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 для АТ «ДТЕК ДОНЕЦЬКI ЕЛЕКТРОМЕРЕЖI», ПАТ «ЗАПОРIЖЖЯОБЛЕНЕРГО», АТ «ХЕРСОНОБЛЕНЕРГО» та ТОВ «ДТЕК ВИСОКОВОЛЬТНI МЕРЕЖI» за 2022 – 2024 роки не буде приймати участь в розрахунках додатково отриманого/недоотриманого доходу (див. пояснення до пункту 4 вище)</w:t>
            </w:r>
          </w:p>
          <w:p w14:paraId="26210C4F" w14:textId="77777777" w:rsidR="006F4698" w:rsidRPr="00C27A60" w:rsidRDefault="006F4698" w:rsidP="00AE4FBF">
            <w:pPr>
              <w:spacing w:after="160" w:line="256" w:lineRule="auto"/>
              <w:jc w:val="both"/>
              <w:rPr>
                <w:sz w:val="22"/>
                <w:szCs w:val="22"/>
              </w:rPr>
            </w:pPr>
          </w:p>
        </w:tc>
        <w:tc>
          <w:tcPr>
            <w:tcW w:w="3546" w:type="dxa"/>
            <w:vMerge w:val="restart"/>
            <w:shd w:val="clear" w:color="auto" w:fill="auto"/>
            <w:vAlign w:val="center"/>
          </w:tcPr>
          <w:p w14:paraId="0E2434EB" w14:textId="5F7A3E2C" w:rsidR="006F4698" w:rsidRDefault="006F4698" w:rsidP="00B542FA">
            <w:pPr>
              <w:rPr>
                <w:b/>
                <w:sz w:val="22"/>
                <w:szCs w:val="22"/>
              </w:rPr>
            </w:pPr>
          </w:p>
          <w:p w14:paraId="6FB0121F" w14:textId="77777777" w:rsidR="006F4698" w:rsidRDefault="006F4698" w:rsidP="00B542FA">
            <w:pPr>
              <w:rPr>
                <w:b/>
                <w:sz w:val="22"/>
                <w:szCs w:val="22"/>
              </w:rPr>
            </w:pPr>
          </w:p>
          <w:p w14:paraId="1E0EC3C3" w14:textId="61D36326" w:rsidR="006F4698" w:rsidRPr="005D7AC3" w:rsidRDefault="006F4698" w:rsidP="00B542FA">
            <w:pPr>
              <w:rPr>
                <w:b/>
                <w:sz w:val="22"/>
                <w:szCs w:val="22"/>
              </w:rPr>
            </w:pPr>
            <w:r w:rsidRPr="005D7AC3">
              <w:rPr>
                <w:b/>
                <w:sz w:val="22"/>
                <w:szCs w:val="22"/>
              </w:rPr>
              <w:t>Загальна позиція</w:t>
            </w:r>
            <w:r>
              <w:rPr>
                <w:b/>
                <w:sz w:val="22"/>
                <w:szCs w:val="22"/>
              </w:rPr>
              <w:t xml:space="preserve"> до підпунктів 10 та 11 пункту 4 проєкту рішення</w:t>
            </w:r>
          </w:p>
          <w:p w14:paraId="3778BFA5" w14:textId="77777777" w:rsidR="006F4698" w:rsidRDefault="006F4698" w:rsidP="00B542FA">
            <w:pPr>
              <w:rPr>
                <w:b/>
                <w:sz w:val="22"/>
                <w:szCs w:val="22"/>
              </w:rPr>
            </w:pPr>
            <w:r w:rsidRPr="005D7AC3">
              <w:rPr>
                <w:b/>
                <w:sz w:val="22"/>
                <w:szCs w:val="22"/>
              </w:rPr>
              <w:t>Не враховано</w:t>
            </w:r>
          </w:p>
          <w:p w14:paraId="4E8411E1" w14:textId="4A356404" w:rsidR="006F4698" w:rsidRPr="00A32516" w:rsidRDefault="006F4698" w:rsidP="005D7AC3">
            <w:pPr>
              <w:jc w:val="both"/>
              <w:rPr>
                <w:sz w:val="22"/>
                <w:szCs w:val="22"/>
              </w:rPr>
            </w:pPr>
            <w:r w:rsidRPr="00A32516">
              <w:rPr>
                <w:sz w:val="22"/>
                <w:szCs w:val="22"/>
              </w:rPr>
              <w:t xml:space="preserve">Під час здійснення заходів контролю доцільним є фіксація рівнів умовних одиниць у розрізі класів напруги станом на початок та кінець 2022, 2023 та 2024 років, з урахуванням виведення/ повернення активів, що розташовані на тимчасово окупованих територіях держави та/або над якими втрачено контроль унаслідок агресії </w:t>
            </w:r>
            <w:proofErr w:type="spellStart"/>
            <w:r w:rsidRPr="00A32516">
              <w:rPr>
                <w:sz w:val="22"/>
                <w:szCs w:val="22"/>
              </w:rPr>
              <w:t>рф</w:t>
            </w:r>
            <w:proofErr w:type="spellEnd"/>
            <w:r w:rsidRPr="00A32516">
              <w:rPr>
                <w:sz w:val="22"/>
                <w:szCs w:val="22"/>
              </w:rPr>
              <w:t>.</w:t>
            </w:r>
          </w:p>
          <w:p w14:paraId="6A47FA3F" w14:textId="41E3BA6A" w:rsidR="006F4698" w:rsidRPr="00A32516" w:rsidRDefault="006F4698" w:rsidP="005D7AC3">
            <w:pPr>
              <w:jc w:val="both"/>
              <w:rPr>
                <w:bCs/>
                <w:sz w:val="22"/>
                <w:szCs w:val="22"/>
              </w:rPr>
            </w:pPr>
            <w:r w:rsidRPr="00A32516">
              <w:rPr>
                <w:bCs/>
                <w:sz w:val="22"/>
                <w:szCs w:val="22"/>
              </w:rPr>
              <w:t>Зафіксовані зазначені показники необхідні для використання при проведенні заходів контролю за 2025 рік з метою підтвердження наданої ліцензіатами інформації щодо зниження умовних одиниць, врахованих у тарифах на послуги з розподілу з 01.01.2025.</w:t>
            </w:r>
          </w:p>
          <w:p w14:paraId="633779C9" w14:textId="77777777" w:rsidR="006F4698" w:rsidRPr="00C27A60" w:rsidRDefault="006F4698" w:rsidP="00AE4FBF">
            <w:pPr>
              <w:jc w:val="both"/>
              <w:rPr>
                <w:b/>
                <w:sz w:val="22"/>
                <w:szCs w:val="22"/>
              </w:rPr>
            </w:pPr>
          </w:p>
        </w:tc>
      </w:tr>
      <w:tr w:rsidR="006F4698" w:rsidRPr="00C27A60" w14:paraId="1DED1909" w14:textId="77777777" w:rsidTr="008D1DC5">
        <w:trPr>
          <w:trHeight w:val="595"/>
        </w:trPr>
        <w:tc>
          <w:tcPr>
            <w:tcW w:w="5839" w:type="dxa"/>
            <w:shd w:val="clear" w:color="auto" w:fill="auto"/>
            <w:vAlign w:val="center"/>
          </w:tcPr>
          <w:p w14:paraId="7FAAA47B" w14:textId="77777777" w:rsidR="00D63051" w:rsidRDefault="00D63051" w:rsidP="00D63051">
            <w:pPr>
              <w:ind w:firstLine="308"/>
              <w:contextualSpacing/>
              <w:rPr>
                <w:b/>
                <w:sz w:val="22"/>
                <w:szCs w:val="22"/>
              </w:rPr>
            </w:pPr>
          </w:p>
          <w:p w14:paraId="3EC39D57" w14:textId="22C1CB8D" w:rsidR="00D63051" w:rsidRPr="000B3A25" w:rsidRDefault="00D63051" w:rsidP="00D63051">
            <w:pPr>
              <w:ind w:firstLine="308"/>
              <w:contextualSpacing/>
              <w:rPr>
                <w:b/>
                <w:sz w:val="22"/>
                <w:szCs w:val="22"/>
              </w:rPr>
            </w:pPr>
            <w:r w:rsidRPr="000B3A25">
              <w:rPr>
                <w:b/>
                <w:sz w:val="22"/>
                <w:szCs w:val="22"/>
              </w:rPr>
              <w:t>&lt;…&gt;</w:t>
            </w:r>
          </w:p>
          <w:p w14:paraId="7C6303C1" w14:textId="77777777" w:rsidR="006F4698" w:rsidRPr="000B3A25" w:rsidRDefault="006F4698" w:rsidP="00AE4FBF">
            <w:pPr>
              <w:shd w:val="clear" w:color="auto" w:fill="FFFFFF"/>
              <w:jc w:val="both"/>
              <w:rPr>
                <w:sz w:val="22"/>
                <w:szCs w:val="22"/>
                <w:lang w:eastAsia="uk-UA"/>
              </w:rPr>
            </w:pPr>
            <w:r w:rsidRPr="000B3A25">
              <w:rPr>
                <w:sz w:val="22"/>
                <w:szCs w:val="22"/>
                <w:lang w:eastAsia="uk-UA"/>
              </w:rPr>
              <w:t xml:space="preserve">11) кількість умовних одиниць у розрізі класів напруги на кінець звітного періоду, </w:t>
            </w:r>
          </w:p>
          <w:p w14:paraId="30F75314" w14:textId="77777777" w:rsidR="006F4698" w:rsidRDefault="006F4698" w:rsidP="00AE4FBF">
            <w:pPr>
              <w:ind w:firstLine="308"/>
              <w:jc w:val="both"/>
              <w:rPr>
                <w:rFonts w:eastAsia="Calibri"/>
                <w:b/>
                <w:bCs/>
                <w:sz w:val="22"/>
                <w:szCs w:val="22"/>
                <w:shd w:val="clear" w:color="auto" w:fill="FFFFFF"/>
                <w:lang w:eastAsia="en-US"/>
              </w:rPr>
            </w:pPr>
            <w:r w:rsidRPr="000B3A25">
              <w:rPr>
                <w:rFonts w:eastAsia="Calibri"/>
                <w:b/>
                <w:bCs/>
                <w:sz w:val="22"/>
                <w:szCs w:val="22"/>
                <w:lang w:eastAsia="en-US"/>
              </w:rPr>
              <w:t>За 2022 - 2024 роки для АТ «ДТЕК ДОНЕЦЬКI ЕЛЕКТРОМЕРЕЖI», ПАТ «ЗАПОРIЖЖЯОБЛЕНЕРГО», АТ «ХЕРСОНОБЛЕНЕРГО» та ТОВ «ДТЕК ВИСОКОВОЛЬТНI МЕРЕ</w:t>
            </w:r>
            <w:bookmarkStart w:id="0" w:name="_GoBack"/>
            <w:bookmarkEnd w:id="0"/>
            <w:r w:rsidRPr="000B3A25">
              <w:rPr>
                <w:rFonts w:eastAsia="Calibri"/>
                <w:b/>
                <w:bCs/>
                <w:sz w:val="22"/>
                <w:szCs w:val="22"/>
                <w:lang w:eastAsia="en-US"/>
              </w:rPr>
              <w:t xml:space="preserve">ЖI» </w:t>
            </w:r>
            <w:r w:rsidRPr="000B3A25">
              <w:rPr>
                <w:rFonts w:eastAsia="Calibri"/>
                <w:b/>
                <w:bCs/>
                <w:sz w:val="22"/>
                <w:szCs w:val="22"/>
                <w:shd w:val="clear" w:color="auto" w:fill="FFFFFF"/>
                <w:lang w:eastAsia="en-US"/>
              </w:rPr>
              <w:t xml:space="preserve">кількість умовних одиниць у розрізі класів напруги на кінець звітного </w:t>
            </w:r>
            <w:r w:rsidRPr="000B3A25">
              <w:rPr>
                <w:rFonts w:eastAsia="Calibri"/>
                <w:b/>
                <w:bCs/>
                <w:sz w:val="22"/>
                <w:szCs w:val="22"/>
                <w:shd w:val="clear" w:color="auto" w:fill="FFFFFF"/>
                <w:lang w:eastAsia="en-US"/>
              </w:rPr>
              <w:lastRenderedPageBreak/>
              <w:t>періоду, з урахуванням виведення/повернення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1B3AE343" w14:textId="77777777" w:rsidR="00D63051" w:rsidRPr="000B3A25" w:rsidRDefault="00D63051" w:rsidP="00D63051">
            <w:pPr>
              <w:ind w:firstLine="308"/>
              <w:contextualSpacing/>
              <w:rPr>
                <w:b/>
                <w:sz w:val="22"/>
                <w:szCs w:val="22"/>
              </w:rPr>
            </w:pPr>
            <w:r w:rsidRPr="000B3A25">
              <w:rPr>
                <w:b/>
                <w:sz w:val="22"/>
                <w:szCs w:val="22"/>
              </w:rPr>
              <w:t>&lt;…&gt;</w:t>
            </w:r>
          </w:p>
          <w:p w14:paraId="7D940197" w14:textId="5074EEBB" w:rsidR="00D63051" w:rsidRPr="000B3A25" w:rsidRDefault="00D63051" w:rsidP="00AE4FBF">
            <w:pPr>
              <w:ind w:firstLine="308"/>
              <w:jc w:val="both"/>
              <w:rPr>
                <w:b/>
                <w:sz w:val="22"/>
                <w:szCs w:val="22"/>
              </w:rPr>
            </w:pPr>
          </w:p>
        </w:tc>
        <w:tc>
          <w:tcPr>
            <w:tcW w:w="5812" w:type="dxa"/>
            <w:shd w:val="clear" w:color="auto" w:fill="auto"/>
          </w:tcPr>
          <w:p w14:paraId="320DEF13" w14:textId="77777777" w:rsidR="006F4698" w:rsidRPr="00A4769E" w:rsidRDefault="006F4698" w:rsidP="00AE4FBF">
            <w:pPr>
              <w:ind w:firstLine="308"/>
              <w:jc w:val="both"/>
              <w:rPr>
                <w:i/>
                <w:sz w:val="22"/>
                <w:szCs w:val="22"/>
                <w:shd w:val="clear" w:color="auto" w:fill="FFFFFF"/>
              </w:rPr>
            </w:pPr>
            <w:r w:rsidRPr="00A4769E">
              <w:rPr>
                <w:i/>
                <w:sz w:val="22"/>
                <w:szCs w:val="22"/>
                <w:shd w:val="clear" w:color="auto" w:fill="FFFFFF"/>
              </w:rPr>
              <w:lastRenderedPageBreak/>
              <w:t>АТ ДТЕК «ДОНЕЦЬКІ ЕЛЕКТРОМЕРЕЖІ»</w:t>
            </w:r>
          </w:p>
          <w:p w14:paraId="7177FA14" w14:textId="77777777" w:rsidR="00D63051" w:rsidRPr="000B3A25" w:rsidRDefault="00D63051" w:rsidP="00D63051">
            <w:pPr>
              <w:ind w:firstLine="308"/>
              <w:contextualSpacing/>
              <w:rPr>
                <w:b/>
                <w:sz w:val="22"/>
                <w:szCs w:val="22"/>
              </w:rPr>
            </w:pPr>
            <w:r w:rsidRPr="000B3A25">
              <w:rPr>
                <w:b/>
                <w:sz w:val="22"/>
                <w:szCs w:val="22"/>
              </w:rPr>
              <w:t>&lt;…&gt;</w:t>
            </w:r>
          </w:p>
          <w:p w14:paraId="28933F64" w14:textId="77777777" w:rsidR="006F4698" w:rsidRPr="00AE4FBF" w:rsidRDefault="006F4698" w:rsidP="00AF5DFF">
            <w:pPr>
              <w:shd w:val="clear" w:color="auto" w:fill="FFFFFF"/>
              <w:jc w:val="both"/>
              <w:rPr>
                <w:sz w:val="22"/>
                <w:szCs w:val="22"/>
                <w:lang w:eastAsia="uk-UA"/>
              </w:rPr>
            </w:pPr>
            <w:r w:rsidRPr="00AE4FBF">
              <w:rPr>
                <w:sz w:val="22"/>
                <w:szCs w:val="22"/>
                <w:lang w:eastAsia="uk-UA"/>
              </w:rPr>
              <w:t xml:space="preserve">11) кількість умовних одиниць у розрізі класів напруги на кінець звітного періоду, </w:t>
            </w:r>
          </w:p>
          <w:p w14:paraId="33F3AB3B" w14:textId="77777777" w:rsidR="006F4698" w:rsidRDefault="006F4698" w:rsidP="00AE4FBF">
            <w:pPr>
              <w:ind w:firstLine="308"/>
              <w:jc w:val="both"/>
              <w:rPr>
                <w:i/>
                <w:sz w:val="22"/>
                <w:szCs w:val="22"/>
                <w:shd w:val="clear" w:color="auto" w:fill="FFFFFF"/>
              </w:rPr>
            </w:pPr>
          </w:p>
          <w:p w14:paraId="25FCD059" w14:textId="77777777" w:rsidR="006F4698" w:rsidRDefault="006F4698" w:rsidP="00AE4FBF">
            <w:pPr>
              <w:ind w:firstLine="308"/>
              <w:jc w:val="both"/>
              <w:rPr>
                <w:i/>
                <w:sz w:val="22"/>
                <w:szCs w:val="22"/>
                <w:shd w:val="clear" w:color="auto" w:fill="FFFFFF"/>
              </w:rPr>
            </w:pPr>
            <w:r>
              <w:rPr>
                <w:i/>
                <w:sz w:val="22"/>
                <w:szCs w:val="22"/>
                <w:shd w:val="clear" w:color="auto" w:fill="FFFFFF"/>
              </w:rPr>
              <w:t xml:space="preserve"> ОБГРУНТУВАННЯ </w:t>
            </w:r>
          </w:p>
          <w:p w14:paraId="097B512C" w14:textId="77777777" w:rsidR="006F4698" w:rsidRDefault="006F4698" w:rsidP="00AE4FBF">
            <w:pPr>
              <w:ind w:firstLine="308"/>
              <w:jc w:val="both"/>
              <w:rPr>
                <w:sz w:val="22"/>
                <w:szCs w:val="22"/>
                <w:shd w:val="clear" w:color="auto" w:fill="FFFFFF"/>
              </w:rPr>
            </w:pPr>
            <w:r w:rsidRPr="00A4769E">
              <w:rPr>
                <w:sz w:val="22"/>
                <w:szCs w:val="22"/>
                <w:shd w:val="clear" w:color="auto" w:fill="FFFFFF"/>
              </w:rPr>
              <w:t xml:space="preserve">Пропонується залишити у діючій редакції, тому що кількість умовних одиниць у розрізі класів напруги на кінець звітного періоду, з урахуванням виведення/повернення активів, що розташовані на </w:t>
            </w:r>
            <w:r w:rsidRPr="00A4769E">
              <w:rPr>
                <w:sz w:val="22"/>
                <w:szCs w:val="22"/>
                <w:shd w:val="clear" w:color="auto" w:fill="FFFFFF"/>
              </w:rPr>
              <w:lastRenderedPageBreak/>
              <w:t>тимчасово окупованих територіях держави та/або над якими втрачено контроль унаслідок російської військової агресії проти України для АТ «ДТЕК ДОНЕЦЬКI ЕЛЕКТРОМЕРЕЖI», ПАТ «ЗАПОРIЖЖЯОБЛЕНЕРГО», АТ «ХЕРСОНОБЛЕНЕРГО» та ТОВ «ДТЕК ВИСОКОВОЛЬТНI МЕРЕЖI» за 2022 – 2024 роки не буде приймати участь в розрахунках додатково отриманого/недоотриманого доходу (див. пояснення до пункту 4 вище)</w:t>
            </w:r>
          </w:p>
          <w:p w14:paraId="6ED1BEF8" w14:textId="39865CAE" w:rsidR="00D63051" w:rsidRPr="00D63051" w:rsidRDefault="00D63051" w:rsidP="00D63051">
            <w:pPr>
              <w:ind w:firstLine="308"/>
              <w:contextualSpacing/>
              <w:rPr>
                <w:b/>
                <w:sz w:val="22"/>
                <w:szCs w:val="22"/>
              </w:rPr>
            </w:pPr>
            <w:r w:rsidRPr="000B3A25">
              <w:rPr>
                <w:b/>
                <w:sz w:val="22"/>
                <w:szCs w:val="22"/>
              </w:rPr>
              <w:t>&lt;…&gt;</w:t>
            </w:r>
          </w:p>
        </w:tc>
        <w:tc>
          <w:tcPr>
            <w:tcW w:w="3546" w:type="dxa"/>
            <w:vMerge/>
            <w:shd w:val="clear" w:color="auto" w:fill="auto"/>
            <w:vAlign w:val="center"/>
          </w:tcPr>
          <w:p w14:paraId="0BD24D53" w14:textId="77777777" w:rsidR="006F4698" w:rsidRPr="00C27A60" w:rsidRDefault="006F4698" w:rsidP="00B50A98">
            <w:pPr>
              <w:rPr>
                <w:b/>
                <w:sz w:val="22"/>
                <w:szCs w:val="22"/>
              </w:rPr>
            </w:pPr>
          </w:p>
        </w:tc>
      </w:tr>
      <w:tr w:rsidR="00C27A60" w:rsidRPr="00C27A60" w14:paraId="6E1CB361" w14:textId="77777777" w:rsidTr="00E85B3F">
        <w:trPr>
          <w:trHeight w:val="595"/>
        </w:trPr>
        <w:tc>
          <w:tcPr>
            <w:tcW w:w="5839" w:type="dxa"/>
            <w:shd w:val="clear" w:color="auto" w:fill="auto"/>
          </w:tcPr>
          <w:p w14:paraId="2BE6245F" w14:textId="77777777" w:rsidR="00A4769E" w:rsidRDefault="00A4769E" w:rsidP="00A4769E">
            <w:pPr>
              <w:ind w:firstLine="308"/>
              <w:jc w:val="both"/>
              <w:rPr>
                <w:b/>
                <w:sz w:val="22"/>
                <w:szCs w:val="22"/>
              </w:rPr>
            </w:pPr>
          </w:p>
          <w:p w14:paraId="370E0988" w14:textId="77777777" w:rsidR="00A4769E" w:rsidRDefault="00A4769E" w:rsidP="00A4769E">
            <w:pPr>
              <w:ind w:firstLine="308"/>
              <w:jc w:val="both"/>
              <w:rPr>
                <w:b/>
                <w:sz w:val="22"/>
                <w:szCs w:val="22"/>
              </w:rPr>
            </w:pPr>
          </w:p>
          <w:p w14:paraId="30908903" w14:textId="77777777" w:rsidR="00A4769E" w:rsidRPr="00A4769E" w:rsidRDefault="00A4769E" w:rsidP="00A4769E">
            <w:pPr>
              <w:ind w:firstLine="308"/>
              <w:jc w:val="both"/>
              <w:rPr>
                <w:b/>
                <w:sz w:val="22"/>
                <w:szCs w:val="22"/>
              </w:rPr>
            </w:pPr>
            <w:r w:rsidRPr="00AE4FBF">
              <w:rPr>
                <w:b/>
                <w:sz w:val="22"/>
                <w:szCs w:val="22"/>
              </w:rPr>
              <w:t>&lt;…&gt;</w:t>
            </w:r>
          </w:p>
          <w:p w14:paraId="33E5136E" w14:textId="77777777" w:rsidR="00A4769E" w:rsidRPr="00A4769E" w:rsidRDefault="00A4769E" w:rsidP="00A4769E">
            <w:pPr>
              <w:jc w:val="both"/>
              <w:rPr>
                <w:sz w:val="22"/>
                <w:szCs w:val="22"/>
                <w:lang w:eastAsia="uk-UA"/>
              </w:rPr>
            </w:pPr>
            <w:r w:rsidRPr="00A4769E">
              <w:rPr>
                <w:sz w:val="22"/>
                <w:szCs w:val="22"/>
                <w:lang w:eastAsia="uk-UA"/>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7627268B" w14:textId="77777777" w:rsidR="00A4769E" w:rsidRPr="00A4769E" w:rsidRDefault="00A4769E" w:rsidP="00A4769E">
            <w:pPr>
              <w:pStyle w:val="af6"/>
              <w:tabs>
                <w:tab w:val="left" w:pos="284"/>
              </w:tabs>
              <w:ind w:left="0" w:firstLine="851"/>
              <w:jc w:val="both"/>
              <w:rPr>
                <w:rFonts w:ascii="Times New Roman" w:eastAsia="Times New Roman" w:hAnsi="Times New Roman"/>
                <w:lang w:eastAsia="uk-UA"/>
              </w:rPr>
            </w:pPr>
            <w:r w:rsidRPr="00A4769E">
              <w:rPr>
                <w:rFonts w:ascii="Times New Roman" w:eastAsia="Times New Roman" w:hAnsi="Times New Roman"/>
                <w:lang w:eastAsia="uk-UA"/>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 1175.</w:t>
            </w:r>
          </w:p>
          <w:p w14:paraId="56FE9C8E" w14:textId="77777777" w:rsidR="00A4769E" w:rsidRPr="00A4769E" w:rsidRDefault="00A4769E" w:rsidP="00A4769E">
            <w:pPr>
              <w:pStyle w:val="af6"/>
              <w:tabs>
                <w:tab w:val="left" w:pos="284"/>
              </w:tabs>
              <w:spacing w:after="240"/>
              <w:ind w:left="0" w:firstLine="851"/>
              <w:jc w:val="both"/>
              <w:rPr>
                <w:rFonts w:ascii="Times New Roman" w:eastAsia="Times New Roman" w:hAnsi="Times New Roman"/>
                <w:lang w:eastAsia="uk-UA"/>
              </w:rPr>
            </w:pPr>
            <w:r w:rsidRPr="00A4769E">
              <w:rPr>
                <w:rFonts w:ascii="Times New Roman" w:eastAsia="Times New Roman" w:hAnsi="Times New Roman"/>
                <w:lang w:eastAsia="uk-UA"/>
              </w:rPr>
              <w:t xml:space="preserve">За 2023 - 2024 роки для ПРАТ «КIРОВОГРАДОБЛЕНЕРГО», АТ «ЖИТОМИРОБЛЕНЕРГО», АТ «ЧЕРНIВЦIОБЛЕНЕРГО» та ПРАТ «РIВНЕОБЛЕНЕРГО» додатково отриманий (недоотриманий) дохід ліцензіата визначається як різниця між сумою необхідного доходу, передбаченого </w:t>
            </w:r>
            <w:r w:rsidRPr="00A4769E">
              <w:rPr>
                <w:rFonts w:ascii="Times New Roman" w:eastAsia="Times New Roman" w:hAnsi="Times New Roman"/>
                <w:lang w:eastAsia="uk-UA"/>
              </w:rPr>
              <w:lastRenderedPageBreak/>
              <w:t>встановленою річною структурою тарифів на 2023 - 2024 роки, та добутком фактичних помісячних обсягів розподілу електричної енергії і тарифів, що діяли у відповідному періоді.</w:t>
            </w:r>
          </w:p>
          <w:p w14:paraId="00C8C962" w14:textId="77777777" w:rsidR="00A4769E" w:rsidRPr="00C27A60" w:rsidRDefault="00A4769E" w:rsidP="00A4769E">
            <w:pPr>
              <w:jc w:val="both"/>
              <w:rPr>
                <w:sz w:val="22"/>
                <w:szCs w:val="22"/>
                <w:shd w:val="clear" w:color="auto" w:fill="FFFFFF"/>
              </w:rPr>
            </w:pPr>
            <w:r w:rsidRPr="00A4769E">
              <w:rPr>
                <w:sz w:val="22"/>
                <w:szCs w:val="22"/>
                <w:lang w:eastAsia="uk-UA"/>
              </w:rPr>
              <w:t>За 2022 - 2024 роки для АТ «ДТЕК ДОНЕЦЬКI ЕЛЕКТРОМЕРЕЖI», ПАТ «ЗАПОРIЖЖЯОБЛЕНЕРГО», АТ «ХЕРСОНОБЛЕНЕРГО» та ТОВ «ДТЕК ВИСОКОВОЛЬТНI МЕРЕЖI»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главою 5 цієї Методики</w:t>
            </w:r>
            <w:r w:rsidRPr="00A4769E">
              <w:rPr>
                <w:b/>
                <w:bCs/>
                <w:sz w:val="22"/>
                <w:szCs w:val="22"/>
                <w:lang w:eastAsia="uk-UA"/>
              </w:rPr>
              <w:t>, із застосуванням частки отриманого доходу (ЧОД), яка за 2022 - 2024 роки дорівнює співвідношенню фактичних помісячних обсягів розподілу електричної енергії (у відповідному періоді) до прогнозованих обсягів</w:t>
            </w:r>
            <w:r w:rsidRPr="00A4769E">
              <w:rPr>
                <w:sz w:val="22"/>
                <w:szCs w:val="22"/>
                <w:lang w:eastAsia="uk-UA"/>
              </w:rPr>
              <w:t xml:space="preserve"> </w:t>
            </w:r>
            <w:r w:rsidRPr="00A4769E">
              <w:rPr>
                <w:b/>
                <w:sz w:val="22"/>
                <w:szCs w:val="22"/>
                <w:lang w:eastAsia="uk-UA"/>
              </w:rPr>
              <w:t>розподілу електричної енергії,</w:t>
            </w:r>
            <w:r w:rsidRPr="00A4769E">
              <w:rPr>
                <w:b/>
                <w:bCs/>
                <w:sz w:val="22"/>
                <w:szCs w:val="22"/>
                <w:lang w:eastAsia="uk-UA"/>
              </w:rPr>
              <w:t xml:space="preserve"> врахованих при розрахунку тарифів, які діяли у відповідні періоди звітного року.</w:t>
            </w:r>
          </w:p>
        </w:tc>
        <w:tc>
          <w:tcPr>
            <w:tcW w:w="5812" w:type="dxa"/>
            <w:shd w:val="clear" w:color="auto" w:fill="auto"/>
          </w:tcPr>
          <w:p w14:paraId="31E26741" w14:textId="77777777" w:rsidR="00B91461" w:rsidRPr="00C27A60" w:rsidRDefault="00B91461" w:rsidP="00B91461">
            <w:pPr>
              <w:jc w:val="both"/>
              <w:rPr>
                <w:i/>
                <w:sz w:val="22"/>
                <w:szCs w:val="22"/>
                <w:shd w:val="clear" w:color="auto" w:fill="FFFFFF"/>
              </w:rPr>
            </w:pPr>
            <w:r w:rsidRPr="00C27A60">
              <w:rPr>
                <w:i/>
                <w:sz w:val="22"/>
                <w:szCs w:val="22"/>
                <w:shd w:val="clear" w:color="auto" w:fill="FFFFFF"/>
              </w:rPr>
              <w:lastRenderedPageBreak/>
              <w:t>АТ ДТЕК «ДОНЕЦЬКІ ЕЛЕКТРОМЕРЕЖІ»</w:t>
            </w:r>
          </w:p>
          <w:p w14:paraId="559FFA5C" w14:textId="77777777" w:rsidR="003A4C0F" w:rsidRPr="00C27A60" w:rsidRDefault="003A4C0F" w:rsidP="003A4C0F">
            <w:pPr>
              <w:jc w:val="both"/>
              <w:rPr>
                <w:sz w:val="22"/>
                <w:szCs w:val="22"/>
              </w:rPr>
            </w:pPr>
          </w:p>
          <w:p w14:paraId="75548747" w14:textId="77777777" w:rsidR="00A4769E" w:rsidRDefault="00A4769E" w:rsidP="00A4769E">
            <w:pPr>
              <w:ind w:firstLine="308"/>
              <w:jc w:val="both"/>
              <w:rPr>
                <w:b/>
                <w:sz w:val="22"/>
                <w:szCs w:val="22"/>
              </w:rPr>
            </w:pPr>
            <w:r w:rsidRPr="00AE4FBF">
              <w:rPr>
                <w:b/>
                <w:sz w:val="22"/>
                <w:szCs w:val="22"/>
              </w:rPr>
              <w:t>&lt;…&gt;</w:t>
            </w:r>
          </w:p>
          <w:p w14:paraId="46D6ADDF" w14:textId="77777777" w:rsidR="00A4769E" w:rsidRDefault="00A4769E" w:rsidP="00A4769E">
            <w:pPr>
              <w:jc w:val="both"/>
              <w:rPr>
                <w:lang w:eastAsia="uk-UA"/>
              </w:rPr>
            </w:pPr>
            <w:r>
              <w:rPr>
                <w:lang w:eastAsia="uk-UA"/>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34D92040" w14:textId="77777777" w:rsidR="00A4769E" w:rsidRDefault="00A4769E" w:rsidP="00A4769E">
            <w:pPr>
              <w:pStyle w:val="af6"/>
              <w:tabs>
                <w:tab w:val="left" w:pos="284"/>
              </w:tabs>
              <w:ind w:left="0" w:firstLine="851"/>
              <w:jc w:val="both"/>
              <w:rPr>
                <w:rFonts w:ascii="Times New Roman" w:eastAsia="Times New Roman" w:hAnsi="Times New Roman"/>
                <w:lang w:eastAsia="uk-UA"/>
              </w:rPr>
            </w:pPr>
            <w:r>
              <w:rPr>
                <w:rFonts w:ascii="Times New Roman" w:eastAsia="Times New Roman" w:hAnsi="Times New Roman"/>
                <w:lang w:eastAsia="uk-UA"/>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 1175.</w:t>
            </w:r>
          </w:p>
          <w:p w14:paraId="08B701BC" w14:textId="2F22B6BD" w:rsidR="00A4769E" w:rsidRDefault="00A4769E" w:rsidP="00A4769E">
            <w:pPr>
              <w:pStyle w:val="af6"/>
              <w:tabs>
                <w:tab w:val="left" w:pos="284"/>
              </w:tabs>
              <w:spacing w:after="240"/>
              <w:ind w:left="0" w:firstLine="851"/>
              <w:jc w:val="both"/>
              <w:rPr>
                <w:rFonts w:ascii="Times New Roman" w:eastAsia="Times New Roman" w:hAnsi="Times New Roman"/>
                <w:lang w:eastAsia="uk-UA"/>
              </w:rPr>
            </w:pPr>
            <w:r>
              <w:rPr>
                <w:rFonts w:ascii="Times New Roman" w:eastAsia="Times New Roman" w:hAnsi="Times New Roman"/>
                <w:lang w:eastAsia="uk-UA"/>
              </w:rPr>
              <w:t xml:space="preserve">За 2023 - 2024 роки для ПРАТ «КIРОВОГРАДОБЛЕНЕРГО», АТ «ЖИТОМИРОБЛЕНЕРГО», АТ «ЧЕРНIВЦIОБЛЕНЕРГО» та ПРАТ «РIВНЕОБЛЕНЕРГО»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2023 - 2024 роки, та добутком фактичних помісячних обсягів розподілу </w:t>
            </w:r>
            <w:r>
              <w:rPr>
                <w:rFonts w:ascii="Times New Roman" w:eastAsia="Times New Roman" w:hAnsi="Times New Roman"/>
                <w:lang w:eastAsia="uk-UA"/>
              </w:rPr>
              <w:lastRenderedPageBreak/>
              <w:t>електричної енергії і тарифів, що діяли у відповідному періоді.</w:t>
            </w:r>
          </w:p>
          <w:p w14:paraId="61C93BBD" w14:textId="00059BA7" w:rsidR="00A53A59" w:rsidRDefault="00A53A59" w:rsidP="00A4769E">
            <w:pPr>
              <w:pStyle w:val="af6"/>
              <w:tabs>
                <w:tab w:val="left" w:pos="284"/>
              </w:tabs>
              <w:spacing w:after="240"/>
              <w:ind w:left="0" w:firstLine="851"/>
              <w:jc w:val="both"/>
              <w:rPr>
                <w:rFonts w:ascii="Times New Roman" w:eastAsia="Times New Roman" w:hAnsi="Times New Roman"/>
                <w:lang w:eastAsia="uk-UA"/>
              </w:rPr>
            </w:pPr>
          </w:p>
          <w:p w14:paraId="72310EE9" w14:textId="77777777" w:rsidR="00A53A59" w:rsidRDefault="00A53A59" w:rsidP="00A4769E">
            <w:pPr>
              <w:pStyle w:val="af6"/>
              <w:tabs>
                <w:tab w:val="left" w:pos="284"/>
              </w:tabs>
              <w:spacing w:after="240"/>
              <w:ind w:left="0" w:firstLine="851"/>
              <w:jc w:val="both"/>
              <w:rPr>
                <w:rFonts w:ascii="Times New Roman" w:eastAsia="Times New Roman" w:hAnsi="Times New Roman"/>
                <w:lang w:eastAsia="uk-UA"/>
              </w:rPr>
            </w:pPr>
          </w:p>
          <w:p w14:paraId="6FCA2B89" w14:textId="77777777" w:rsidR="003A4C0F" w:rsidRPr="00A6789B" w:rsidRDefault="00A4769E" w:rsidP="00A4769E">
            <w:pPr>
              <w:jc w:val="both"/>
              <w:rPr>
                <w:b/>
                <w:bCs/>
                <w:lang w:eastAsia="uk-UA"/>
              </w:rPr>
            </w:pPr>
            <w:r>
              <w:rPr>
                <w:lang w:eastAsia="uk-UA"/>
              </w:rPr>
              <w:t>За 2022 - 2024 роки для АТ «ДТЕК ДОНЕЦЬКI ЕЛЕКТРОМЕРЕЖI», ПАТ «ЗАПОРIЖЖЯОБЛЕНЕРГО», АТ «ХЕРСОНОБЛЕНЕРГО» та ТОВ «ДТЕК ВИСОКОВОЛЬТНI МЕРЕЖI» додатково отриманий (недоотриманий) дохід ліцензіата внаслідок збільшення (зменшення) фактичних обсягів розподілу електричної енергії визначається згідно з главою 5 цієї Методики</w:t>
            </w:r>
            <w:r w:rsidRPr="00B50A98">
              <w:rPr>
                <w:b/>
                <w:bCs/>
                <w:lang w:eastAsia="uk-UA"/>
              </w:rPr>
              <w:t xml:space="preserve">, із застосуванням частки </w:t>
            </w:r>
            <w:r w:rsidRPr="00A6789B">
              <w:rPr>
                <w:b/>
                <w:bCs/>
                <w:lang w:eastAsia="uk-UA"/>
              </w:rPr>
              <w:t>отриманого доходу (ЧОД), яка за 2022 - 2024 роки дорівнює співвідношенню фактичного доходу,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відповідних класах на відповідний рік.</w:t>
            </w:r>
          </w:p>
          <w:p w14:paraId="39F52759" w14:textId="77777777" w:rsidR="00A4769E" w:rsidRPr="00A6789B" w:rsidRDefault="00A4769E" w:rsidP="00A4769E">
            <w:pPr>
              <w:jc w:val="both"/>
              <w:rPr>
                <w:i/>
                <w:sz w:val="22"/>
                <w:szCs w:val="22"/>
              </w:rPr>
            </w:pPr>
          </w:p>
          <w:p w14:paraId="0CF34F7C" w14:textId="77777777" w:rsidR="00A4769E" w:rsidRPr="00A4769E" w:rsidRDefault="00A4769E" w:rsidP="00A4769E">
            <w:pPr>
              <w:jc w:val="both"/>
              <w:rPr>
                <w:i/>
                <w:sz w:val="22"/>
                <w:szCs w:val="22"/>
              </w:rPr>
            </w:pPr>
            <w:r w:rsidRPr="00A4769E">
              <w:rPr>
                <w:i/>
                <w:sz w:val="22"/>
                <w:szCs w:val="22"/>
              </w:rPr>
              <w:t>ОБГРУНТУВАННЯ</w:t>
            </w:r>
          </w:p>
          <w:p w14:paraId="6D3D0CD4" w14:textId="3834B98C" w:rsidR="00A06090" w:rsidRPr="00A4769E" w:rsidRDefault="00A4769E" w:rsidP="00A6789B">
            <w:pPr>
              <w:jc w:val="both"/>
              <w:rPr>
                <w:sz w:val="22"/>
                <w:szCs w:val="22"/>
              </w:rPr>
            </w:pPr>
            <w:r w:rsidRPr="00A4769E">
              <w:rPr>
                <w:sz w:val="22"/>
                <w:szCs w:val="22"/>
              </w:rPr>
              <w:t>Пропонується залишити діючий підхід до розрахунку ЧОД. Запропонований розрахунок  ЧОД через загальні обсяги корисного відпуску некоректно відображує фактично отриманий дохід ліцензіата, тому що не враховує динаміку зміни обсягів корисного відпуску по класам напруги. Прийняття  запропонованих змін призведе до недоотримання доходу у разі більш значного  зниження обсягів на 2 класі напруги (як це має місце по ПРАТ «ДТЕК ДОНЕЦЬКІ ЕЛЕКТРОМЕРЕЖІ»), або до надлишково отриманого доходу у разі більш значного  зниження обсягів на 1 класі напруги.</w:t>
            </w:r>
          </w:p>
        </w:tc>
        <w:tc>
          <w:tcPr>
            <w:tcW w:w="3546" w:type="dxa"/>
            <w:shd w:val="clear" w:color="auto" w:fill="auto"/>
          </w:tcPr>
          <w:p w14:paraId="5A22177A" w14:textId="77777777" w:rsidR="00E85B3F" w:rsidRPr="00C27A60" w:rsidRDefault="00E85B3F" w:rsidP="00B542FA">
            <w:pPr>
              <w:rPr>
                <w:b/>
                <w:i/>
                <w:sz w:val="22"/>
                <w:szCs w:val="22"/>
              </w:rPr>
            </w:pPr>
          </w:p>
          <w:p w14:paraId="68EB83E7" w14:textId="0BCD8AF9" w:rsidR="00E85B3F" w:rsidRDefault="00E85B3F" w:rsidP="00B542FA">
            <w:pPr>
              <w:rPr>
                <w:b/>
                <w:i/>
                <w:sz w:val="22"/>
                <w:szCs w:val="22"/>
              </w:rPr>
            </w:pPr>
          </w:p>
          <w:p w14:paraId="675927A7" w14:textId="62533085" w:rsidR="00C0479F" w:rsidRDefault="00C0479F" w:rsidP="00B542FA">
            <w:pPr>
              <w:rPr>
                <w:b/>
                <w:i/>
                <w:sz w:val="22"/>
                <w:szCs w:val="22"/>
              </w:rPr>
            </w:pPr>
          </w:p>
          <w:p w14:paraId="2C794C03" w14:textId="4465E5EF" w:rsidR="00C0479F" w:rsidRDefault="00C0479F" w:rsidP="00B542FA">
            <w:pPr>
              <w:rPr>
                <w:b/>
                <w:i/>
                <w:sz w:val="22"/>
                <w:szCs w:val="22"/>
              </w:rPr>
            </w:pPr>
          </w:p>
          <w:p w14:paraId="1432C94F" w14:textId="7B619A1C" w:rsidR="00C0479F" w:rsidRDefault="00C0479F" w:rsidP="00B542FA">
            <w:pPr>
              <w:rPr>
                <w:b/>
                <w:i/>
                <w:sz w:val="22"/>
                <w:szCs w:val="22"/>
              </w:rPr>
            </w:pPr>
          </w:p>
          <w:p w14:paraId="6A623023" w14:textId="53DD943E" w:rsidR="00C0479F" w:rsidRDefault="00C0479F" w:rsidP="00B542FA">
            <w:pPr>
              <w:rPr>
                <w:b/>
                <w:i/>
                <w:sz w:val="22"/>
                <w:szCs w:val="22"/>
              </w:rPr>
            </w:pPr>
          </w:p>
          <w:p w14:paraId="768CED14" w14:textId="17702150" w:rsidR="00C0479F" w:rsidRDefault="00C0479F" w:rsidP="00B542FA">
            <w:pPr>
              <w:rPr>
                <w:b/>
                <w:i/>
                <w:sz w:val="22"/>
                <w:szCs w:val="22"/>
              </w:rPr>
            </w:pPr>
          </w:p>
          <w:p w14:paraId="43BAB615" w14:textId="6CE80A0F" w:rsidR="00C0479F" w:rsidRDefault="00C0479F" w:rsidP="00B542FA">
            <w:pPr>
              <w:rPr>
                <w:b/>
                <w:i/>
                <w:sz w:val="22"/>
                <w:szCs w:val="22"/>
              </w:rPr>
            </w:pPr>
          </w:p>
          <w:p w14:paraId="1CD6D7C3" w14:textId="7920267C" w:rsidR="00C0479F" w:rsidRDefault="00C0479F" w:rsidP="00B542FA">
            <w:pPr>
              <w:rPr>
                <w:b/>
                <w:i/>
                <w:sz w:val="22"/>
                <w:szCs w:val="22"/>
              </w:rPr>
            </w:pPr>
          </w:p>
          <w:p w14:paraId="61714A4C" w14:textId="523C2B23" w:rsidR="00C0479F" w:rsidRDefault="00C0479F" w:rsidP="00B542FA">
            <w:pPr>
              <w:rPr>
                <w:b/>
                <w:i/>
                <w:sz w:val="22"/>
                <w:szCs w:val="22"/>
              </w:rPr>
            </w:pPr>
          </w:p>
          <w:p w14:paraId="694FBC46" w14:textId="32F6AC1D" w:rsidR="00C0479F" w:rsidRDefault="00C0479F" w:rsidP="00B542FA">
            <w:pPr>
              <w:rPr>
                <w:b/>
                <w:i/>
                <w:sz w:val="22"/>
                <w:szCs w:val="22"/>
              </w:rPr>
            </w:pPr>
          </w:p>
          <w:p w14:paraId="3C35907A" w14:textId="6DF47E25" w:rsidR="00C0479F" w:rsidRDefault="00C0479F" w:rsidP="00B542FA">
            <w:pPr>
              <w:rPr>
                <w:b/>
                <w:i/>
                <w:sz w:val="22"/>
                <w:szCs w:val="22"/>
              </w:rPr>
            </w:pPr>
          </w:p>
          <w:p w14:paraId="57984BE0" w14:textId="08A3A2BA" w:rsidR="00C0479F" w:rsidRDefault="00C0479F" w:rsidP="00B542FA">
            <w:pPr>
              <w:rPr>
                <w:b/>
                <w:i/>
                <w:sz w:val="22"/>
                <w:szCs w:val="22"/>
              </w:rPr>
            </w:pPr>
          </w:p>
          <w:p w14:paraId="08A65E97" w14:textId="71876FFD" w:rsidR="00C0479F" w:rsidRDefault="00C0479F" w:rsidP="00B542FA">
            <w:pPr>
              <w:rPr>
                <w:b/>
                <w:i/>
                <w:sz w:val="22"/>
                <w:szCs w:val="22"/>
              </w:rPr>
            </w:pPr>
          </w:p>
          <w:p w14:paraId="73E03265" w14:textId="7AFA45B3" w:rsidR="00C0479F" w:rsidRDefault="00C0479F" w:rsidP="00B542FA">
            <w:pPr>
              <w:rPr>
                <w:b/>
                <w:i/>
                <w:sz w:val="22"/>
                <w:szCs w:val="22"/>
              </w:rPr>
            </w:pPr>
          </w:p>
          <w:p w14:paraId="6E50CB5A" w14:textId="2C96281E" w:rsidR="00C0479F" w:rsidRDefault="00C0479F" w:rsidP="00B542FA">
            <w:pPr>
              <w:rPr>
                <w:b/>
                <w:i/>
                <w:sz w:val="22"/>
                <w:szCs w:val="22"/>
              </w:rPr>
            </w:pPr>
          </w:p>
          <w:p w14:paraId="178DDA72" w14:textId="38020F32" w:rsidR="00C0479F" w:rsidRDefault="00C0479F" w:rsidP="00B542FA">
            <w:pPr>
              <w:rPr>
                <w:b/>
                <w:i/>
                <w:sz w:val="22"/>
                <w:szCs w:val="22"/>
              </w:rPr>
            </w:pPr>
          </w:p>
          <w:p w14:paraId="420DCB74" w14:textId="2642F643" w:rsidR="00C0479F" w:rsidRDefault="00C0479F" w:rsidP="00B542FA">
            <w:pPr>
              <w:rPr>
                <w:b/>
                <w:i/>
                <w:sz w:val="22"/>
                <w:szCs w:val="22"/>
              </w:rPr>
            </w:pPr>
          </w:p>
          <w:p w14:paraId="71EE2900" w14:textId="58A7DBD6" w:rsidR="00C0479F" w:rsidRDefault="00C0479F" w:rsidP="00B542FA">
            <w:pPr>
              <w:rPr>
                <w:b/>
                <w:i/>
                <w:sz w:val="22"/>
                <w:szCs w:val="22"/>
              </w:rPr>
            </w:pPr>
          </w:p>
          <w:p w14:paraId="3AA97DE1" w14:textId="134EF21D" w:rsidR="00C0479F" w:rsidRDefault="00C0479F" w:rsidP="00B542FA">
            <w:pPr>
              <w:rPr>
                <w:b/>
                <w:i/>
                <w:sz w:val="22"/>
                <w:szCs w:val="22"/>
              </w:rPr>
            </w:pPr>
          </w:p>
          <w:p w14:paraId="56AB000D" w14:textId="792DD16E" w:rsidR="00C0479F" w:rsidRDefault="00C0479F" w:rsidP="00B542FA">
            <w:pPr>
              <w:rPr>
                <w:b/>
                <w:i/>
                <w:sz w:val="22"/>
                <w:szCs w:val="22"/>
              </w:rPr>
            </w:pPr>
          </w:p>
          <w:p w14:paraId="6DC85993" w14:textId="3A215CE8" w:rsidR="00C0479F" w:rsidRDefault="00C0479F" w:rsidP="00B542FA">
            <w:pPr>
              <w:rPr>
                <w:b/>
                <w:i/>
                <w:sz w:val="22"/>
                <w:szCs w:val="22"/>
              </w:rPr>
            </w:pPr>
          </w:p>
          <w:p w14:paraId="2CF5F78A" w14:textId="73263901" w:rsidR="00C0479F" w:rsidRDefault="00C0479F" w:rsidP="00B542FA">
            <w:pPr>
              <w:rPr>
                <w:b/>
                <w:i/>
                <w:sz w:val="22"/>
                <w:szCs w:val="22"/>
              </w:rPr>
            </w:pPr>
          </w:p>
          <w:p w14:paraId="1C65CD55" w14:textId="0882F400" w:rsidR="00C0479F" w:rsidRDefault="00C0479F" w:rsidP="00B542FA">
            <w:pPr>
              <w:rPr>
                <w:b/>
                <w:i/>
                <w:sz w:val="22"/>
                <w:szCs w:val="22"/>
              </w:rPr>
            </w:pPr>
          </w:p>
          <w:p w14:paraId="22D7475E" w14:textId="37D9B0CC" w:rsidR="00C0479F" w:rsidRDefault="00C0479F" w:rsidP="00B542FA">
            <w:pPr>
              <w:rPr>
                <w:b/>
                <w:i/>
                <w:sz w:val="22"/>
                <w:szCs w:val="22"/>
              </w:rPr>
            </w:pPr>
          </w:p>
          <w:p w14:paraId="35605F2C" w14:textId="4D2FE563" w:rsidR="00C0479F" w:rsidRDefault="00C0479F" w:rsidP="00B542FA">
            <w:pPr>
              <w:rPr>
                <w:b/>
                <w:i/>
                <w:sz w:val="22"/>
                <w:szCs w:val="22"/>
              </w:rPr>
            </w:pPr>
          </w:p>
          <w:p w14:paraId="417FEEF7" w14:textId="63FF5810" w:rsidR="00C0479F" w:rsidRDefault="00C0479F" w:rsidP="00B542FA">
            <w:pPr>
              <w:rPr>
                <w:b/>
                <w:i/>
                <w:sz w:val="22"/>
                <w:szCs w:val="22"/>
              </w:rPr>
            </w:pPr>
          </w:p>
          <w:p w14:paraId="55E251F3" w14:textId="666EC5F2" w:rsidR="00C0479F" w:rsidRDefault="00C0479F" w:rsidP="00B542FA">
            <w:pPr>
              <w:rPr>
                <w:b/>
                <w:i/>
                <w:sz w:val="22"/>
                <w:szCs w:val="22"/>
              </w:rPr>
            </w:pPr>
          </w:p>
          <w:p w14:paraId="42ACB99E" w14:textId="7759C108" w:rsidR="00C0479F" w:rsidRDefault="00C0479F" w:rsidP="00B542FA">
            <w:pPr>
              <w:rPr>
                <w:b/>
                <w:i/>
                <w:sz w:val="22"/>
                <w:szCs w:val="22"/>
              </w:rPr>
            </w:pPr>
          </w:p>
          <w:p w14:paraId="494F398E" w14:textId="7F5FDAEB" w:rsidR="00C0479F" w:rsidRDefault="00C0479F" w:rsidP="00B542FA">
            <w:pPr>
              <w:rPr>
                <w:b/>
                <w:i/>
                <w:sz w:val="22"/>
                <w:szCs w:val="22"/>
              </w:rPr>
            </w:pPr>
          </w:p>
          <w:p w14:paraId="1B5E5D83" w14:textId="0E36330D" w:rsidR="00C0479F" w:rsidRDefault="00C0479F" w:rsidP="00B542FA">
            <w:pPr>
              <w:rPr>
                <w:b/>
                <w:i/>
                <w:sz w:val="22"/>
                <w:szCs w:val="22"/>
              </w:rPr>
            </w:pPr>
          </w:p>
          <w:p w14:paraId="50511FA3" w14:textId="5F15F828" w:rsidR="00C0479F" w:rsidRDefault="00C0479F" w:rsidP="00B542FA">
            <w:pPr>
              <w:rPr>
                <w:b/>
                <w:i/>
                <w:sz w:val="22"/>
                <w:szCs w:val="22"/>
              </w:rPr>
            </w:pPr>
          </w:p>
          <w:p w14:paraId="68DDF35E" w14:textId="77777777" w:rsidR="00A53A59" w:rsidRPr="00C27A60" w:rsidRDefault="00A53A59" w:rsidP="00B542FA">
            <w:pPr>
              <w:rPr>
                <w:b/>
                <w:i/>
                <w:sz w:val="22"/>
                <w:szCs w:val="22"/>
              </w:rPr>
            </w:pPr>
          </w:p>
          <w:p w14:paraId="55842712" w14:textId="77777777" w:rsidR="000B2FB4" w:rsidRDefault="000B2FB4" w:rsidP="000B2FB4">
            <w:pPr>
              <w:rPr>
                <w:b/>
                <w:sz w:val="22"/>
                <w:szCs w:val="22"/>
              </w:rPr>
            </w:pPr>
          </w:p>
          <w:p w14:paraId="0BCC44C9" w14:textId="77777777" w:rsidR="000B2FB4" w:rsidRPr="00C0479F" w:rsidRDefault="000B2FB4" w:rsidP="000B2FB4">
            <w:pPr>
              <w:rPr>
                <w:b/>
                <w:sz w:val="22"/>
                <w:szCs w:val="22"/>
              </w:rPr>
            </w:pPr>
            <w:r w:rsidRPr="00C0479F">
              <w:rPr>
                <w:b/>
                <w:sz w:val="22"/>
                <w:szCs w:val="22"/>
              </w:rPr>
              <w:t>Не враховано</w:t>
            </w:r>
          </w:p>
          <w:p w14:paraId="2E3013EE" w14:textId="43F43CCE" w:rsidR="00E85B3F" w:rsidRPr="00C0479F" w:rsidRDefault="00A06090" w:rsidP="00B542FA">
            <w:pPr>
              <w:rPr>
                <w:b/>
                <w:sz w:val="22"/>
                <w:szCs w:val="22"/>
              </w:rPr>
            </w:pPr>
            <w:r w:rsidRPr="00C0479F">
              <w:rPr>
                <w:b/>
                <w:sz w:val="22"/>
                <w:szCs w:val="22"/>
              </w:rPr>
              <w:t xml:space="preserve">Недостатньо </w:t>
            </w:r>
            <w:r w:rsidR="00C0479F" w:rsidRPr="00C0479F">
              <w:rPr>
                <w:b/>
                <w:sz w:val="22"/>
                <w:szCs w:val="22"/>
              </w:rPr>
              <w:t>обґрунтована пропозиція</w:t>
            </w:r>
          </w:p>
          <w:p w14:paraId="7A4C94AE" w14:textId="4BD4ADC0" w:rsidR="000B2FB4" w:rsidRPr="00C0479F" w:rsidRDefault="000B2FB4" w:rsidP="000B2FB4">
            <w:pPr>
              <w:jc w:val="both"/>
              <w:rPr>
                <w:bCs/>
                <w:sz w:val="22"/>
                <w:szCs w:val="22"/>
              </w:rPr>
            </w:pPr>
            <w:r w:rsidRPr="00C0479F">
              <w:rPr>
                <w:bCs/>
                <w:sz w:val="22"/>
                <w:szCs w:val="22"/>
              </w:rPr>
              <w:t xml:space="preserve">Проєктом змін передбачено оптимальний підхід до прифронтових ОСР, який ґрунтується на підставі здійсненого аналізу, що забезпечує прозорий механізм визначення </w:t>
            </w:r>
            <w:r w:rsidRPr="00C0479F">
              <w:rPr>
                <w:sz w:val="22"/>
                <w:szCs w:val="22"/>
                <w:lang w:eastAsia="uk-UA"/>
              </w:rPr>
              <w:t xml:space="preserve">додатково отриманого або недоотриманого </w:t>
            </w:r>
            <w:r w:rsidRPr="00C0479F">
              <w:rPr>
                <w:bCs/>
                <w:sz w:val="22"/>
                <w:szCs w:val="22"/>
              </w:rPr>
              <w:t>доходу ліцензіат</w:t>
            </w:r>
            <w:r w:rsidR="00A06090" w:rsidRPr="00C0479F">
              <w:rPr>
                <w:bCs/>
                <w:sz w:val="22"/>
                <w:szCs w:val="22"/>
              </w:rPr>
              <w:t>ів</w:t>
            </w:r>
            <w:r w:rsidRPr="00C0479F">
              <w:rPr>
                <w:bCs/>
                <w:sz w:val="22"/>
                <w:szCs w:val="22"/>
              </w:rPr>
              <w:t>.</w:t>
            </w:r>
          </w:p>
          <w:p w14:paraId="1A2DE7A7" w14:textId="77777777" w:rsidR="002A6E11" w:rsidRPr="00C27A60" w:rsidRDefault="002A6E11" w:rsidP="002A6E11">
            <w:pPr>
              <w:jc w:val="both"/>
              <w:rPr>
                <w:sz w:val="22"/>
                <w:szCs w:val="22"/>
              </w:rPr>
            </w:pPr>
          </w:p>
        </w:tc>
      </w:tr>
      <w:tr w:rsidR="00A4769E" w:rsidRPr="00C27A60" w14:paraId="79F98D12" w14:textId="77777777" w:rsidTr="00E85B3F">
        <w:trPr>
          <w:trHeight w:val="595"/>
        </w:trPr>
        <w:tc>
          <w:tcPr>
            <w:tcW w:w="5839" w:type="dxa"/>
            <w:shd w:val="clear" w:color="auto" w:fill="auto"/>
          </w:tcPr>
          <w:p w14:paraId="5E1A758A" w14:textId="77777777" w:rsidR="00A4769E" w:rsidRDefault="00A4769E" w:rsidP="00A4769E">
            <w:pPr>
              <w:jc w:val="both"/>
              <w:rPr>
                <w:sz w:val="22"/>
                <w:szCs w:val="22"/>
                <w:lang w:eastAsia="uk-UA"/>
              </w:rPr>
            </w:pPr>
          </w:p>
          <w:p w14:paraId="381C1F27" w14:textId="77777777" w:rsidR="00A4769E" w:rsidRDefault="00A4769E" w:rsidP="00A4769E">
            <w:pPr>
              <w:jc w:val="both"/>
              <w:rPr>
                <w:sz w:val="22"/>
                <w:szCs w:val="22"/>
                <w:lang w:eastAsia="uk-UA"/>
              </w:rPr>
            </w:pPr>
          </w:p>
          <w:p w14:paraId="29E3E3DA" w14:textId="77777777" w:rsidR="00A4769E" w:rsidRPr="00A4769E" w:rsidRDefault="00A4769E" w:rsidP="00A4769E">
            <w:pPr>
              <w:jc w:val="both"/>
              <w:rPr>
                <w:sz w:val="22"/>
                <w:szCs w:val="22"/>
                <w:lang w:eastAsia="uk-UA"/>
              </w:rPr>
            </w:pPr>
            <w:r w:rsidRPr="00A4769E">
              <w:rPr>
                <w:sz w:val="22"/>
                <w:szCs w:val="22"/>
                <w:lang w:eastAsia="uk-UA"/>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6A8DD04" w14:textId="77777777" w:rsidR="00A4769E" w:rsidRPr="00A4769E" w:rsidRDefault="00A4769E" w:rsidP="00A4769E">
            <w:pPr>
              <w:ind w:firstLine="709"/>
              <w:jc w:val="both"/>
              <w:rPr>
                <w:sz w:val="22"/>
                <w:szCs w:val="22"/>
                <w:lang w:eastAsia="uk-UA"/>
              </w:rPr>
            </w:pPr>
            <w:r w:rsidRPr="00A4769E">
              <w:rPr>
                <w:sz w:val="22"/>
                <w:szCs w:val="22"/>
                <w:lang w:eastAsia="uk-UA"/>
              </w:rPr>
              <w:t xml:space="preserve">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w:t>
            </w:r>
            <w:r w:rsidRPr="00A4769E">
              <w:rPr>
                <w:sz w:val="22"/>
                <w:szCs w:val="22"/>
                <w:lang w:eastAsia="uk-UA"/>
              </w:rPr>
              <w:lastRenderedPageBreak/>
              <w:t>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3733AC7C" w14:textId="77777777" w:rsidR="00A4769E" w:rsidRPr="00A4769E" w:rsidRDefault="00A4769E" w:rsidP="00A4769E">
            <w:pPr>
              <w:pStyle w:val="af6"/>
              <w:tabs>
                <w:tab w:val="left" w:pos="284"/>
              </w:tabs>
              <w:ind w:left="0" w:firstLine="851"/>
              <w:jc w:val="both"/>
              <w:rPr>
                <w:rFonts w:ascii="Times New Roman" w:eastAsia="Times New Roman" w:hAnsi="Times New Roman"/>
                <w:lang w:eastAsia="uk-UA"/>
              </w:rPr>
            </w:pPr>
            <w:r w:rsidRPr="00A4769E">
              <w:rPr>
                <w:rFonts w:ascii="Times New Roman" w:eastAsia="Times New Roman" w:hAnsi="Times New Roman"/>
                <w:lang w:eastAsia="uk-UA"/>
              </w:rPr>
              <w:t>За 2023 та 2024 роки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w:t>
            </w:r>
          </w:p>
          <w:p w14:paraId="546CD634" w14:textId="77777777" w:rsidR="00A4769E" w:rsidRPr="00A4769E" w:rsidRDefault="00A4769E" w:rsidP="00A4769E">
            <w:pPr>
              <w:pStyle w:val="af6"/>
              <w:tabs>
                <w:tab w:val="left" w:pos="284"/>
              </w:tabs>
              <w:spacing w:after="240"/>
              <w:ind w:left="0"/>
              <w:jc w:val="both"/>
              <w:rPr>
                <w:rFonts w:ascii="Times New Roman" w:eastAsia="Times New Roman" w:hAnsi="Times New Roman"/>
                <w:lang w:eastAsia="uk-UA"/>
              </w:rPr>
            </w:pPr>
            <w:r w:rsidRPr="00A4769E">
              <w:rPr>
                <w:rFonts w:ascii="Times New Roman" w:eastAsia="Times New Roman" w:hAnsi="Times New Roman"/>
                <w:b/>
                <w:bCs/>
                <w:lang w:eastAsia="uk-UA"/>
              </w:rPr>
              <w:t>За 2022 – 2024 роки для</w:t>
            </w:r>
            <w:r w:rsidRPr="00A4769E">
              <w:rPr>
                <w:rFonts w:ascii="Times New Roman" w:eastAsia="Times New Roman" w:hAnsi="Times New Roman"/>
                <w:lang w:eastAsia="uk-UA"/>
              </w:rPr>
              <w:t xml:space="preserve"> </w:t>
            </w:r>
            <w:r w:rsidRPr="00A4769E">
              <w:rPr>
                <w:rFonts w:ascii="Times New Roman" w:eastAsia="Times New Roman" w:hAnsi="Times New Roman"/>
                <w:b/>
                <w:bCs/>
                <w:lang w:eastAsia="uk-UA"/>
              </w:rPr>
              <w:t xml:space="preserve">АТ «ДТЕК ДОНЕЦЬКІ ЕЛЕКТРОМЕРЕЖІ», ПАТ «ЗАПОРІЖЖЯОБЛЕНЕРГО», </w:t>
            </w:r>
            <w:r w:rsidRPr="00A4769E">
              <w:rPr>
                <w:rFonts w:ascii="Times New Roman" w:eastAsia="Times New Roman" w:hAnsi="Times New Roman"/>
                <w:b/>
                <w:bCs/>
                <w:lang w:eastAsia="uk-UA"/>
              </w:rPr>
              <w:br/>
              <w:t>ТОВ «ДТЕК ВИСОКОВОЛЬТНІ МЕРЕЖІ» та за 2022 рік для АТ «ХЕРСОНОБЛЕНЕРГО»</w:t>
            </w:r>
            <w:r w:rsidRPr="00A4769E">
              <w:rPr>
                <w:rFonts w:ascii="Times New Roman" w:eastAsia="Times New Roman" w:hAnsi="Times New Roman"/>
                <w:lang w:eastAsia="uk-UA"/>
              </w:rPr>
              <w:t xml:space="preserve"> додатково отриманий або недоотриманий дохід </w:t>
            </w:r>
            <w:r w:rsidRPr="00A4769E">
              <w:rPr>
                <w:rFonts w:ascii="Times New Roman" w:eastAsia="Times New Roman" w:hAnsi="Times New Roman"/>
                <w:b/>
                <w:bCs/>
                <w:lang w:eastAsia="uk-UA"/>
              </w:rPr>
              <w:t>ліцензіата</w:t>
            </w:r>
            <w:r w:rsidRPr="00A4769E">
              <w:rPr>
                <w:rFonts w:ascii="Times New Roman" w:eastAsia="Times New Roman" w:hAnsi="Times New Roman"/>
                <w:lang w:eastAsia="uk-UA"/>
              </w:rPr>
              <w:t xml:space="preserve"> визначається із застосуванням частки отриманого доходу (ЧОД) </w:t>
            </w:r>
            <w:r w:rsidRPr="00A4769E">
              <w:rPr>
                <w:rFonts w:ascii="Times New Roman" w:eastAsia="Times New Roman" w:hAnsi="Times New Roman"/>
                <w:b/>
                <w:bCs/>
                <w:strike/>
                <w:lang w:eastAsia="uk-UA"/>
              </w:rPr>
              <w:t>такими ліцензіатами за відповідний рік до середньорічного необхідного доходу, передбаченого встановленими структурами тарифів</w:t>
            </w:r>
            <w:r w:rsidRPr="00A4769E">
              <w:rPr>
                <w:rFonts w:ascii="Times New Roman" w:eastAsia="Times New Roman" w:hAnsi="Times New Roman"/>
                <w:lang w:eastAsia="uk-UA"/>
              </w:rPr>
              <w:t>, за вирахуванням статті «операційні контрольовані витрати», за формулою</w:t>
            </w:r>
          </w:p>
          <w:p w14:paraId="6E627BD4" w14:textId="77777777" w:rsidR="00A4769E" w:rsidRPr="00A4769E" w:rsidRDefault="00A4769E" w:rsidP="00A4769E">
            <w:pPr>
              <w:pStyle w:val="af6"/>
              <w:tabs>
                <w:tab w:val="left" w:pos="284"/>
              </w:tabs>
              <w:spacing w:after="240"/>
              <w:ind w:left="0" w:firstLine="851"/>
              <w:jc w:val="both"/>
              <w:rPr>
                <w:rFonts w:ascii="Times New Roman" w:eastAsia="Times New Roman" w:hAnsi="Times New Roman"/>
                <w:lang w:eastAsia="uk-UA"/>
              </w:rPr>
            </w:pPr>
          </w:p>
          <w:p w14:paraId="53356648" w14:textId="77777777" w:rsidR="00A4769E" w:rsidRPr="00A4769E" w:rsidRDefault="00D771BE" w:rsidP="00A4769E">
            <w:pPr>
              <w:pStyle w:val="af6"/>
              <w:tabs>
                <w:tab w:val="left" w:pos="284"/>
              </w:tabs>
              <w:spacing w:after="240"/>
              <w:ind w:left="0"/>
              <w:jc w:val="both"/>
              <w:rPr>
                <w:rFonts w:ascii="Times New Roman" w:eastAsia="Times New Roman" w:hAnsi="Times New Roman"/>
                <w:lang w:eastAsia="uk-UA"/>
              </w:rPr>
            </w:pPr>
            <m:oMathPara>
              <m:oMath>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ДД</m:t>
                    </m:r>
                  </m:e>
                  <m:sub>
                    <m:r>
                      <m:rPr>
                        <m:sty m:val="p"/>
                      </m:rPr>
                      <w:rPr>
                        <w:rFonts w:ascii="Cambria Math" w:eastAsia="Times New Roman" w:hAnsi="Cambria Math"/>
                        <w:lang w:eastAsia="uk-UA"/>
                      </w:rPr>
                      <m:t xml:space="preserve">О(Н) </m:t>
                    </m:r>
                  </m:sub>
                  <m:sup/>
                </m:sSubSup>
                <m:r>
                  <m:rPr>
                    <m:sty m:val="p"/>
                  </m:rPr>
                  <w:rPr>
                    <w:rFonts w:ascii="Cambria Math" w:eastAsia="Times New Roman" w:hAnsi="Cambria Math"/>
                    <w:lang w:eastAsia="uk-UA"/>
                  </w:rPr>
                  <m:t>=</m:t>
                </m:r>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(НД</m:t>
                    </m:r>
                  </m:e>
                  <m:sub>
                    <m:r>
                      <m:rPr>
                        <m:sty m:val="p"/>
                      </m:rPr>
                      <w:rPr>
                        <w:rFonts w:ascii="Cambria Math" w:eastAsia="Times New Roman" w:hAnsi="Cambria Math"/>
                        <w:lang w:eastAsia="uk-UA"/>
                      </w:rPr>
                      <m:t xml:space="preserve">т </m:t>
                    </m:r>
                  </m:sub>
                  <m:sup/>
                </m:sSubSup>
                <m:r>
                  <m:rPr>
                    <m:sty m:val="p"/>
                  </m:rPr>
                  <w:rPr>
                    <w:rFonts w:ascii="Cambria Math" w:eastAsia="Times New Roman" w:hAnsi="Cambria Math"/>
                    <w:lang w:eastAsia="uk-UA"/>
                  </w:rPr>
                  <m:t>-</m:t>
                </m:r>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ОКВ</m:t>
                    </m:r>
                  </m:e>
                  <m:sub>
                    <m:r>
                      <m:rPr>
                        <m:sty m:val="p"/>
                      </m:rPr>
                      <w:rPr>
                        <w:rFonts w:ascii="Cambria Math" w:eastAsia="Times New Roman" w:hAnsi="Cambria Math"/>
                        <w:lang w:eastAsia="uk-UA"/>
                      </w:rPr>
                      <m:t xml:space="preserve">т </m:t>
                    </m:r>
                  </m:sub>
                  <m:sup/>
                </m:sSubSup>
                <m:r>
                  <m:rPr>
                    <m:sty m:val="p"/>
                  </m:rPr>
                  <w:rPr>
                    <w:rFonts w:ascii="Cambria Math" w:eastAsia="Times New Roman" w:hAnsi="Cambria Math"/>
                    <w:lang w:eastAsia="uk-UA"/>
                  </w:rPr>
                  <m:t>)×(ЧОД-1),</m:t>
                </m:r>
              </m:oMath>
            </m:oMathPara>
          </w:p>
          <w:p w14:paraId="42A1B225" w14:textId="77777777" w:rsidR="00A4769E" w:rsidRPr="00A4769E" w:rsidRDefault="00A4769E" w:rsidP="00A4769E">
            <w:pPr>
              <w:pStyle w:val="af6"/>
              <w:tabs>
                <w:tab w:val="left" w:pos="284"/>
              </w:tabs>
              <w:ind w:left="0"/>
              <w:jc w:val="both"/>
              <w:rPr>
                <w:rFonts w:ascii="Times New Roman" w:eastAsia="Times New Roman" w:hAnsi="Times New Roman"/>
                <w:b/>
                <w:bCs/>
                <w:lang w:eastAsia="uk-UA"/>
              </w:rPr>
            </w:pPr>
            <w:r w:rsidRPr="00A4769E">
              <w:rPr>
                <w:rFonts w:ascii="Times New Roman" w:eastAsia="Times New Roman" w:hAnsi="Times New Roman"/>
                <w:lang w:eastAsia="uk-UA"/>
              </w:rPr>
              <w:t xml:space="preserve">де </w:t>
            </w:r>
            <m:oMath>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ДД</m:t>
                  </m:r>
                </m:e>
                <m:sub>
                  <m:r>
                    <m:rPr>
                      <m:sty m:val="p"/>
                    </m:rPr>
                    <w:rPr>
                      <w:rFonts w:ascii="Cambria Math" w:eastAsia="Times New Roman" w:hAnsi="Cambria Math"/>
                      <w:lang w:eastAsia="uk-UA"/>
                    </w:rPr>
                    <m:t xml:space="preserve">О(Н) </m:t>
                  </m:r>
                </m:sub>
                <m:sup/>
              </m:sSubSup>
            </m:oMath>
            <w:r w:rsidRPr="00A4769E">
              <w:rPr>
                <w:rFonts w:ascii="Times New Roman" w:eastAsia="Times New Roman" w:hAnsi="Times New Roman"/>
                <w:lang w:eastAsia="uk-UA"/>
              </w:rPr>
              <w:t xml:space="preserve"> – </w:t>
            </w:r>
            <w:r w:rsidRPr="00A4769E">
              <w:rPr>
                <w:rFonts w:ascii="Times New Roman" w:eastAsia="Times New Roman" w:hAnsi="Times New Roman"/>
                <w:b/>
                <w:bCs/>
                <w:lang w:eastAsia="uk-UA"/>
              </w:rPr>
              <w:t xml:space="preserve">додатково отриманий (недоотриманий) дохід ліцензіата внаслідок збільшення (зменшення) фактичних обсягів розподілу електричної енергії </w:t>
            </w:r>
            <w:r w:rsidRPr="00A4769E">
              <w:rPr>
                <w:rFonts w:ascii="Times New Roman" w:eastAsia="Times New Roman" w:hAnsi="Times New Roman"/>
                <w:lang w:eastAsia="uk-UA"/>
              </w:rPr>
              <w:t>за відповідний період, тис. грн;</w:t>
            </w:r>
          </w:p>
          <w:p w14:paraId="503C150D" w14:textId="77777777" w:rsidR="00A4769E" w:rsidRPr="00A4769E" w:rsidRDefault="00D771BE" w:rsidP="00A4769E">
            <w:pPr>
              <w:jc w:val="both"/>
              <w:rPr>
                <w:sz w:val="22"/>
                <w:szCs w:val="22"/>
                <w:lang w:eastAsia="uk-UA"/>
              </w:rPr>
            </w:pPr>
            <m:oMath>
              <m:sSubSup>
                <m:sSubSupPr>
                  <m:ctrlPr>
                    <w:rPr>
                      <w:rFonts w:ascii="Cambria Math" w:hAnsi="Cambria Math"/>
                      <w:kern w:val="2"/>
                      <w:sz w:val="22"/>
                      <w:szCs w:val="22"/>
                      <w:lang w:eastAsia="uk-UA"/>
                      <w14:ligatures w14:val="standardContextual"/>
                    </w:rPr>
                  </m:ctrlPr>
                </m:sSubSupPr>
                <m:e>
                  <m:r>
                    <m:rPr>
                      <m:sty m:val="p"/>
                    </m:rPr>
                    <w:rPr>
                      <w:rFonts w:ascii="Cambria Math" w:hAnsi="Cambria Math"/>
                      <w:sz w:val="22"/>
                      <w:szCs w:val="22"/>
                      <w:lang w:eastAsia="uk-UA"/>
                    </w:rPr>
                    <m:t>НД</m:t>
                  </m:r>
                </m:e>
                <m:sub>
                  <m:r>
                    <m:rPr>
                      <m:sty m:val="p"/>
                    </m:rPr>
                    <w:rPr>
                      <w:rFonts w:ascii="Cambria Math" w:hAnsi="Cambria Math"/>
                      <w:sz w:val="22"/>
                      <w:szCs w:val="22"/>
                      <w:lang w:eastAsia="uk-UA"/>
                    </w:rPr>
                    <m:t xml:space="preserve">т </m:t>
                  </m:r>
                </m:sub>
                <m:sup/>
              </m:sSubSup>
            </m:oMath>
            <w:r w:rsidR="00A4769E" w:rsidRPr="00A4769E">
              <w:rPr>
                <w:sz w:val="22"/>
                <w:szCs w:val="22"/>
                <w:lang w:eastAsia="uk-UA"/>
              </w:rPr>
              <w:t xml:space="preserve"> – середньорічний необхідний дохід, врахований у встановлених структурах тарифів, </w:t>
            </w:r>
            <w:r w:rsidR="00A4769E" w:rsidRPr="00A4769E">
              <w:rPr>
                <w:b/>
                <w:bCs/>
                <w:sz w:val="22"/>
                <w:szCs w:val="22"/>
                <w:lang w:eastAsia="uk-UA"/>
              </w:rPr>
              <w:t xml:space="preserve">які діяли у відповідні періоди звітного року, </w:t>
            </w:r>
            <w:r w:rsidR="00A4769E" w:rsidRPr="00A4769E">
              <w:rPr>
                <w:sz w:val="22"/>
                <w:szCs w:val="22"/>
                <w:lang w:eastAsia="uk-UA"/>
              </w:rPr>
              <w:t>тис. грн;</w:t>
            </w:r>
          </w:p>
          <w:p w14:paraId="2C0064DF" w14:textId="77777777" w:rsidR="00A4769E" w:rsidRPr="00A4769E" w:rsidRDefault="00D771BE" w:rsidP="00A4769E">
            <w:pPr>
              <w:jc w:val="both"/>
              <w:rPr>
                <w:sz w:val="22"/>
                <w:szCs w:val="22"/>
                <w:lang w:eastAsia="uk-UA"/>
              </w:rPr>
            </w:pPr>
            <m:oMath>
              <m:sSubSup>
                <m:sSubSupPr>
                  <m:ctrlPr>
                    <w:rPr>
                      <w:rFonts w:ascii="Cambria Math" w:hAnsi="Cambria Math"/>
                      <w:kern w:val="2"/>
                      <w:sz w:val="22"/>
                      <w:szCs w:val="22"/>
                      <w:lang w:eastAsia="uk-UA"/>
                      <w14:ligatures w14:val="standardContextual"/>
                    </w:rPr>
                  </m:ctrlPr>
                </m:sSubSupPr>
                <m:e>
                  <m:r>
                    <m:rPr>
                      <m:sty m:val="p"/>
                    </m:rPr>
                    <w:rPr>
                      <w:rFonts w:ascii="Cambria Math" w:hAnsi="Cambria Math"/>
                      <w:sz w:val="22"/>
                      <w:szCs w:val="22"/>
                      <w:lang w:eastAsia="uk-UA"/>
                    </w:rPr>
                    <m:t>ОКВ</m:t>
                  </m:r>
                </m:e>
                <m:sub>
                  <m:r>
                    <m:rPr>
                      <m:sty m:val="p"/>
                    </m:rPr>
                    <w:rPr>
                      <w:rFonts w:ascii="Cambria Math" w:hAnsi="Cambria Math"/>
                      <w:sz w:val="22"/>
                      <w:szCs w:val="22"/>
                      <w:lang w:eastAsia="uk-UA"/>
                    </w:rPr>
                    <m:t xml:space="preserve">т </m:t>
                  </m:r>
                </m:sub>
                <m:sup/>
              </m:sSubSup>
            </m:oMath>
            <w:r w:rsidR="00A4769E" w:rsidRPr="00A4769E">
              <w:rPr>
                <w:sz w:val="22"/>
                <w:szCs w:val="22"/>
                <w:lang w:eastAsia="uk-UA"/>
              </w:rPr>
              <w:t xml:space="preserve"> – середньорічна сума витрат за статтею «операційні контрольовані витрати», врахована у встановлених структурах тарифів, </w:t>
            </w:r>
            <w:r w:rsidR="00A4769E" w:rsidRPr="00A4769E">
              <w:rPr>
                <w:b/>
                <w:bCs/>
                <w:sz w:val="22"/>
                <w:szCs w:val="22"/>
                <w:lang w:eastAsia="uk-UA"/>
              </w:rPr>
              <w:t>які діяли у відповідні періоди звітного року,</w:t>
            </w:r>
            <w:r w:rsidR="00A4769E" w:rsidRPr="00A4769E">
              <w:rPr>
                <w:sz w:val="22"/>
                <w:szCs w:val="22"/>
                <w:lang w:eastAsia="uk-UA"/>
              </w:rPr>
              <w:t xml:space="preserve"> тис. грн. </w:t>
            </w:r>
          </w:p>
          <w:p w14:paraId="262A8DFD" w14:textId="77777777" w:rsidR="00A4769E" w:rsidRPr="00A4769E" w:rsidRDefault="00A4769E" w:rsidP="00A4769E">
            <w:pPr>
              <w:ind w:firstLine="308"/>
              <w:jc w:val="both"/>
              <w:rPr>
                <w:b/>
                <w:sz w:val="22"/>
                <w:szCs w:val="22"/>
              </w:rPr>
            </w:pPr>
            <w:r w:rsidRPr="00A4769E">
              <w:rPr>
                <w:sz w:val="22"/>
                <w:szCs w:val="22"/>
                <w:lang w:eastAsia="uk-UA"/>
              </w:rPr>
              <w:t xml:space="preserve">ЧОД – частка отриманого доходу, яка дорівнює співвідношенню фактичного доходу за 2022, 2023 або 2024 рік (визначеного як </w:t>
            </w:r>
            <w:r w:rsidRPr="00A4769E">
              <w:rPr>
                <w:b/>
                <w:bCs/>
                <w:sz w:val="22"/>
                <w:szCs w:val="22"/>
                <w:lang w:eastAsia="uk-UA"/>
              </w:rPr>
              <w:t xml:space="preserve">співвідношення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 </w:t>
            </w:r>
            <w:r w:rsidRPr="00A4769E">
              <w:rPr>
                <w:sz w:val="22"/>
                <w:szCs w:val="22"/>
                <w:lang w:eastAsia="uk-UA"/>
              </w:rPr>
              <w:t>в. о.;</w:t>
            </w:r>
          </w:p>
        </w:tc>
        <w:tc>
          <w:tcPr>
            <w:tcW w:w="5812" w:type="dxa"/>
            <w:shd w:val="clear" w:color="auto" w:fill="auto"/>
          </w:tcPr>
          <w:p w14:paraId="4995E79F" w14:textId="77777777" w:rsidR="00A4769E" w:rsidRDefault="00A4769E" w:rsidP="00B91461">
            <w:pPr>
              <w:jc w:val="both"/>
              <w:rPr>
                <w:i/>
                <w:sz w:val="22"/>
                <w:szCs w:val="22"/>
                <w:shd w:val="clear" w:color="auto" w:fill="FFFFFF"/>
              </w:rPr>
            </w:pPr>
            <w:r w:rsidRPr="00A4769E">
              <w:rPr>
                <w:i/>
                <w:sz w:val="22"/>
                <w:szCs w:val="22"/>
                <w:shd w:val="clear" w:color="auto" w:fill="FFFFFF"/>
              </w:rPr>
              <w:lastRenderedPageBreak/>
              <w:t>АТ ДТЕК «ДОНЕЦЬКІ ЕЛЕКТРОМЕРЕЖІ»</w:t>
            </w:r>
          </w:p>
          <w:p w14:paraId="16E387E5" w14:textId="77777777" w:rsidR="00A4769E" w:rsidRDefault="00A4769E" w:rsidP="00B91461">
            <w:pPr>
              <w:jc w:val="both"/>
              <w:rPr>
                <w:i/>
                <w:sz w:val="22"/>
                <w:szCs w:val="22"/>
                <w:shd w:val="clear" w:color="auto" w:fill="FFFFFF"/>
              </w:rPr>
            </w:pPr>
          </w:p>
          <w:p w14:paraId="31E11A75" w14:textId="77777777" w:rsidR="00A4769E" w:rsidRDefault="00A4769E" w:rsidP="00A4769E">
            <w:pPr>
              <w:jc w:val="both"/>
              <w:rPr>
                <w:lang w:eastAsia="uk-UA"/>
              </w:rPr>
            </w:pPr>
            <w:r>
              <w:rPr>
                <w:lang w:eastAsia="uk-UA"/>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3C0D22C" w14:textId="77777777" w:rsidR="00A4769E" w:rsidRDefault="00A4769E" w:rsidP="00A4769E">
            <w:pPr>
              <w:ind w:firstLine="709"/>
              <w:jc w:val="both"/>
              <w:rPr>
                <w:lang w:eastAsia="uk-UA"/>
              </w:rPr>
            </w:pPr>
            <w:r>
              <w:rPr>
                <w:lang w:eastAsia="uk-UA"/>
              </w:rPr>
              <w:t xml:space="preserve">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w:t>
            </w:r>
            <w:r>
              <w:rPr>
                <w:lang w:eastAsia="uk-UA"/>
              </w:rPr>
              <w:lastRenderedPageBreak/>
              <w:t>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374BA964" w14:textId="3C210006" w:rsidR="00A4769E" w:rsidRDefault="00A4769E" w:rsidP="00A4769E">
            <w:pPr>
              <w:pStyle w:val="af6"/>
              <w:tabs>
                <w:tab w:val="left" w:pos="284"/>
              </w:tabs>
              <w:ind w:left="0" w:firstLine="851"/>
              <w:jc w:val="both"/>
              <w:rPr>
                <w:rFonts w:ascii="Times New Roman" w:eastAsia="Times New Roman" w:hAnsi="Times New Roman"/>
                <w:lang w:eastAsia="uk-UA"/>
              </w:rPr>
            </w:pPr>
            <w:r>
              <w:rPr>
                <w:rFonts w:ascii="Times New Roman" w:eastAsia="Times New Roman" w:hAnsi="Times New Roman"/>
                <w:lang w:eastAsia="uk-UA"/>
              </w:rPr>
              <w:t>За 2023 та 2024 роки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та 2024 роки, та добутком фактичних помісячних обсягів розподілу електричної енергії і тарифів, що діяли у відповідному періоді.</w:t>
            </w:r>
          </w:p>
          <w:p w14:paraId="590ABE38" w14:textId="0C305498" w:rsidR="0016067B" w:rsidRDefault="0016067B" w:rsidP="00A4769E">
            <w:pPr>
              <w:pStyle w:val="af6"/>
              <w:tabs>
                <w:tab w:val="left" w:pos="284"/>
              </w:tabs>
              <w:ind w:left="0" w:firstLine="851"/>
              <w:jc w:val="both"/>
              <w:rPr>
                <w:rFonts w:ascii="Times New Roman" w:eastAsia="Times New Roman" w:hAnsi="Times New Roman"/>
                <w:lang w:eastAsia="uk-UA"/>
              </w:rPr>
            </w:pPr>
          </w:p>
          <w:p w14:paraId="352A146D" w14:textId="77777777" w:rsidR="0016067B" w:rsidRDefault="0016067B" w:rsidP="00A4769E">
            <w:pPr>
              <w:pStyle w:val="af6"/>
              <w:tabs>
                <w:tab w:val="left" w:pos="284"/>
              </w:tabs>
              <w:ind w:left="0" w:firstLine="851"/>
              <w:jc w:val="both"/>
              <w:rPr>
                <w:rFonts w:ascii="Times New Roman" w:eastAsia="Times New Roman" w:hAnsi="Times New Roman"/>
                <w:lang w:eastAsia="uk-UA"/>
              </w:rPr>
            </w:pPr>
          </w:p>
          <w:p w14:paraId="6CAE3F23" w14:textId="77777777" w:rsidR="00A4769E" w:rsidRDefault="00A4769E" w:rsidP="00A4769E">
            <w:pPr>
              <w:pStyle w:val="af6"/>
              <w:tabs>
                <w:tab w:val="left" w:pos="284"/>
              </w:tabs>
              <w:spacing w:after="240"/>
              <w:ind w:left="0"/>
              <w:jc w:val="both"/>
              <w:rPr>
                <w:rFonts w:ascii="Times New Roman" w:eastAsia="Times New Roman" w:hAnsi="Times New Roman"/>
                <w:lang w:eastAsia="uk-UA"/>
              </w:rPr>
            </w:pPr>
            <w:r>
              <w:rPr>
                <w:rFonts w:ascii="Times New Roman" w:eastAsia="Times New Roman" w:hAnsi="Times New Roman"/>
                <w:b/>
                <w:bCs/>
                <w:lang w:eastAsia="uk-UA"/>
              </w:rPr>
              <w:t>За 2022 – 2024 роки для</w:t>
            </w:r>
            <w:r>
              <w:rPr>
                <w:rFonts w:ascii="Times New Roman" w:eastAsia="Times New Roman" w:hAnsi="Times New Roman"/>
                <w:lang w:eastAsia="uk-UA"/>
              </w:rPr>
              <w:t xml:space="preserve"> </w:t>
            </w:r>
            <w:r>
              <w:rPr>
                <w:rFonts w:ascii="Times New Roman" w:eastAsia="Times New Roman" w:hAnsi="Times New Roman"/>
                <w:b/>
                <w:bCs/>
                <w:lang w:eastAsia="uk-UA"/>
              </w:rPr>
              <w:t xml:space="preserve">АТ «ДТЕК ДОНЕЦЬКІ ЕЛЕКТРОМЕРЕЖІ», ПАТ «ЗАПОРІЖЖЯОБЛЕНЕРГО», </w:t>
            </w:r>
            <w:r>
              <w:rPr>
                <w:rFonts w:ascii="Times New Roman" w:eastAsia="Times New Roman" w:hAnsi="Times New Roman"/>
                <w:b/>
                <w:bCs/>
                <w:lang w:eastAsia="uk-UA"/>
              </w:rPr>
              <w:br/>
              <w:t>ТОВ «ДТЕК ВИСОКОВОЛЬТНІ МЕРЕЖІ» та за 2022 рік для АТ «ХЕРСОНОБЛЕНЕРГО»</w:t>
            </w:r>
            <w:r>
              <w:rPr>
                <w:rFonts w:ascii="Times New Roman" w:eastAsia="Times New Roman" w:hAnsi="Times New Roman"/>
                <w:lang w:eastAsia="uk-UA"/>
              </w:rPr>
              <w:t xml:space="preserve"> додатково отриманий або недоотриманий дохід </w:t>
            </w:r>
            <w:r>
              <w:rPr>
                <w:rFonts w:ascii="Times New Roman" w:eastAsia="Times New Roman" w:hAnsi="Times New Roman"/>
                <w:b/>
                <w:bCs/>
                <w:lang w:eastAsia="uk-UA"/>
              </w:rPr>
              <w:t>ліцензіата</w:t>
            </w:r>
            <w:r>
              <w:rPr>
                <w:rFonts w:ascii="Times New Roman" w:eastAsia="Times New Roman" w:hAnsi="Times New Roman"/>
                <w:lang w:eastAsia="uk-UA"/>
              </w:rPr>
              <w:t xml:space="preserve"> визначається із застосуванням частки отриманого доходу (ЧОД) </w:t>
            </w:r>
            <w:r>
              <w:rPr>
                <w:rFonts w:ascii="Times New Roman" w:eastAsia="Times New Roman" w:hAnsi="Times New Roman"/>
                <w:b/>
                <w:bCs/>
                <w:strike/>
                <w:lang w:eastAsia="uk-UA"/>
              </w:rPr>
              <w:t>такими ліцензіатами за відповідний рік до середньорічного необхідного доходу, передбаченого встановленими структурами тарифів</w:t>
            </w:r>
            <w:r>
              <w:rPr>
                <w:rFonts w:ascii="Times New Roman" w:eastAsia="Times New Roman" w:hAnsi="Times New Roman"/>
                <w:lang w:eastAsia="uk-UA"/>
              </w:rPr>
              <w:t>, за вирахуванням статті «операційні контрольовані витрати», за формулою</w:t>
            </w:r>
          </w:p>
          <w:p w14:paraId="73B90B70" w14:textId="77777777" w:rsidR="00A4769E" w:rsidRDefault="00A4769E" w:rsidP="00A4769E">
            <w:pPr>
              <w:pStyle w:val="af6"/>
              <w:tabs>
                <w:tab w:val="left" w:pos="284"/>
              </w:tabs>
              <w:spacing w:after="240"/>
              <w:ind w:left="0" w:firstLine="851"/>
              <w:jc w:val="both"/>
              <w:rPr>
                <w:rFonts w:ascii="Times New Roman" w:eastAsia="Times New Roman" w:hAnsi="Times New Roman"/>
                <w:lang w:eastAsia="uk-UA"/>
              </w:rPr>
            </w:pPr>
          </w:p>
          <w:p w14:paraId="1CF8ACEB" w14:textId="77777777" w:rsidR="00A4769E" w:rsidRDefault="00D771BE" w:rsidP="00A4769E">
            <w:pPr>
              <w:pStyle w:val="af6"/>
              <w:tabs>
                <w:tab w:val="left" w:pos="284"/>
              </w:tabs>
              <w:spacing w:after="240"/>
              <w:ind w:left="0"/>
              <w:jc w:val="both"/>
              <w:rPr>
                <w:rFonts w:ascii="Times New Roman" w:eastAsia="Times New Roman" w:hAnsi="Times New Roman"/>
                <w:lang w:eastAsia="uk-UA"/>
              </w:rPr>
            </w:pPr>
            <m:oMathPara>
              <m:oMath>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ДД</m:t>
                    </m:r>
                  </m:e>
                  <m:sub>
                    <m:r>
                      <m:rPr>
                        <m:sty m:val="p"/>
                      </m:rPr>
                      <w:rPr>
                        <w:rFonts w:ascii="Cambria Math" w:eastAsia="Times New Roman" w:hAnsi="Cambria Math"/>
                        <w:lang w:eastAsia="uk-UA"/>
                      </w:rPr>
                      <m:t xml:space="preserve">О(Н) </m:t>
                    </m:r>
                  </m:sub>
                  <m:sup/>
                </m:sSubSup>
                <m:r>
                  <m:rPr>
                    <m:sty m:val="p"/>
                  </m:rPr>
                  <w:rPr>
                    <w:rFonts w:ascii="Cambria Math" w:eastAsia="Times New Roman" w:hAnsi="Cambria Math"/>
                    <w:lang w:eastAsia="uk-UA"/>
                  </w:rPr>
                  <m:t>=</m:t>
                </m:r>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(НД</m:t>
                    </m:r>
                  </m:e>
                  <m:sub>
                    <m:r>
                      <m:rPr>
                        <m:sty m:val="p"/>
                      </m:rPr>
                      <w:rPr>
                        <w:rFonts w:ascii="Cambria Math" w:eastAsia="Times New Roman" w:hAnsi="Cambria Math"/>
                        <w:lang w:eastAsia="uk-UA"/>
                      </w:rPr>
                      <m:t xml:space="preserve">т </m:t>
                    </m:r>
                  </m:sub>
                  <m:sup/>
                </m:sSubSup>
                <m:r>
                  <m:rPr>
                    <m:sty m:val="p"/>
                  </m:rPr>
                  <w:rPr>
                    <w:rFonts w:ascii="Cambria Math" w:eastAsia="Times New Roman" w:hAnsi="Cambria Math"/>
                    <w:lang w:eastAsia="uk-UA"/>
                  </w:rPr>
                  <m:t>-</m:t>
                </m:r>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ОКВ</m:t>
                    </m:r>
                  </m:e>
                  <m:sub>
                    <m:r>
                      <m:rPr>
                        <m:sty m:val="p"/>
                      </m:rPr>
                      <w:rPr>
                        <w:rFonts w:ascii="Cambria Math" w:eastAsia="Times New Roman" w:hAnsi="Cambria Math"/>
                        <w:lang w:eastAsia="uk-UA"/>
                      </w:rPr>
                      <m:t xml:space="preserve">т </m:t>
                    </m:r>
                  </m:sub>
                  <m:sup/>
                </m:sSubSup>
                <m:r>
                  <m:rPr>
                    <m:sty m:val="p"/>
                  </m:rPr>
                  <w:rPr>
                    <w:rFonts w:ascii="Cambria Math" w:eastAsia="Times New Roman" w:hAnsi="Cambria Math"/>
                    <w:lang w:eastAsia="uk-UA"/>
                  </w:rPr>
                  <m:t>)×(ЧОД-1),</m:t>
                </m:r>
              </m:oMath>
            </m:oMathPara>
          </w:p>
          <w:p w14:paraId="0B0E7623" w14:textId="77777777" w:rsidR="00A4769E" w:rsidRDefault="00A4769E" w:rsidP="00A4769E">
            <w:pPr>
              <w:pStyle w:val="af6"/>
              <w:tabs>
                <w:tab w:val="left" w:pos="284"/>
              </w:tabs>
              <w:ind w:left="0"/>
              <w:jc w:val="both"/>
              <w:rPr>
                <w:rFonts w:ascii="Times New Roman" w:eastAsia="Times New Roman" w:hAnsi="Times New Roman"/>
                <w:b/>
                <w:bCs/>
                <w:lang w:eastAsia="uk-UA"/>
              </w:rPr>
            </w:pPr>
            <w:r>
              <w:rPr>
                <w:rFonts w:ascii="Times New Roman" w:eastAsia="Times New Roman" w:hAnsi="Times New Roman"/>
                <w:lang w:eastAsia="uk-UA"/>
              </w:rPr>
              <w:t xml:space="preserve">де </w:t>
            </w:r>
            <m:oMath>
              <m:sSubSup>
                <m:sSubSupPr>
                  <m:ctrlPr>
                    <w:rPr>
                      <w:rFonts w:ascii="Cambria Math" w:eastAsia="Times New Roman" w:hAnsi="Cambria Math"/>
                      <w:kern w:val="2"/>
                      <w:lang w:val="uk-UA" w:eastAsia="uk-UA"/>
                      <w14:ligatures w14:val="standardContextual"/>
                    </w:rPr>
                  </m:ctrlPr>
                </m:sSubSupPr>
                <m:e>
                  <m:r>
                    <m:rPr>
                      <m:sty m:val="p"/>
                    </m:rPr>
                    <w:rPr>
                      <w:rFonts w:ascii="Cambria Math" w:eastAsia="Times New Roman" w:hAnsi="Cambria Math"/>
                      <w:lang w:eastAsia="uk-UA"/>
                    </w:rPr>
                    <m:t>ДД</m:t>
                  </m:r>
                </m:e>
                <m:sub>
                  <m:r>
                    <m:rPr>
                      <m:sty m:val="p"/>
                    </m:rPr>
                    <w:rPr>
                      <w:rFonts w:ascii="Cambria Math" w:eastAsia="Times New Roman" w:hAnsi="Cambria Math"/>
                      <w:lang w:eastAsia="uk-UA"/>
                    </w:rPr>
                    <m:t xml:space="preserve">О(Н) </m:t>
                  </m:r>
                </m:sub>
                <m:sup/>
              </m:sSubSup>
            </m:oMath>
            <w:r>
              <w:rPr>
                <w:rFonts w:ascii="Times New Roman" w:eastAsia="Times New Roman" w:hAnsi="Times New Roman"/>
                <w:lang w:eastAsia="uk-UA"/>
              </w:rPr>
              <w:t xml:space="preserve"> – </w:t>
            </w:r>
            <w:r>
              <w:rPr>
                <w:rFonts w:ascii="Times New Roman" w:eastAsia="Times New Roman" w:hAnsi="Times New Roman"/>
                <w:b/>
                <w:bCs/>
                <w:lang w:eastAsia="uk-UA"/>
              </w:rPr>
              <w:t xml:space="preserve">додатково отриманий (недоотриманий) дохід ліцензіата внаслідок збільшення (зменшення) фактичних обсягів розподілу електричної енергії </w:t>
            </w:r>
            <w:r>
              <w:rPr>
                <w:rFonts w:ascii="Times New Roman" w:eastAsia="Times New Roman" w:hAnsi="Times New Roman"/>
                <w:lang w:eastAsia="uk-UA"/>
              </w:rPr>
              <w:t>за відповідний період, тис. грн;</w:t>
            </w:r>
          </w:p>
          <w:p w14:paraId="44D6CA1F" w14:textId="77777777" w:rsidR="00A4769E" w:rsidRDefault="00D771BE" w:rsidP="00A4769E">
            <w:pPr>
              <w:jc w:val="both"/>
              <w:rPr>
                <w:lang w:eastAsia="uk-UA"/>
              </w:rPr>
            </w:pPr>
            <m:oMath>
              <m:sSubSup>
                <m:sSubSupPr>
                  <m:ctrlPr>
                    <w:rPr>
                      <w:rFonts w:ascii="Cambria Math" w:hAnsi="Cambria Math"/>
                      <w:kern w:val="2"/>
                      <w:sz w:val="22"/>
                      <w:szCs w:val="22"/>
                      <w:lang w:eastAsia="uk-UA"/>
                      <w14:ligatures w14:val="standardContextual"/>
                    </w:rPr>
                  </m:ctrlPr>
                </m:sSubSupPr>
                <m:e>
                  <m:r>
                    <m:rPr>
                      <m:sty m:val="p"/>
                    </m:rPr>
                    <w:rPr>
                      <w:rFonts w:ascii="Cambria Math" w:hAnsi="Cambria Math"/>
                      <w:lang w:eastAsia="uk-UA"/>
                    </w:rPr>
                    <m:t>НД</m:t>
                  </m:r>
                </m:e>
                <m:sub>
                  <m:r>
                    <m:rPr>
                      <m:sty m:val="p"/>
                    </m:rPr>
                    <w:rPr>
                      <w:rFonts w:ascii="Cambria Math" w:hAnsi="Cambria Math"/>
                      <w:lang w:eastAsia="uk-UA"/>
                    </w:rPr>
                    <m:t xml:space="preserve">т </m:t>
                  </m:r>
                </m:sub>
                <m:sup/>
              </m:sSubSup>
            </m:oMath>
            <w:r w:rsidR="00A4769E">
              <w:rPr>
                <w:lang w:eastAsia="uk-UA"/>
              </w:rPr>
              <w:t xml:space="preserve"> – середньорічний необхідний дохід, врахований у встановлених структурах тарифів, </w:t>
            </w:r>
            <w:r w:rsidR="00A4769E">
              <w:rPr>
                <w:b/>
                <w:bCs/>
                <w:lang w:eastAsia="uk-UA"/>
              </w:rPr>
              <w:t xml:space="preserve">які діяли у відповідні періоди звітного року, </w:t>
            </w:r>
            <w:r w:rsidR="00A4769E">
              <w:rPr>
                <w:lang w:eastAsia="uk-UA"/>
              </w:rPr>
              <w:t>тис. грн;</w:t>
            </w:r>
          </w:p>
          <w:p w14:paraId="7F14E3F2" w14:textId="77777777" w:rsidR="00A4769E" w:rsidRDefault="00D771BE" w:rsidP="00A4769E">
            <w:pPr>
              <w:jc w:val="both"/>
              <w:rPr>
                <w:lang w:eastAsia="uk-UA"/>
              </w:rPr>
            </w:pPr>
            <m:oMath>
              <m:sSubSup>
                <m:sSubSupPr>
                  <m:ctrlPr>
                    <w:rPr>
                      <w:rFonts w:ascii="Cambria Math" w:hAnsi="Cambria Math"/>
                      <w:kern w:val="2"/>
                      <w:sz w:val="22"/>
                      <w:szCs w:val="22"/>
                      <w:lang w:eastAsia="uk-UA"/>
                      <w14:ligatures w14:val="standardContextual"/>
                    </w:rPr>
                  </m:ctrlPr>
                </m:sSubSupPr>
                <m:e>
                  <m:r>
                    <m:rPr>
                      <m:sty m:val="p"/>
                    </m:rPr>
                    <w:rPr>
                      <w:rFonts w:ascii="Cambria Math" w:hAnsi="Cambria Math"/>
                      <w:lang w:eastAsia="uk-UA"/>
                    </w:rPr>
                    <m:t>ОКВ</m:t>
                  </m:r>
                </m:e>
                <m:sub>
                  <m:r>
                    <m:rPr>
                      <m:sty m:val="p"/>
                    </m:rPr>
                    <w:rPr>
                      <w:rFonts w:ascii="Cambria Math" w:hAnsi="Cambria Math"/>
                      <w:lang w:eastAsia="uk-UA"/>
                    </w:rPr>
                    <m:t xml:space="preserve">т </m:t>
                  </m:r>
                </m:sub>
                <m:sup/>
              </m:sSubSup>
            </m:oMath>
            <w:r w:rsidR="00A4769E">
              <w:rPr>
                <w:lang w:eastAsia="uk-UA"/>
              </w:rPr>
              <w:t xml:space="preserve"> – середньорічна сума витрат за статтею «операційні контрольовані витрати», врахована у встановлених структурах тарифів, </w:t>
            </w:r>
            <w:r w:rsidR="00A4769E">
              <w:rPr>
                <w:b/>
                <w:bCs/>
                <w:lang w:eastAsia="uk-UA"/>
              </w:rPr>
              <w:t>які діяли у відповідні періоди звітного року,</w:t>
            </w:r>
            <w:r w:rsidR="00A4769E">
              <w:rPr>
                <w:lang w:eastAsia="uk-UA"/>
              </w:rPr>
              <w:t xml:space="preserve"> тис. грн. </w:t>
            </w:r>
          </w:p>
          <w:p w14:paraId="5F79AF34" w14:textId="77777777" w:rsidR="00A4769E" w:rsidRPr="00FE3114" w:rsidRDefault="00A4769E" w:rsidP="00A4769E">
            <w:pPr>
              <w:jc w:val="both"/>
              <w:rPr>
                <w:lang w:eastAsia="uk-UA"/>
              </w:rPr>
            </w:pPr>
            <w:r>
              <w:rPr>
                <w:lang w:eastAsia="uk-UA"/>
              </w:rPr>
              <w:t xml:space="preserve">ЧОД – частка отриманого доходу, яка </w:t>
            </w:r>
            <w:r w:rsidRPr="00FE3114">
              <w:rPr>
                <w:lang w:eastAsia="uk-UA"/>
              </w:rPr>
              <w:t>дорівнює співвідношенню фактичного доходу за 2022, 2023 або 2024 рік</w:t>
            </w:r>
            <w:r w:rsidRPr="00FE3114">
              <w:rPr>
                <w:b/>
                <w:bCs/>
                <w:lang w:eastAsia="uk-UA"/>
              </w:rPr>
              <w:t xml:space="preserve">,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відповідних класах на відповідний рік, </w:t>
            </w:r>
            <w:r w:rsidRPr="00FE3114">
              <w:rPr>
                <w:lang w:eastAsia="uk-UA"/>
              </w:rPr>
              <w:t>в. о.;</w:t>
            </w:r>
          </w:p>
          <w:p w14:paraId="5A433422" w14:textId="77777777" w:rsidR="00A4769E" w:rsidRPr="00FE3114" w:rsidRDefault="00A4769E" w:rsidP="00A4769E">
            <w:pPr>
              <w:jc w:val="both"/>
              <w:rPr>
                <w:sz w:val="22"/>
                <w:szCs w:val="22"/>
                <w:shd w:val="clear" w:color="auto" w:fill="FFFFFF"/>
              </w:rPr>
            </w:pPr>
          </w:p>
          <w:p w14:paraId="5F33D8D0" w14:textId="77777777" w:rsidR="00A4769E" w:rsidRPr="00FE3114" w:rsidRDefault="00A4769E" w:rsidP="00A4769E">
            <w:pPr>
              <w:jc w:val="both"/>
              <w:rPr>
                <w:i/>
                <w:sz w:val="22"/>
                <w:szCs w:val="22"/>
                <w:shd w:val="clear" w:color="auto" w:fill="FFFFFF"/>
              </w:rPr>
            </w:pPr>
            <w:r w:rsidRPr="00FE3114">
              <w:rPr>
                <w:i/>
                <w:sz w:val="22"/>
                <w:szCs w:val="22"/>
                <w:shd w:val="clear" w:color="auto" w:fill="FFFFFF"/>
              </w:rPr>
              <w:t>ОБГРУНТУВАННЯ</w:t>
            </w:r>
          </w:p>
          <w:p w14:paraId="631182F2" w14:textId="77777777" w:rsidR="00A4769E" w:rsidRPr="00A4769E" w:rsidRDefault="00A4769E" w:rsidP="00A4769E">
            <w:pPr>
              <w:jc w:val="both"/>
              <w:rPr>
                <w:sz w:val="22"/>
                <w:szCs w:val="22"/>
                <w:shd w:val="clear" w:color="auto" w:fill="FFFFFF"/>
              </w:rPr>
            </w:pPr>
            <w:r w:rsidRPr="00FE3114">
              <w:rPr>
                <w:sz w:val="22"/>
                <w:szCs w:val="22"/>
                <w:shd w:val="clear" w:color="auto" w:fill="FFFFFF"/>
              </w:rPr>
              <w:t xml:space="preserve">Пропонується залишити діючий підхід до розрахунку </w:t>
            </w:r>
            <w:r w:rsidRPr="00A4769E">
              <w:rPr>
                <w:sz w:val="22"/>
                <w:szCs w:val="22"/>
                <w:shd w:val="clear" w:color="auto" w:fill="FFFFFF"/>
              </w:rPr>
              <w:t>ЧОД. Запропонований розрахунок  ЧОД через загальні обсяги корисного відпуску некоректно відображує фактично отриманий дохід ліцензіата, тому що не враховує динаміку зміни обсягів корисного відпуску по класам напруги. Прийняття  запропонованих змін призведе до недоотримання доходу у разі більш значного  зниження обсягів на 2 класі напруги (як це має місце по ПРАТ «ДТЕК ДОНЕЦЬКІ ЕЛЕКТРОМЕРЕЖІ»), або до надлишково отриманого доходу у разі більш значного  зниження обсягів на 1 класі напруги.</w:t>
            </w:r>
          </w:p>
        </w:tc>
        <w:tc>
          <w:tcPr>
            <w:tcW w:w="3546" w:type="dxa"/>
            <w:shd w:val="clear" w:color="auto" w:fill="auto"/>
          </w:tcPr>
          <w:p w14:paraId="31D96085" w14:textId="70A11C87" w:rsidR="00925F62" w:rsidRDefault="00925F62" w:rsidP="006F3E07">
            <w:pPr>
              <w:rPr>
                <w:b/>
                <w:sz w:val="22"/>
                <w:szCs w:val="22"/>
                <w:highlight w:val="cyan"/>
              </w:rPr>
            </w:pPr>
          </w:p>
          <w:p w14:paraId="6FD04FA4" w14:textId="258C364C" w:rsidR="00C0479F" w:rsidRDefault="00C0479F" w:rsidP="006F3E07">
            <w:pPr>
              <w:rPr>
                <w:b/>
                <w:sz w:val="22"/>
                <w:szCs w:val="22"/>
                <w:highlight w:val="cyan"/>
              </w:rPr>
            </w:pPr>
          </w:p>
          <w:p w14:paraId="0F0BD4DC" w14:textId="53F1A7D4" w:rsidR="00C0479F" w:rsidRDefault="00C0479F" w:rsidP="006F3E07">
            <w:pPr>
              <w:rPr>
                <w:b/>
                <w:sz w:val="22"/>
                <w:szCs w:val="22"/>
                <w:highlight w:val="cyan"/>
              </w:rPr>
            </w:pPr>
          </w:p>
          <w:p w14:paraId="78C05AC9" w14:textId="0667CB02" w:rsidR="00C0479F" w:rsidRDefault="00C0479F" w:rsidP="006F3E07">
            <w:pPr>
              <w:rPr>
                <w:b/>
                <w:sz w:val="22"/>
                <w:szCs w:val="22"/>
                <w:highlight w:val="cyan"/>
              </w:rPr>
            </w:pPr>
          </w:p>
          <w:p w14:paraId="56E3B41D" w14:textId="788192B3" w:rsidR="00C0479F" w:rsidRDefault="00C0479F" w:rsidP="006F3E07">
            <w:pPr>
              <w:rPr>
                <w:b/>
                <w:sz w:val="22"/>
                <w:szCs w:val="22"/>
                <w:highlight w:val="cyan"/>
              </w:rPr>
            </w:pPr>
          </w:p>
          <w:p w14:paraId="1DE5D8E3" w14:textId="15BE39AF" w:rsidR="00C0479F" w:rsidRDefault="00C0479F" w:rsidP="006F3E07">
            <w:pPr>
              <w:rPr>
                <w:b/>
                <w:sz w:val="22"/>
                <w:szCs w:val="22"/>
                <w:highlight w:val="cyan"/>
              </w:rPr>
            </w:pPr>
          </w:p>
          <w:p w14:paraId="3DB7B169" w14:textId="4B1DE3E2" w:rsidR="00C0479F" w:rsidRDefault="00C0479F" w:rsidP="006F3E07">
            <w:pPr>
              <w:rPr>
                <w:b/>
                <w:sz w:val="22"/>
                <w:szCs w:val="22"/>
                <w:highlight w:val="cyan"/>
              </w:rPr>
            </w:pPr>
          </w:p>
          <w:p w14:paraId="54BC2DAA" w14:textId="5230C76C" w:rsidR="00C0479F" w:rsidRDefault="00C0479F" w:rsidP="006F3E07">
            <w:pPr>
              <w:rPr>
                <w:b/>
                <w:sz w:val="22"/>
                <w:szCs w:val="22"/>
                <w:highlight w:val="cyan"/>
              </w:rPr>
            </w:pPr>
          </w:p>
          <w:p w14:paraId="345F4CF5" w14:textId="47181ADC" w:rsidR="00C0479F" w:rsidRDefault="00C0479F" w:rsidP="006F3E07">
            <w:pPr>
              <w:rPr>
                <w:b/>
                <w:sz w:val="22"/>
                <w:szCs w:val="22"/>
                <w:highlight w:val="cyan"/>
              </w:rPr>
            </w:pPr>
          </w:p>
          <w:p w14:paraId="02CB4B2F" w14:textId="4C0FF4B5" w:rsidR="00C0479F" w:rsidRDefault="00C0479F" w:rsidP="006F3E07">
            <w:pPr>
              <w:rPr>
                <w:b/>
                <w:sz w:val="22"/>
                <w:szCs w:val="22"/>
                <w:highlight w:val="cyan"/>
              </w:rPr>
            </w:pPr>
          </w:p>
          <w:p w14:paraId="1B2BAB29" w14:textId="7552017C" w:rsidR="00C0479F" w:rsidRDefault="00C0479F" w:rsidP="006F3E07">
            <w:pPr>
              <w:rPr>
                <w:b/>
                <w:sz w:val="22"/>
                <w:szCs w:val="22"/>
                <w:highlight w:val="cyan"/>
              </w:rPr>
            </w:pPr>
          </w:p>
          <w:p w14:paraId="660FD7B9" w14:textId="08D3C0C8" w:rsidR="00C0479F" w:rsidRDefault="00C0479F" w:rsidP="006F3E07">
            <w:pPr>
              <w:rPr>
                <w:b/>
                <w:sz w:val="22"/>
                <w:szCs w:val="22"/>
                <w:highlight w:val="cyan"/>
              </w:rPr>
            </w:pPr>
          </w:p>
          <w:p w14:paraId="3E9773B3" w14:textId="533E78F6" w:rsidR="00C0479F" w:rsidRDefault="00C0479F" w:rsidP="006F3E07">
            <w:pPr>
              <w:rPr>
                <w:b/>
                <w:sz w:val="22"/>
                <w:szCs w:val="22"/>
                <w:highlight w:val="cyan"/>
              </w:rPr>
            </w:pPr>
          </w:p>
          <w:p w14:paraId="1EB35487" w14:textId="60BE8CBE" w:rsidR="00C0479F" w:rsidRDefault="00C0479F" w:rsidP="006F3E07">
            <w:pPr>
              <w:rPr>
                <w:b/>
                <w:sz w:val="22"/>
                <w:szCs w:val="22"/>
                <w:highlight w:val="cyan"/>
              </w:rPr>
            </w:pPr>
          </w:p>
          <w:p w14:paraId="092A3CBA" w14:textId="34686E08" w:rsidR="00C0479F" w:rsidRDefault="00C0479F" w:rsidP="006F3E07">
            <w:pPr>
              <w:rPr>
                <w:b/>
                <w:sz w:val="22"/>
                <w:szCs w:val="22"/>
                <w:highlight w:val="cyan"/>
              </w:rPr>
            </w:pPr>
          </w:p>
          <w:p w14:paraId="2552072B" w14:textId="56E9C36D" w:rsidR="00C0479F" w:rsidRDefault="00C0479F" w:rsidP="006F3E07">
            <w:pPr>
              <w:rPr>
                <w:b/>
                <w:sz w:val="22"/>
                <w:szCs w:val="22"/>
                <w:highlight w:val="cyan"/>
              </w:rPr>
            </w:pPr>
          </w:p>
          <w:p w14:paraId="60FB1F63" w14:textId="1CEFFD4C" w:rsidR="00C0479F" w:rsidRDefault="00C0479F" w:rsidP="006F3E07">
            <w:pPr>
              <w:rPr>
                <w:b/>
                <w:sz w:val="22"/>
                <w:szCs w:val="22"/>
                <w:highlight w:val="cyan"/>
              </w:rPr>
            </w:pPr>
          </w:p>
          <w:p w14:paraId="3DD50867" w14:textId="30B02F4F" w:rsidR="00C0479F" w:rsidRDefault="00C0479F" w:rsidP="006F3E07">
            <w:pPr>
              <w:rPr>
                <w:b/>
                <w:sz w:val="22"/>
                <w:szCs w:val="22"/>
                <w:highlight w:val="cyan"/>
              </w:rPr>
            </w:pPr>
          </w:p>
          <w:p w14:paraId="7213C602" w14:textId="7BA03289" w:rsidR="00C0479F" w:rsidRDefault="00C0479F" w:rsidP="006F3E07">
            <w:pPr>
              <w:rPr>
                <w:b/>
                <w:sz w:val="22"/>
                <w:szCs w:val="22"/>
                <w:highlight w:val="cyan"/>
              </w:rPr>
            </w:pPr>
          </w:p>
          <w:p w14:paraId="4BBF9CB1" w14:textId="10EB13EF" w:rsidR="00C0479F" w:rsidRDefault="00C0479F" w:rsidP="006F3E07">
            <w:pPr>
              <w:rPr>
                <w:b/>
                <w:sz w:val="22"/>
                <w:szCs w:val="22"/>
                <w:highlight w:val="cyan"/>
              </w:rPr>
            </w:pPr>
          </w:p>
          <w:p w14:paraId="2568854D" w14:textId="35CEADC5" w:rsidR="00C0479F" w:rsidRDefault="00C0479F" w:rsidP="006F3E07">
            <w:pPr>
              <w:rPr>
                <w:b/>
                <w:sz w:val="22"/>
                <w:szCs w:val="22"/>
                <w:highlight w:val="cyan"/>
              </w:rPr>
            </w:pPr>
          </w:p>
          <w:p w14:paraId="1A558870" w14:textId="2A5E5ED5" w:rsidR="00C0479F" w:rsidRDefault="00C0479F" w:rsidP="006F3E07">
            <w:pPr>
              <w:rPr>
                <w:b/>
                <w:sz w:val="22"/>
                <w:szCs w:val="22"/>
                <w:highlight w:val="cyan"/>
              </w:rPr>
            </w:pPr>
          </w:p>
          <w:p w14:paraId="0168E4EE" w14:textId="77777777" w:rsidR="0016067B" w:rsidRDefault="0016067B" w:rsidP="006F3E07">
            <w:pPr>
              <w:rPr>
                <w:b/>
                <w:sz w:val="22"/>
                <w:szCs w:val="22"/>
                <w:highlight w:val="cyan"/>
              </w:rPr>
            </w:pPr>
          </w:p>
          <w:p w14:paraId="24361D97" w14:textId="4B19EA71" w:rsidR="00C0479F" w:rsidRDefault="00C0479F" w:rsidP="006F3E07">
            <w:pPr>
              <w:rPr>
                <w:b/>
                <w:sz w:val="22"/>
                <w:szCs w:val="22"/>
                <w:highlight w:val="cyan"/>
              </w:rPr>
            </w:pPr>
          </w:p>
          <w:p w14:paraId="3C43E0EB" w14:textId="77777777" w:rsidR="00C0479F" w:rsidRDefault="00C0479F" w:rsidP="006F3E07">
            <w:pPr>
              <w:rPr>
                <w:b/>
                <w:sz w:val="22"/>
                <w:szCs w:val="22"/>
                <w:highlight w:val="cyan"/>
              </w:rPr>
            </w:pPr>
          </w:p>
          <w:p w14:paraId="1E4215B2" w14:textId="77777777" w:rsidR="00A06090" w:rsidRDefault="00A06090" w:rsidP="00A06090">
            <w:pPr>
              <w:rPr>
                <w:b/>
                <w:sz w:val="22"/>
                <w:szCs w:val="22"/>
              </w:rPr>
            </w:pPr>
            <w:r w:rsidRPr="005D7AC3">
              <w:rPr>
                <w:b/>
                <w:sz w:val="22"/>
                <w:szCs w:val="22"/>
              </w:rPr>
              <w:t>Не враховано</w:t>
            </w:r>
          </w:p>
          <w:p w14:paraId="1947C018" w14:textId="77777777" w:rsidR="00C0479F" w:rsidRPr="00C0479F" w:rsidRDefault="00C0479F" w:rsidP="00C0479F">
            <w:pPr>
              <w:rPr>
                <w:b/>
                <w:sz w:val="22"/>
                <w:szCs w:val="22"/>
              </w:rPr>
            </w:pPr>
            <w:r w:rsidRPr="00C0479F">
              <w:rPr>
                <w:b/>
                <w:sz w:val="22"/>
                <w:szCs w:val="22"/>
              </w:rPr>
              <w:t>Недостатньо обґрунтована пропозиція</w:t>
            </w:r>
          </w:p>
          <w:p w14:paraId="0936FA68" w14:textId="3C4E0CAC" w:rsidR="00A06090" w:rsidRDefault="00A06090" w:rsidP="00A06090">
            <w:pPr>
              <w:jc w:val="both"/>
              <w:rPr>
                <w:bCs/>
                <w:sz w:val="22"/>
                <w:szCs w:val="22"/>
              </w:rPr>
            </w:pPr>
            <w:r w:rsidRPr="00B50A98">
              <w:rPr>
                <w:bCs/>
                <w:sz w:val="22"/>
                <w:szCs w:val="22"/>
              </w:rPr>
              <w:t xml:space="preserve">Проєктом </w:t>
            </w:r>
            <w:r w:rsidR="00D5314D">
              <w:rPr>
                <w:bCs/>
                <w:sz w:val="22"/>
                <w:szCs w:val="22"/>
              </w:rPr>
              <w:t>рішення</w:t>
            </w:r>
            <w:r w:rsidRPr="00B50A98">
              <w:rPr>
                <w:bCs/>
                <w:sz w:val="22"/>
                <w:szCs w:val="22"/>
              </w:rPr>
              <w:t xml:space="preserve"> передбачено </w:t>
            </w:r>
            <w:r>
              <w:rPr>
                <w:bCs/>
                <w:sz w:val="22"/>
                <w:szCs w:val="22"/>
              </w:rPr>
              <w:t>оптимальний</w:t>
            </w:r>
            <w:r w:rsidRPr="00B50A98">
              <w:rPr>
                <w:bCs/>
                <w:sz w:val="22"/>
                <w:szCs w:val="22"/>
              </w:rPr>
              <w:t xml:space="preserve"> підхід</w:t>
            </w:r>
            <w:r>
              <w:rPr>
                <w:bCs/>
                <w:sz w:val="22"/>
                <w:szCs w:val="22"/>
              </w:rPr>
              <w:t xml:space="preserve"> до прифронтових ОСР,</w:t>
            </w:r>
            <w:r w:rsidRPr="00B50A98">
              <w:rPr>
                <w:bCs/>
                <w:sz w:val="22"/>
                <w:szCs w:val="22"/>
              </w:rPr>
              <w:t xml:space="preserve"> </w:t>
            </w:r>
            <w:r>
              <w:rPr>
                <w:bCs/>
                <w:sz w:val="22"/>
                <w:szCs w:val="22"/>
              </w:rPr>
              <w:t xml:space="preserve">який ґрунтується на підставі здійсненого аналізу, що </w:t>
            </w:r>
            <w:r w:rsidRPr="00C0479F">
              <w:rPr>
                <w:bCs/>
                <w:sz w:val="22"/>
                <w:szCs w:val="22"/>
              </w:rPr>
              <w:t xml:space="preserve">забезпечує прозорий механізм визначення </w:t>
            </w:r>
            <w:r w:rsidRPr="00C0479F">
              <w:rPr>
                <w:sz w:val="22"/>
                <w:szCs w:val="22"/>
                <w:lang w:eastAsia="uk-UA"/>
              </w:rPr>
              <w:t xml:space="preserve">додатково отриманого або недоотриманого </w:t>
            </w:r>
            <w:r w:rsidRPr="00C0479F">
              <w:rPr>
                <w:bCs/>
                <w:sz w:val="22"/>
                <w:szCs w:val="22"/>
              </w:rPr>
              <w:t>доходу ліцензіатів.</w:t>
            </w:r>
          </w:p>
          <w:p w14:paraId="7B58A9A7" w14:textId="77777777" w:rsidR="00925F62" w:rsidRDefault="00925F62" w:rsidP="006F3E07">
            <w:pPr>
              <w:rPr>
                <w:b/>
                <w:sz w:val="22"/>
                <w:szCs w:val="22"/>
                <w:highlight w:val="cyan"/>
              </w:rPr>
            </w:pPr>
          </w:p>
          <w:p w14:paraId="1371559F" w14:textId="77777777" w:rsidR="000546DD" w:rsidRDefault="000546DD" w:rsidP="006F3E07">
            <w:pPr>
              <w:rPr>
                <w:b/>
                <w:sz w:val="22"/>
                <w:szCs w:val="22"/>
                <w:highlight w:val="cyan"/>
              </w:rPr>
            </w:pPr>
          </w:p>
          <w:p w14:paraId="7DEE623D" w14:textId="77777777" w:rsidR="000546DD" w:rsidRDefault="000546DD" w:rsidP="006F3E07">
            <w:pPr>
              <w:rPr>
                <w:b/>
                <w:sz w:val="22"/>
                <w:szCs w:val="22"/>
                <w:highlight w:val="cyan"/>
              </w:rPr>
            </w:pPr>
          </w:p>
          <w:p w14:paraId="3D3BC82E" w14:textId="77777777" w:rsidR="000546DD" w:rsidRDefault="000546DD" w:rsidP="006F3E07">
            <w:pPr>
              <w:rPr>
                <w:b/>
                <w:sz w:val="22"/>
                <w:szCs w:val="22"/>
                <w:highlight w:val="cyan"/>
              </w:rPr>
            </w:pPr>
          </w:p>
          <w:p w14:paraId="397B56AA" w14:textId="77777777" w:rsidR="000546DD" w:rsidRDefault="000546DD" w:rsidP="006F3E07">
            <w:pPr>
              <w:rPr>
                <w:b/>
                <w:sz w:val="22"/>
                <w:szCs w:val="22"/>
                <w:highlight w:val="cyan"/>
              </w:rPr>
            </w:pPr>
          </w:p>
          <w:p w14:paraId="4BB89C50" w14:textId="77777777" w:rsidR="000546DD" w:rsidRDefault="000546DD" w:rsidP="006F3E07">
            <w:pPr>
              <w:rPr>
                <w:b/>
                <w:sz w:val="22"/>
                <w:szCs w:val="22"/>
                <w:highlight w:val="cyan"/>
              </w:rPr>
            </w:pPr>
          </w:p>
          <w:p w14:paraId="045179C4" w14:textId="77777777" w:rsidR="000546DD" w:rsidRDefault="000546DD" w:rsidP="006F3E07">
            <w:pPr>
              <w:rPr>
                <w:b/>
                <w:sz w:val="22"/>
                <w:szCs w:val="22"/>
                <w:highlight w:val="cyan"/>
              </w:rPr>
            </w:pPr>
          </w:p>
          <w:p w14:paraId="44B8F95E" w14:textId="77777777" w:rsidR="000546DD" w:rsidRDefault="000546DD" w:rsidP="006F3E07">
            <w:pPr>
              <w:rPr>
                <w:b/>
                <w:sz w:val="22"/>
                <w:szCs w:val="22"/>
                <w:highlight w:val="cyan"/>
              </w:rPr>
            </w:pPr>
          </w:p>
          <w:p w14:paraId="07436896" w14:textId="77777777" w:rsidR="000546DD" w:rsidRDefault="000546DD" w:rsidP="006F3E07">
            <w:pPr>
              <w:rPr>
                <w:b/>
                <w:sz w:val="22"/>
                <w:szCs w:val="22"/>
                <w:highlight w:val="cyan"/>
              </w:rPr>
            </w:pPr>
          </w:p>
          <w:p w14:paraId="40100960" w14:textId="77777777" w:rsidR="000546DD" w:rsidRDefault="000546DD" w:rsidP="006F3E07">
            <w:pPr>
              <w:rPr>
                <w:b/>
                <w:sz w:val="22"/>
                <w:szCs w:val="22"/>
                <w:highlight w:val="cyan"/>
              </w:rPr>
            </w:pPr>
          </w:p>
          <w:p w14:paraId="42447B45" w14:textId="77777777" w:rsidR="000546DD" w:rsidRDefault="000546DD" w:rsidP="006F3E07">
            <w:pPr>
              <w:rPr>
                <w:b/>
                <w:sz w:val="22"/>
                <w:szCs w:val="22"/>
                <w:highlight w:val="cyan"/>
              </w:rPr>
            </w:pPr>
          </w:p>
          <w:p w14:paraId="5839E646" w14:textId="77777777" w:rsidR="000546DD" w:rsidRDefault="000546DD" w:rsidP="006F3E07">
            <w:pPr>
              <w:rPr>
                <w:b/>
                <w:sz w:val="22"/>
                <w:szCs w:val="22"/>
                <w:highlight w:val="cyan"/>
              </w:rPr>
            </w:pPr>
          </w:p>
          <w:p w14:paraId="4043EDF6" w14:textId="77777777" w:rsidR="000546DD" w:rsidRDefault="000546DD" w:rsidP="006F3E07">
            <w:pPr>
              <w:rPr>
                <w:b/>
                <w:sz w:val="22"/>
                <w:szCs w:val="22"/>
                <w:highlight w:val="cyan"/>
              </w:rPr>
            </w:pPr>
          </w:p>
          <w:p w14:paraId="090CCABD" w14:textId="77777777" w:rsidR="000546DD" w:rsidRDefault="000546DD" w:rsidP="006F3E07">
            <w:pPr>
              <w:rPr>
                <w:b/>
                <w:sz w:val="22"/>
                <w:szCs w:val="22"/>
                <w:highlight w:val="cyan"/>
              </w:rPr>
            </w:pPr>
          </w:p>
          <w:p w14:paraId="4ACA7C5E" w14:textId="77777777" w:rsidR="000546DD" w:rsidRDefault="000546DD" w:rsidP="006F3E07">
            <w:pPr>
              <w:rPr>
                <w:b/>
                <w:sz w:val="22"/>
                <w:szCs w:val="22"/>
                <w:highlight w:val="cyan"/>
              </w:rPr>
            </w:pPr>
          </w:p>
          <w:p w14:paraId="5511F578" w14:textId="77777777" w:rsidR="000546DD" w:rsidRDefault="000546DD" w:rsidP="006F3E07">
            <w:pPr>
              <w:rPr>
                <w:b/>
                <w:sz w:val="22"/>
                <w:szCs w:val="22"/>
                <w:highlight w:val="cyan"/>
              </w:rPr>
            </w:pPr>
          </w:p>
          <w:p w14:paraId="2D02D5D6" w14:textId="77777777" w:rsidR="000546DD" w:rsidRDefault="000546DD" w:rsidP="006F3E07">
            <w:pPr>
              <w:rPr>
                <w:b/>
                <w:sz w:val="22"/>
                <w:szCs w:val="22"/>
                <w:highlight w:val="cyan"/>
              </w:rPr>
            </w:pPr>
          </w:p>
          <w:p w14:paraId="60D23307" w14:textId="77777777" w:rsidR="000546DD" w:rsidRDefault="000546DD" w:rsidP="006F3E07">
            <w:pPr>
              <w:rPr>
                <w:b/>
                <w:sz w:val="22"/>
                <w:szCs w:val="22"/>
                <w:highlight w:val="cyan"/>
              </w:rPr>
            </w:pPr>
          </w:p>
          <w:p w14:paraId="7AFC8DE6" w14:textId="77777777" w:rsidR="000546DD" w:rsidRDefault="000546DD" w:rsidP="006F3E07">
            <w:pPr>
              <w:rPr>
                <w:b/>
                <w:sz w:val="22"/>
                <w:szCs w:val="22"/>
                <w:highlight w:val="cyan"/>
              </w:rPr>
            </w:pPr>
          </w:p>
          <w:p w14:paraId="45DCA225" w14:textId="77777777" w:rsidR="000546DD" w:rsidRDefault="000546DD" w:rsidP="006F3E07">
            <w:pPr>
              <w:rPr>
                <w:b/>
                <w:sz w:val="22"/>
                <w:szCs w:val="22"/>
                <w:highlight w:val="cyan"/>
              </w:rPr>
            </w:pPr>
          </w:p>
          <w:p w14:paraId="3C454D5E" w14:textId="77777777" w:rsidR="000546DD" w:rsidRDefault="000546DD" w:rsidP="006F3E07">
            <w:pPr>
              <w:rPr>
                <w:b/>
                <w:sz w:val="22"/>
                <w:szCs w:val="22"/>
                <w:highlight w:val="cyan"/>
              </w:rPr>
            </w:pPr>
          </w:p>
          <w:p w14:paraId="49B5E684" w14:textId="77777777" w:rsidR="000546DD" w:rsidRDefault="000546DD" w:rsidP="006F3E07">
            <w:pPr>
              <w:rPr>
                <w:b/>
                <w:sz w:val="22"/>
                <w:szCs w:val="22"/>
                <w:highlight w:val="cyan"/>
              </w:rPr>
            </w:pPr>
          </w:p>
          <w:p w14:paraId="625927D9" w14:textId="77777777" w:rsidR="000546DD" w:rsidRDefault="000546DD" w:rsidP="006F3E07">
            <w:pPr>
              <w:rPr>
                <w:b/>
                <w:sz w:val="22"/>
                <w:szCs w:val="22"/>
                <w:highlight w:val="cyan"/>
              </w:rPr>
            </w:pPr>
          </w:p>
          <w:p w14:paraId="1006800D" w14:textId="7BCDD968" w:rsidR="000B2FB4" w:rsidRPr="00B50A98" w:rsidRDefault="000B2FB4" w:rsidP="00B50A98">
            <w:pPr>
              <w:jc w:val="both"/>
              <w:rPr>
                <w:bCs/>
                <w:sz w:val="22"/>
                <w:szCs w:val="22"/>
              </w:rPr>
            </w:pPr>
          </w:p>
          <w:p w14:paraId="5C7119D9" w14:textId="77777777" w:rsidR="00A4769E" w:rsidRPr="00C27A60" w:rsidRDefault="00A4769E" w:rsidP="00B542FA">
            <w:pPr>
              <w:rPr>
                <w:b/>
                <w:i/>
                <w:sz w:val="22"/>
                <w:szCs w:val="22"/>
              </w:rPr>
            </w:pPr>
          </w:p>
        </w:tc>
      </w:tr>
      <w:tr w:rsidR="00A4769E" w:rsidRPr="00C27A60" w14:paraId="7EC748C1" w14:textId="77777777" w:rsidTr="00E85B3F">
        <w:trPr>
          <w:trHeight w:val="595"/>
        </w:trPr>
        <w:tc>
          <w:tcPr>
            <w:tcW w:w="5839" w:type="dxa"/>
            <w:shd w:val="clear" w:color="auto" w:fill="auto"/>
          </w:tcPr>
          <w:p w14:paraId="75A893ED" w14:textId="77777777" w:rsidR="00A4769E" w:rsidRPr="00A4769E" w:rsidRDefault="00A4769E" w:rsidP="00A4769E">
            <w:pPr>
              <w:ind w:firstLine="308"/>
              <w:jc w:val="both"/>
              <w:rPr>
                <w:b/>
                <w:sz w:val="22"/>
                <w:szCs w:val="22"/>
              </w:rPr>
            </w:pPr>
            <w:r w:rsidRPr="00AE4FBF">
              <w:rPr>
                <w:b/>
                <w:sz w:val="22"/>
                <w:szCs w:val="22"/>
              </w:rPr>
              <w:lastRenderedPageBreak/>
              <w:t>&lt;…&gt;</w:t>
            </w:r>
          </w:p>
          <w:p w14:paraId="5F3FF2A4" w14:textId="77777777" w:rsidR="00A4769E" w:rsidRDefault="00A4769E" w:rsidP="00A4769E">
            <w:pPr>
              <w:jc w:val="both"/>
              <w:rPr>
                <w:b/>
                <w:bCs/>
                <w:lang w:eastAsia="uk-UA"/>
              </w:rPr>
            </w:pPr>
          </w:p>
          <w:p w14:paraId="334C6E0C" w14:textId="77777777" w:rsidR="00A4769E" w:rsidRDefault="00A4769E" w:rsidP="00A4769E">
            <w:pPr>
              <w:jc w:val="both"/>
              <w:rPr>
                <w:b/>
                <w:bCs/>
                <w:lang w:eastAsia="uk-UA"/>
              </w:rPr>
            </w:pPr>
          </w:p>
          <w:p w14:paraId="16268E7D" w14:textId="77777777" w:rsidR="00A4769E" w:rsidRDefault="00A4769E" w:rsidP="00A4769E">
            <w:pPr>
              <w:jc w:val="both"/>
              <w:rPr>
                <w:sz w:val="22"/>
                <w:szCs w:val="22"/>
                <w:lang w:eastAsia="uk-UA"/>
              </w:rPr>
            </w:pPr>
            <w:r>
              <w:rPr>
                <w:b/>
                <w:bCs/>
                <w:lang w:eastAsia="uk-UA"/>
              </w:rPr>
              <w:t>За 2022 – 2024 роки для АТ «ДТЕК ДОНЕЦЬКІ ЕЛЕКТРОМЕРЕЖІ», ПАТ «ЗАПОРІЖЖЯОБЛЕНЕРГО», АТ «ХЕРСОНОБЛЕНЕРГО» та ТОВ «ДТЕК ВИСОКОВОЛЬТНІ МЕРЕЖІ» дельта за статтею «операційні неконтрольовані витрати» (∆ОНВ) приймається на рівні фактичних витрат відповідного ліцензіата за відповідний рік, підтверджених результатами перевірки його діяльності.</w:t>
            </w:r>
          </w:p>
        </w:tc>
        <w:tc>
          <w:tcPr>
            <w:tcW w:w="5812" w:type="dxa"/>
            <w:shd w:val="clear" w:color="auto" w:fill="auto"/>
          </w:tcPr>
          <w:p w14:paraId="702E25EC" w14:textId="77777777" w:rsidR="00A4769E" w:rsidRPr="00A4769E" w:rsidRDefault="00A4769E" w:rsidP="00A4769E">
            <w:pPr>
              <w:ind w:firstLine="308"/>
              <w:jc w:val="both"/>
              <w:rPr>
                <w:b/>
                <w:sz w:val="22"/>
                <w:szCs w:val="22"/>
              </w:rPr>
            </w:pPr>
            <w:r w:rsidRPr="00AE4FBF">
              <w:rPr>
                <w:b/>
                <w:sz w:val="22"/>
                <w:szCs w:val="22"/>
              </w:rPr>
              <w:t>&lt;…&gt;</w:t>
            </w:r>
          </w:p>
          <w:p w14:paraId="3571CB7E" w14:textId="77777777" w:rsidR="00A4769E" w:rsidRDefault="00A4769E" w:rsidP="00B91461">
            <w:pPr>
              <w:jc w:val="both"/>
              <w:rPr>
                <w:i/>
                <w:sz w:val="22"/>
                <w:szCs w:val="22"/>
                <w:shd w:val="clear" w:color="auto" w:fill="FFFFFF"/>
              </w:rPr>
            </w:pPr>
            <w:r w:rsidRPr="00A4769E">
              <w:rPr>
                <w:i/>
                <w:sz w:val="22"/>
                <w:szCs w:val="22"/>
                <w:shd w:val="clear" w:color="auto" w:fill="FFFFFF"/>
              </w:rPr>
              <w:t>АТ ДТЕК «ДОНЕЦЬКІ ЕЛЕКТРОМЕРЕЖІ»</w:t>
            </w:r>
          </w:p>
          <w:p w14:paraId="699864E2" w14:textId="77777777" w:rsidR="00A4769E" w:rsidRDefault="00A4769E" w:rsidP="00B91461">
            <w:pPr>
              <w:jc w:val="both"/>
              <w:rPr>
                <w:i/>
                <w:sz w:val="22"/>
                <w:szCs w:val="22"/>
                <w:shd w:val="clear" w:color="auto" w:fill="FFFFFF"/>
              </w:rPr>
            </w:pPr>
          </w:p>
          <w:p w14:paraId="16631037" w14:textId="77777777" w:rsidR="00A4769E" w:rsidRPr="00C74239" w:rsidRDefault="00A4769E" w:rsidP="00B91461">
            <w:pPr>
              <w:jc w:val="both"/>
              <w:rPr>
                <w:b/>
                <w:bCs/>
                <w:lang w:eastAsia="uk-UA"/>
              </w:rPr>
            </w:pPr>
            <w:r w:rsidRPr="00A4769E">
              <w:rPr>
                <w:b/>
                <w:bCs/>
                <w:lang w:eastAsia="uk-UA"/>
              </w:rPr>
              <w:t xml:space="preserve">За 2022 – 2024 роки для АТ «ДТЕК </w:t>
            </w:r>
            <w:r w:rsidRPr="00C74239">
              <w:rPr>
                <w:b/>
                <w:bCs/>
                <w:lang w:eastAsia="uk-UA"/>
              </w:rPr>
              <w:t>ДОНЕЦЬКІ ЕЛЕКТРОМЕРЕЖІ», ПАТ «ЗАПОРІЖЖЯОБЛЕНЕРГО», АТ «ХЕРСОНОБЛЕНЕРГО» та ТОВ «ДТЕК ВИСОКОВОЛЬТНІ МЕРЕЖІ» уточнені операційні неконтрольовані витрати (</w:t>
            </w:r>
            <w:proofErr w:type="spellStart"/>
            <w:r w:rsidRPr="00C74239">
              <w:rPr>
                <w:b/>
                <w:bCs/>
                <w:lang w:eastAsia="uk-UA"/>
              </w:rPr>
              <w:t>ОНВу</w:t>
            </w:r>
            <w:proofErr w:type="spellEnd"/>
            <w:r w:rsidRPr="00C74239">
              <w:rPr>
                <w:b/>
                <w:bCs/>
                <w:lang w:eastAsia="uk-UA"/>
              </w:rPr>
              <w:t>) приймаються на рівні фактичних витрат відповідного ліцензіата за відповідний рік, підтверджених результатами перевірки його діяльності.</w:t>
            </w:r>
          </w:p>
          <w:p w14:paraId="7171C6D9" w14:textId="77777777" w:rsidR="00A4769E" w:rsidRPr="00C74239" w:rsidRDefault="00A4769E" w:rsidP="00B91461">
            <w:pPr>
              <w:jc w:val="both"/>
              <w:rPr>
                <w:i/>
                <w:sz w:val="22"/>
                <w:szCs w:val="22"/>
                <w:shd w:val="clear" w:color="auto" w:fill="FFFFFF"/>
              </w:rPr>
            </w:pPr>
          </w:p>
          <w:p w14:paraId="34E66DDE" w14:textId="77777777" w:rsidR="00A4769E" w:rsidRDefault="00A4769E" w:rsidP="00B91461">
            <w:pPr>
              <w:jc w:val="both"/>
              <w:rPr>
                <w:i/>
                <w:sz w:val="22"/>
                <w:szCs w:val="22"/>
                <w:shd w:val="clear" w:color="auto" w:fill="FFFFFF"/>
              </w:rPr>
            </w:pPr>
            <w:r>
              <w:rPr>
                <w:i/>
                <w:sz w:val="22"/>
                <w:szCs w:val="22"/>
                <w:shd w:val="clear" w:color="auto" w:fill="FFFFFF"/>
              </w:rPr>
              <w:t>ОБГРУНТУВАННЯ</w:t>
            </w:r>
          </w:p>
          <w:p w14:paraId="07119B05" w14:textId="77777777" w:rsidR="00A4769E" w:rsidRPr="00A4769E" w:rsidRDefault="00A4769E" w:rsidP="00B91461">
            <w:pPr>
              <w:jc w:val="both"/>
              <w:rPr>
                <w:sz w:val="22"/>
                <w:szCs w:val="22"/>
                <w:shd w:val="clear" w:color="auto" w:fill="FFFFFF"/>
              </w:rPr>
            </w:pPr>
            <w:r w:rsidRPr="00A4769E">
              <w:rPr>
                <w:sz w:val="22"/>
                <w:szCs w:val="22"/>
                <w:shd w:val="clear" w:color="auto" w:fill="FFFFFF"/>
              </w:rPr>
              <w:t>Пропонується виправити технічну помилку</w:t>
            </w:r>
          </w:p>
        </w:tc>
        <w:tc>
          <w:tcPr>
            <w:tcW w:w="3546" w:type="dxa"/>
            <w:shd w:val="clear" w:color="auto" w:fill="auto"/>
          </w:tcPr>
          <w:p w14:paraId="1DF2B892" w14:textId="77777777" w:rsidR="006F3E07" w:rsidRDefault="006F3E07" w:rsidP="00B542FA">
            <w:pPr>
              <w:rPr>
                <w:b/>
                <w:i/>
                <w:sz w:val="22"/>
                <w:szCs w:val="22"/>
              </w:rPr>
            </w:pPr>
          </w:p>
          <w:p w14:paraId="039F6BFF" w14:textId="77777777" w:rsidR="00925F62" w:rsidRDefault="00925F62" w:rsidP="00B542FA">
            <w:pPr>
              <w:rPr>
                <w:b/>
                <w:i/>
                <w:sz w:val="22"/>
                <w:szCs w:val="22"/>
              </w:rPr>
            </w:pPr>
          </w:p>
          <w:p w14:paraId="15FEB688" w14:textId="77777777" w:rsidR="006F3E07" w:rsidRDefault="006F3E07" w:rsidP="00B542FA">
            <w:pPr>
              <w:rPr>
                <w:b/>
                <w:i/>
                <w:sz w:val="22"/>
                <w:szCs w:val="22"/>
              </w:rPr>
            </w:pPr>
          </w:p>
          <w:p w14:paraId="67AD4F47" w14:textId="77777777" w:rsidR="00A4769E" w:rsidRPr="006F3E07" w:rsidRDefault="00527D0A" w:rsidP="00B542FA">
            <w:pPr>
              <w:rPr>
                <w:b/>
                <w:sz w:val="22"/>
                <w:szCs w:val="22"/>
              </w:rPr>
            </w:pPr>
            <w:r w:rsidRPr="006F3E07">
              <w:rPr>
                <w:b/>
                <w:sz w:val="22"/>
                <w:szCs w:val="22"/>
              </w:rPr>
              <w:t>Враховано</w:t>
            </w:r>
          </w:p>
        </w:tc>
      </w:tr>
      <w:tr w:rsidR="00A4769E" w:rsidRPr="00C27A60" w14:paraId="517ED53A" w14:textId="77777777" w:rsidTr="00E85B3F">
        <w:trPr>
          <w:trHeight w:val="595"/>
        </w:trPr>
        <w:tc>
          <w:tcPr>
            <w:tcW w:w="5839" w:type="dxa"/>
            <w:shd w:val="clear" w:color="auto" w:fill="auto"/>
          </w:tcPr>
          <w:p w14:paraId="3E3F1EE2" w14:textId="77777777" w:rsidR="00A4769E" w:rsidRDefault="00A4769E" w:rsidP="00FE3114">
            <w:pPr>
              <w:spacing w:after="160" w:line="256" w:lineRule="auto"/>
              <w:jc w:val="both"/>
              <w:rPr>
                <w:kern w:val="2"/>
                <w:sz w:val="22"/>
                <w:szCs w:val="22"/>
                <w:lang w:eastAsia="uk-UA"/>
                <w14:ligatures w14:val="standardContextual"/>
              </w:rPr>
            </w:pPr>
            <w:r w:rsidRPr="00A4769E">
              <w:rPr>
                <w:kern w:val="2"/>
                <w:sz w:val="22"/>
                <w:szCs w:val="22"/>
                <w:lang w:eastAsia="uk-UA"/>
                <w14:ligatures w14:val="standardContextual"/>
              </w:rPr>
              <w:t>&lt;…&gt;</w:t>
            </w:r>
          </w:p>
          <w:p w14:paraId="169086DE" w14:textId="77777777" w:rsidR="00A4769E" w:rsidRDefault="00A4769E" w:rsidP="00A4769E">
            <w:pPr>
              <w:spacing w:after="160" w:line="256" w:lineRule="auto"/>
              <w:ind w:firstLine="709"/>
              <w:jc w:val="both"/>
              <w:rPr>
                <w:kern w:val="2"/>
                <w:sz w:val="22"/>
                <w:szCs w:val="22"/>
                <w:lang w:eastAsia="uk-UA"/>
                <w14:ligatures w14:val="standardContextual"/>
              </w:rPr>
            </w:pPr>
          </w:p>
          <w:p w14:paraId="4192A00E"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 xml:space="preserve">9) дельта за статтею «прибуток на регуляторну базу активів, яка створена на дату переходу до стимулюючого </w:t>
            </w:r>
            <w:r w:rsidRPr="00A4769E">
              <w:rPr>
                <w:kern w:val="2"/>
                <w:sz w:val="22"/>
                <w:szCs w:val="22"/>
                <w:lang w:eastAsia="uk-UA"/>
                <w14:ligatures w14:val="standardContextual"/>
              </w:rPr>
              <w:lastRenderedPageBreak/>
              <w:t>регулювання» (∆</w:t>
            </w:r>
            <w:proofErr w:type="spellStart"/>
            <w:r w:rsidRPr="00A4769E">
              <w:rPr>
                <w:kern w:val="2"/>
                <w:sz w:val="22"/>
                <w:szCs w:val="22"/>
                <w:lang w:eastAsia="uk-UA"/>
                <w14:ligatures w14:val="standardContextual"/>
              </w:rPr>
              <w:t>Пст</w:t>
            </w:r>
            <w:proofErr w:type="spellEnd"/>
            <w:r w:rsidRPr="00A4769E">
              <w:rPr>
                <w:kern w:val="2"/>
                <w:sz w:val="22"/>
                <w:szCs w:val="22"/>
                <w:lang w:eastAsia="uk-UA"/>
                <w14:ligatures w14:val="standardContextual"/>
              </w:rPr>
              <w:t>) у звітному році тис. грн, визначається за формулою</w:t>
            </w:r>
          </w:p>
          <w:p w14:paraId="311315C6" w14:textId="77777777" w:rsidR="00A4769E" w:rsidRPr="00A4769E" w:rsidRDefault="00A4769E" w:rsidP="00A4769E">
            <w:pPr>
              <w:spacing w:after="160" w:line="256" w:lineRule="auto"/>
              <w:jc w:val="both"/>
              <w:rPr>
                <w:kern w:val="2"/>
                <w:sz w:val="22"/>
                <w:szCs w:val="22"/>
                <w:lang w:eastAsia="uk-UA"/>
                <w14:ligatures w14:val="standardContextual"/>
              </w:rPr>
            </w:pPr>
            <w:r w:rsidRPr="00A4769E">
              <w:rPr>
                <w:kern w:val="2"/>
                <w:sz w:val="22"/>
                <w:szCs w:val="22"/>
                <w:lang w:eastAsia="uk-UA"/>
                <w14:ligatures w14:val="standardContextual"/>
              </w:rPr>
              <w:t>∆</w:t>
            </w:r>
            <w:proofErr w:type="spellStart"/>
            <w:r w:rsidRPr="00A4769E">
              <w:rPr>
                <w:kern w:val="2"/>
                <w:sz w:val="22"/>
                <w:szCs w:val="22"/>
                <w:lang w:eastAsia="uk-UA"/>
                <w14:ligatures w14:val="standardContextual"/>
              </w:rPr>
              <w:t>Пст</w:t>
            </w:r>
            <w:proofErr w:type="spellEnd"/>
            <w:r w:rsidRPr="00A4769E">
              <w:rPr>
                <w:kern w:val="2"/>
                <w:sz w:val="22"/>
                <w:szCs w:val="22"/>
                <w:lang w:eastAsia="uk-UA"/>
                <w14:ligatures w14:val="standardContextual"/>
              </w:rPr>
              <w:t xml:space="preserve"> = П т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w:t>
            </w:r>
          </w:p>
          <w:p w14:paraId="44371ADB"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де П т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xml:space="preserve">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110E19CE"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p>
          <w:p w14:paraId="6500A9EF" w14:textId="77777777" w:rsidR="00A4769E" w:rsidRPr="00A4769E" w:rsidRDefault="00A4769E" w:rsidP="00A4769E">
            <w:pPr>
              <w:spacing w:after="160" w:line="256" w:lineRule="auto"/>
              <w:jc w:val="both"/>
              <w:rPr>
                <w:kern w:val="2"/>
                <w:sz w:val="22"/>
                <w:szCs w:val="22"/>
                <w:lang w:eastAsia="uk-UA"/>
                <w14:ligatures w14:val="standardContextual"/>
              </w:rPr>
            </w:pPr>
            <w:r w:rsidRPr="00A4769E">
              <w:rPr>
                <w:kern w:val="2"/>
                <w:sz w:val="22"/>
                <w:szCs w:val="22"/>
                <w:lang w:eastAsia="uk-UA"/>
                <w14:ligatures w14:val="standardContextual"/>
              </w:rPr>
              <w:t>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xml:space="preserve"> = РБА0уточ х РНД0,</w:t>
            </w:r>
          </w:p>
          <w:p w14:paraId="65841535"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 xml:space="preserve">де  РБА0уточ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 пунктів 2.5 та 2.6 розділу ІІ Порядку визначення регуляторної бази активів суб’єктів природних монополій у сфері електроенергетики, затвердженого постановою НКРЕ </w:t>
            </w:r>
            <w:r w:rsidRPr="00A4769E">
              <w:rPr>
                <w:kern w:val="2"/>
                <w:sz w:val="22"/>
                <w:szCs w:val="22"/>
                <w:lang w:eastAsia="uk-UA"/>
                <w14:ligatures w14:val="standardContextual"/>
              </w:rPr>
              <w:lastRenderedPageBreak/>
              <w:t>від 11 липня 2013 року №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(при перевірці за 2023 та 2024 роки використовується рівень РБА0уточ,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172E74DD"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РНД0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7FA08904" w14:textId="77777777" w:rsidR="0050703A" w:rsidRDefault="0050703A" w:rsidP="00A4769E">
            <w:pPr>
              <w:tabs>
                <w:tab w:val="left" w:pos="284"/>
              </w:tabs>
              <w:spacing w:after="240" w:line="256" w:lineRule="auto"/>
              <w:ind w:firstLine="851"/>
              <w:contextualSpacing/>
              <w:jc w:val="both"/>
              <w:rPr>
                <w:b/>
                <w:bCs/>
                <w:kern w:val="2"/>
                <w:sz w:val="22"/>
                <w:szCs w:val="22"/>
                <w:lang w:eastAsia="uk-UA"/>
                <w14:ligatures w14:val="standardContextual"/>
              </w:rPr>
            </w:pPr>
          </w:p>
          <w:p w14:paraId="620EE69B" w14:textId="77777777" w:rsidR="0050703A" w:rsidRDefault="0050703A" w:rsidP="00A4769E">
            <w:pPr>
              <w:tabs>
                <w:tab w:val="left" w:pos="284"/>
              </w:tabs>
              <w:spacing w:after="240" w:line="256" w:lineRule="auto"/>
              <w:ind w:firstLine="851"/>
              <w:contextualSpacing/>
              <w:jc w:val="both"/>
              <w:rPr>
                <w:b/>
                <w:bCs/>
                <w:kern w:val="2"/>
                <w:sz w:val="22"/>
                <w:szCs w:val="22"/>
                <w:lang w:eastAsia="uk-UA"/>
                <w14:ligatures w14:val="standardContextual"/>
              </w:rPr>
            </w:pPr>
          </w:p>
          <w:p w14:paraId="6BE263BD" w14:textId="77777777" w:rsidR="0050703A" w:rsidRDefault="0050703A" w:rsidP="00A4769E">
            <w:pPr>
              <w:tabs>
                <w:tab w:val="left" w:pos="284"/>
              </w:tabs>
              <w:spacing w:after="240" w:line="256" w:lineRule="auto"/>
              <w:ind w:firstLine="851"/>
              <w:contextualSpacing/>
              <w:jc w:val="both"/>
              <w:rPr>
                <w:b/>
                <w:bCs/>
                <w:kern w:val="2"/>
                <w:sz w:val="22"/>
                <w:szCs w:val="22"/>
                <w:lang w:eastAsia="uk-UA"/>
                <w14:ligatures w14:val="standardContextual"/>
              </w:rPr>
            </w:pPr>
          </w:p>
          <w:p w14:paraId="6C45F742" w14:textId="70B1B10E" w:rsidR="00A4769E" w:rsidRPr="00A4769E" w:rsidRDefault="00A4769E" w:rsidP="00A4769E">
            <w:pPr>
              <w:tabs>
                <w:tab w:val="left" w:pos="284"/>
              </w:tabs>
              <w:spacing w:after="240" w:line="256" w:lineRule="auto"/>
              <w:ind w:firstLine="851"/>
              <w:contextualSpacing/>
              <w:jc w:val="both"/>
              <w:rPr>
                <w:b/>
                <w:bCs/>
                <w:kern w:val="2"/>
                <w:sz w:val="22"/>
                <w:szCs w:val="22"/>
                <w:lang w:eastAsia="uk-UA"/>
                <w14:ligatures w14:val="standardContextual"/>
              </w:rPr>
            </w:pPr>
            <w:r w:rsidRPr="00A4769E">
              <w:rPr>
                <w:b/>
                <w:bCs/>
                <w:kern w:val="2"/>
                <w:sz w:val="22"/>
                <w:szCs w:val="22"/>
                <w:lang w:eastAsia="uk-UA"/>
                <w14:ligatures w14:val="standardContextual"/>
              </w:rPr>
              <w:t>За 2022 та 2023 для АТ «ДТЕК ДОНЕЦЬКІ ЕЛЕКТРОМЕРЕЖІ», ПАТ «ЗАПОРІЖЖЯОБЛЕНЕРГО», АТ «ХЕРСОНОБЛЕНЕРГО» та ТОВ «ДТЕК ВИСОКОВОЛЬТНІ МЕРЕЖІ» уточнена сума коштів за статтею «прибуток на регуляторну базу активів, яка створена на дату переходу до стимулюючого регулювання»</w:t>
            </w:r>
            <w:r w:rsidRPr="00A4769E">
              <w:rPr>
                <w:kern w:val="2"/>
                <w:sz w:val="22"/>
                <w:szCs w:val="22"/>
                <w:lang w:eastAsia="uk-UA"/>
                <w14:ligatures w14:val="standardContextual"/>
              </w:rPr>
              <w:t xml:space="preserve"> (П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w:t>
            </w:r>
            <w:r w:rsidRPr="00A4769E">
              <w:rPr>
                <w:b/>
                <w:bCs/>
                <w:kern w:val="2"/>
                <w:sz w:val="22"/>
                <w:szCs w:val="22"/>
                <w:lang w:eastAsia="uk-UA"/>
                <w14:ligatures w14:val="standardContextual"/>
              </w:rPr>
              <w:t xml:space="preserve"> у звітному році, визначається з урахуванням ЧОД відповідного ліцензіата за відповідний рік за формулою</w:t>
            </w:r>
          </w:p>
          <w:p w14:paraId="532B88ED" w14:textId="77777777" w:rsidR="00A4769E" w:rsidRPr="00A4769E" w:rsidRDefault="00A4769E" w:rsidP="00A4769E">
            <w:pPr>
              <w:tabs>
                <w:tab w:val="left" w:pos="284"/>
              </w:tabs>
              <w:spacing w:after="240" w:line="256" w:lineRule="auto"/>
              <w:ind w:firstLine="851"/>
              <w:contextualSpacing/>
              <w:jc w:val="both"/>
              <w:rPr>
                <w:b/>
                <w:bCs/>
                <w:kern w:val="2"/>
                <w:sz w:val="22"/>
                <w:szCs w:val="22"/>
                <w:lang w:eastAsia="uk-UA"/>
                <w14:ligatures w14:val="standardContextual"/>
              </w:rPr>
            </w:pPr>
          </w:p>
          <w:p w14:paraId="4830BFF1" w14:textId="77777777" w:rsidR="00A4769E" w:rsidRPr="00A4769E" w:rsidRDefault="00A4769E" w:rsidP="00A4769E">
            <w:pPr>
              <w:tabs>
                <w:tab w:val="left" w:pos="284"/>
              </w:tabs>
              <w:spacing w:after="240" w:line="256" w:lineRule="auto"/>
              <w:contextualSpacing/>
              <w:jc w:val="both"/>
              <w:rPr>
                <w:kern w:val="2"/>
                <w:sz w:val="22"/>
                <w:szCs w:val="22"/>
                <w:lang w:eastAsia="uk-UA"/>
                <w14:ligatures w14:val="standardContextual"/>
              </w:rPr>
            </w:pPr>
            <w:r w:rsidRPr="00A4769E">
              <w:rPr>
                <w:kern w:val="2"/>
                <w:sz w:val="22"/>
                <w:szCs w:val="22"/>
                <w:lang w:eastAsia="uk-UA"/>
                <w14:ligatures w14:val="standardContextual"/>
              </w:rPr>
              <w:t>П</w:t>
            </w:r>
            <w:r w:rsidRPr="00A4769E">
              <w:rPr>
                <w:b/>
                <w:bCs/>
                <w:kern w:val="2"/>
                <w:sz w:val="22"/>
                <w:szCs w:val="22"/>
                <w:lang w:eastAsia="uk-UA"/>
                <w14:ligatures w14:val="standardContextual"/>
              </w:rPr>
              <w:t> уточ </w:t>
            </w:r>
            <w:proofErr w:type="spellStart"/>
            <w:r w:rsidRPr="00A4769E">
              <w:rPr>
                <w:b/>
                <w:bCs/>
                <w:kern w:val="2"/>
                <w:sz w:val="22"/>
                <w:szCs w:val="22"/>
                <w:lang w:eastAsia="uk-UA"/>
                <w14:ligatures w14:val="standardContextual"/>
              </w:rPr>
              <w:t>ст</w:t>
            </w:r>
            <w:proofErr w:type="spellEnd"/>
            <w:r w:rsidRPr="00A4769E">
              <w:rPr>
                <w:b/>
                <w:bCs/>
                <w:kern w:val="2"/>
                <w:sz w:val="22"/>
                <w:szCs w:val="22"/>
                <w:lang w:eastAsia="uk-UA"/>
                <w14:ligatures w14:val="standardContextual"/>
              </w:rPr>
              <w:t xml:space="preserve"> = П </w:t>
            </w:r>
            <w:proofErr w:type="spellStart"/>
            <w:r w:rsidRPr="00A4769E">
              <w:rPr>
                <w:b/>
                <w:bCs/>
                <w:kern w:val="2"/>
                <w:sz w:val="22"/>
                <w:szCs w:val="22"/>
                <w:lang w:eastAsia="uk-UA"/>
                <w14:ligatures w14:val="standardContextual"/>
              </w:rPr>
              <w:t>ор</w:t>
            </w:r>
            <w:proofErr w:type="spellEnd"/>
            <w:r w:rsidRPr="00A4769E">
              <w:rPr>
                <w:b/>
                <w:bCs/>
                <w:kern w:val="2"/>
                <w:sz w:val="22"/>
                <w:szCs w:val="22"/>
                <w:lang w:eastAsia="uk-UA"/>
                <w14:ligatures w14:val="standardContextual"/>
              </w:rPr>
              <w:t> </w:t>
            </w:r>
            <w:proofErr w:type="spellStart"/>
            <w:r w:rsidRPr="00A4769E">
              <w:rPr>
                <w:b/>
                <w:bCs/>
                <w:kern w:val="2"/>
                <w:sz w:val="22"/>
                <w:szCs w:val="22"/>
                <w:lang w:eastAsia="uk-UA"/>
                <w14:ligatures w14:val="standardContextual"/>
              </w:rPr>
              <w:t>ст</w:t>
            </w:r>
            <w:proofErr w:type="spellEnd"/>
            <w:r w:rsidRPr="00A4769E">
              <w:rPr>
                <w:b/>
                <w:bCs/>
                <w:kern w:val="2"/>
                <w:sz w:val="22"/>
                <w:szCs w:val="22"/>
                <w:lang w:eastAsia="uk-UA"/>
                <w14:ligatures w14:val="standardContextual"/>
              </w:rPr>
              <w:t xml:space="preserve"> + (РБА</w:t>
            </w:r>
            <w:r w:rsidRPr="00A4769E">
              <w:rPr>
                <w:b/>
                <w:bCs/>
                <w:kern w:val="2"/>
                <w:sz w:val="22"/>
                <w:szCs w:val="22"/>
                <w:vertAlign w:val="subscript"/>
                <w:lang w:eastAsia="uk-UA"/>
                <w14:ligatures w14:val="standardContextual"/>
              </w:rPr>
              <w:t>0уточ</w:t>
            </w:r>
            <w:r w:rsidRPr="00A4769E">
              <w:rPr>
                <w:b/>
                <w:bCs/>
                <w:kern w:val="2"/>
                <w:sz w:val="22"/>
                <w:szCs w:val="22"/>
                <w:lang w:eastAsia="uk-UA"/>
                <w14:ligatures w14:val="standardContextual"/>
              </w:rPr>
              <w:t xml:space="preserve"> х РНД</w:t>
            </w:r>
            <w:r w:rsidRPr="00A4769E">
              <w:rPr>
                <w:b/>
                <w:bCs/>
                <w:kern w:val="2"/>
                <w:sz w:val="22"/>
                <w:szCs w:val="22"/>
                <w:vertAlign w:val="subscript"/>
                <w:lang w:eastAsia="uk-UA"/>
                <w14:ligatures w14:val="standardContextual"/>
              </w:rPr>
              <w:t xml:space="preserve">0 </w:t>
            </w:r>
            <m:oMath>
              <m:r>
                <m:rPr>
                  <m:sty m:val="bi"/>
                </m:rPr>
                <w:rPr>
                  <w:rFonts w:ascii="Cambria Math" w:hAnsi="Cambria Math"/>
                  <w:kern w:val="2"/>
                  <w:sz w:val="22"/>
                  <w:szCs w:val="22"/>
                  <w:lang w:eastAsia="uk-UA"/>
                  <w14:ligatures w14:val="standardContextual"/>
                </w:rPr>
                <m:t>-</m:t>
              </m:r>
              <m:r>
                <m:rPr>
                  <m:sty m:val="b"/>
                </m:rPr>
                <w:rPr>
                  <w:rFonts w:ascii="Cambria Math" w:hAnsi="Cambria Math"/>
                  <w:kern w:val="2"/>
                  <w:sz w:val="22"/>
                  <w:szCs w:val="22"/>
                  <w:lang w:eastAsia="uk-UA"/>
                  <w14:ligatures w14:val="standardContextual"/>
                </w:rPr>
                <m:t xml:space="preserve">П ор ст </m:t>
              </m:r>
              <m:r>
                <m:rPr>
                  <m:sty m:val="bi"/>
                </m:rPr>
                <w:rPr>
                  <w:rFonts w:ascii="Cambria Math" w:hAnsi="Cambria Math"/>
                  <w:kern w:val="2"/>
                  <w:sz w:val="22"/>
                  <w:szCs w:val="22"/>
                  <w:lang w:eastAsia="uk-UA"/>
                  <w14:ligatures w14:val="standardContextual"/>
                </w:rPr>
                <m:t>) ×ЧОД))</m:t>
              </m:r>
            </m:oMath>
          </w:p>
          <w:p w14:paraId="11406435" w14:textId="77777777" w:rsidR="00A4769E" w:rsidRPr="00A4769E" w:rsidRDefault="00A4769E" w:rsidP="00A4769E">
            <w:pPr>
              <w:spacing w:after="160" w:line="256" w:lineRule="auto"/>
              <w:jc w:val="both"/>
              <w:rPr>
                <w:b/>
                <w:bCs/>
                <w:kern w:val="2"/>
                <w:sz w:val="22"/>
                <w:szCs w:val="22"/>
                <w:lang w:eastAsia="uk-UA"/>
                <w14:ligatures w14:val="standardContextual"/>
              </w:rPr>
            </w:pPr>
            <w:r w:rsidRPr="00A4769E">
              <w:rPr>
                <w:b/>
                <w:bCs/>
                <w:kern w:val="2"/>
                <w:sz w:val="22"/>
                <w:szCs w:val="22"/>
                <w:lang w:eastAsia="uk-UA"/>
                <w14:ligatures w14:val="standardContextual"/>
              </w:rPr>
              <w:t>де П </w:t>
            </w:r>
            <w:proofErr w:type="spellStart"/>
            <w:r w:rsidRPr="00A4769E">
              <w:rPr>
                <w:b/>
                <w:bCs/>
                <w:kern w:val="2"/>
                <w:sz w:val="22"/>
                <w:szCs w:val="22"/>
                <w:lang w:eastAsia="uk-UA"/>
                <w14:ligatures w14:val="standardContextual"/>
              </w:rPr>
              <w:t>ор</w:t>
            </w:r>
            <w:proofErr w:type="spellEnd"/>
            <w:r w:rsidRPr="00A4769E">
              <w:rPr>
                <w:b/>
                <w:bCs/>
                <w:kern w:val="2"/>
                <w:sz w:val="22"/>
                <w:szCs w:val="22"/>
                <w:lang w:eastAsia="uk-UA"/>
                <w14:ligatures w14:val="standardContextual"/>
              </w:rPr>
              <w:t> </w:t>
            </w:r>
            <w:proofErr w:type="spellStart"/>
            <w:r w:rsidRPr="00A4769E">
              <w:rPr>
                <w:b/>
                <w:bCs/>
                <w:kern w:val="2"/>
                <w:sz w:val="22"/>
                <w:szCs w:val="22"/>
                <w:lang w:eastAsia="uk-UA"/>
                <w14:ligatures w14:val="standardContextual"/>
              </w:rPr>
              <w:t>ст</w:t>
            </w:r>
            <w:proofErr w:type="spellEnd"/>
            <w:r w:rsidRPr="00A4769E">
              <w:rPr>
                <w:b/>
                <w:bCs/>
                <w:kern w:val="2"/>
                <w:sz w:val="22"/>
                <w:szCs w:val="22"/>
                <w:lang w:eastAsia="uk-UA"/>
                <w14:ligatures w14:val="standardContextual"/>
              </w:rPr>
              <w:t xml:space="preserve"> – сума коштів (обов’язкові реінвестиції)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6E510F0E" w14:textId="77777777" w:rsidR="00A4769E" w:rsidRDefault="00A4769E" w:rsidP="00A4769E">
            <w:pPr>
              <w:jc w:val="both"/>
              <w:rPr>
                <w:b/>
                <w:sz w:val="22"/>
                <w:szCs w:val="22"/>
              </w:rPr>
            </w:pPr>
            <w:r w:rsidRPr="00A4769E">
              <w:rPr>
                <w:sz w:val="22"/>
                <w:szCs w:val="22"/>
                <w:lang w:eastAsia="uk-UA"/>
              </w:rPr>
              <w:lastRenderedPageBreak/>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tc>
        <w:tc>
          <w:tcPr>
            <w:tcW w:w="5812" w:type="dxa"/>
            <w:shd w:val="clear" w:color="auto" w:fill="auto"/>
          </w:tcPr>
          <w:p w14:paraId="36BB8911" w14:textId="77777777" w:rsidR="00A4769E" w:rsidRDefault="00A4769E" w:rsidP="00B91461">
            <w:pPr>
              <w:jc w:val="both"/>
              <w:rPr>
                <w:i/>
                <w:sz w:val="22"/>
                <w:szCs w:val="22"/>
                <w:shd w:val="clear" w:color="auto" w:fill="FFFFFF"/>
              </w:rPr>
            </w:pPr>
            <w:r w:rsidRPr="00A4769E">
              <w:rPr>
                <w:i/>
                <w:sz w:val="22"/>
                <w:szCs w:val="22"/>
                <w:shd w:val="clear" w:color="auto" w:fill="FFFFFF"/>
              </w:rPr>
              <w:lastRenderedPageBreak/>
              <w:t>&lt;…&gt;</w:t>
            </w:r>
          </w:p>
          <w:p w14:paraId="53862A1D" w14:textId="77777777" w:rsidR="00A4769E" w:rsidRDefault="00A4769E" w:rsidP="00A4769E">
            <w:pPr>
              <w:jc w:val="both"/>
              <w:rPr>
                <w:i/>
                <w:sz w:val="22"/>
                <w:szCs w:val="22"/>
                <w:shd w:val="clear" w:color="auto" w:fill="FFFFFF"/>
              </w:rPr>
            </w:pPr>
            <w:r w:rsidRPr="00A4769E">
              <w:rPr>
                <w:i/>
                <w:sz w:val="22"/>
                <w:szCs w:val="22"/>
                <w:shd w:val="clear" w:color="auto" w:fill="FFFFFF"/>
              </w:rPr>
              <w:t>АТ ДТЕК «ДОНЕЦЬКІ ЕЛЕКТРОМЕРЕЖІ»</w:t>
            </w:r>
          </w:p>
          <w:p w14:paraId="789D5053" w14:textId="77777777" w:rsidR="00A4769E" w:rsidRDefault="00A4769E" w:rsidP="00B91461">
            <w:pPr>
              <w:jc w:val="both"/>
              <w:rPr>
                <w:i/>
                <w:sz w:val="22"/>
                <w:szCs w:val="22"/>
                <w:shd w:val="clear" w:color="auto" w:fill="FFFFFF"/>
              </w:rPr>
            </w:pPr>
          </w:p>
          <w:p w14:paraId="461F703F"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 xml:space="preserve">9) дельта за статтею «прибуток на регуляторну базу активів, яка створена на дату переходу до стимулюючого </w:t>
            </w:r>
            <w:r w:rsidRPr="00A4769E">
              <w:rPr>
                <w:kern w:val="2"/>
                <w:sz w:val="22"/>
                <w:szCs w:val="22"/>
                <w:lang w:eastAsia="uk-UA"/>
                <w14:ligatures w14:val="standardContextual"/>
              </w:rPr>
              <w:lastRenderedPageBreak/>
              <w:t>регулювання» (∆</w:t>
            </w:r>
            <w:proofErr w:type="spellStart"/>
            <w:r w:rsidRPr="00A4769E">
              <w:rPr>
                <w:kern w:val="2"/>
                <w:sz w:val="22"/>
                <w:szCs w:val="22"/>
                <w:lang w:eastAsia="uk-UA"/>
                <w14:ligatures w14:val="standardContextual"/>
              </w:rPr>
              <w:t>Пст</w:t>
            </w:r>
            <w:proofErr w:type="spellEnd"/>
            <w:r w:rsidRPr="00A4769E">
              <w:rPr>
                <w:kern w:val="2"/>
                <w:sz w:val="22"/>
                <w:szCs w:val="22"/>
                <w:lang w:eastAsia="uk-UA"/>
                <w14:ligatures w14:val="standardContextual"/>
              </w:rPr>
              <w:t>) у звітному році тис. грн, визначається за формулою</w:t>
            </w:r>
          </w:p>
          <w:p w14:paraId="3F21F089" w14:textId="77777777" w:rsidR="00A4769E" w:rsidRPr="00A4769E" w:rsidRDefault="00A4769E" w:rsidP="00A4769E">
            <w:pPr>
              <w:spacing w:after="160" w:line="256" w:lineRule="auto"/>
              <w:jc w:val="both"/>
              <w:rPr>
                <w:kern w:val="2"/>
                <w:sz w:val="22"/>
                <w:szCs w:val="22"/>
                <w:lang w:eastAsia="uk-UA"/>
                <w14:ligatures w14:val="standardContextual"/>
              </w:rPr>
            </w:pPr>
            <w:r w:rsidRPr="00A4769E">
              <w:rPr>
                <w:kern w:val="2"/>
                <w:sz w:val="22"/>
                <w:szCs w:val="22"/>
                <w:lang w:eastAsia="uk-UA"/>
                <w14:ligatures w14:val="standardContextual"/>
              </w:rPr>
              <w:t>∆</w:t>
            </w:r>
            <w:proofErr w:type="spellStart"/>
            <w:r w:rsidRPr="00A4769E">
              <w:rPr>
                <w:kern w:val="2"/>
                <w:sz w:val="22"/>
                <w:szCs w:val="22"/>
                <w:lang w:eastAsia="uk-UA"/>
                <w14:ligatures w14:val="standardContextual"/>
              </w:rPr>
              <w:t>Пст</w:t>
            </w:r>
            <w:proofErr w:type="spellEnd"/>
            <w:r w:rsidRPr="00A4769E">
              <w:rPr>
                <w:kern w:val="2"/>
                <w:sz w:val="22"/>
                <w:szCs w:val="22"/>
                <w:lang w:eastAsia="uk-UA"/>
                <w14:ligatures w14:val="standardContextual"/>
              </w:rPr>
              <w:t xml:space="preserve"> = П т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w:t>
            </w:r>
          </w:p>
          <w:p w14:paraId="141594D5"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де П т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xml:space="preserve">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1AFB79C9"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p>
          <w:p w14:paraId="3C7BD5A8" w14:textId="77777777" w:rsidR="00A4769E" w:rsidRPr="00A4769E" w:rsidRDefault="00A4769E" w:rsidP="00A4769E">
            <w:pPr>
              <w:spacing w:after="160" w:line="256" w:lineRule="auto"/>
              <w:jc w:val="both"/>
              <w:rPr>
                <w:kern w:val="2"/>
                <w:sz w:val="22"/>
                <w:szCs w:val="22"/>
                <w:lang w:eastAsia="uk-UA"/>
                <w14:ligatures w14:val="standardContextual"/>
              </w:rPr>
            </w:pPr>
            <w:r w:rsidRPr="00A4769E">
              <w:rPr>
                <w:kern w:val="2"/>
                <w:sz w:val="22"/>
                <w:szCs w:val="22"/>
                <w:lang w:eastAsia="uk-UA"/>
                <w14:ligatures w14:val="standardContextual"/>
              </w:rPr>
              <w:t>П уточ </w:t>
            </w:r>
            <w:proofErr w:type="spellStart"/>
            <w:r w:rsidRPr="00A4769E">
              <w:rPr>
                <w:kern w:val="2"/>
                <w:sz w:val="22"/>
                <w:szCs w:val="22"/>
                <w:lang w:eastAsia="uk-UA"/>
                <w14:ligatures w14:val="standardContextual"/>
              </w:rPr>
              <w:t>ст</w:t>
            </w:r>
            <w:proofErr w:type="spellEnd"/>
            <w:r w:rsidRPr="00A4769E">
              <w:rPr>
                <w:kern w:val="2"/>
                <w:sz w:val="22"/>
                <w:szCs w:val="22"/>
                <w:lang w:eastAsia="uk-UA"/>
                <w14:ligatures w14:val="standardContextual"/>
              </w:rPr>
              <w:t xml:space="preserve"> = РБА0уточ х РНД0,</w:t>
            </w:r>
          </w:p>
          <w:p w14:paraId="75C06C5D"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 xml:space="preserve">де  РБА0уточ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 пунктів 2.5 та 2.6 розділу ІІ Порядку визначення регуляторної бази активів суб’єктів природних монополій у сфері електроенергетики, </w:t>
            </w:r>
            <w:r w:rsidRPr="00A4769E">
              <w:rPr>
                <w:kern w:val="2"/>
                <w:sz w:val="22"/>
                <w:szCs w:val="22"/>
                <w:lang w:eastAsia="uk-UA"/>
                <w14:ligatures w14:val="standardContextual"/>
              </w:rPr>
              <w:lastRenderedPageBreak/>
              <w:t>затвердженого постановою НКРЕ від 11 липня 2013 року №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(при перевірці за 2023 та 2024 роки використовується рівень РБА0уточ,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720A1FEC" w14:textId="77777777" w:rsidR="00A4769E" w:rsidRPr="00A4769E" w:rsidRDefault="00A4769E" w:rsidP="00A4769E">
            <w:pPr>
              <w:spacing w:after="160" w:line="256" w:lineRule="auto"/>
              <w:ind w:firstLine="709"/>
              <w:jc w:val="both"/>
              <w:rPr>
                <w:kern w:val="2"/>
                <w:sz w:val="22"/>
                <w:szCs w:val="22"/>
                <w:lang w:eastAsia="uk-UA"/>
                <w14:ligatures w14:val="standardContextual"/>
              </w:rPr>
            </w:pPr>
            <w:r w:rsidRPr="00A4769E">
              <w:rPr>
                <w:kern w:val="2"/>
                <w:sz w:val="22"/>
                <w:szCs w:val="22"/>
                <w:lang w:eastAsia="uk-UA"/>
                <w14:ligatures w14:val="standardContextual"/>
              </w:rPr>
              <w:t>РНД0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09778F8F" w14:textId="77777777" w:rsidR="001043BA" w:rsidRDefault="001043BA" w:rsidP="001043BA">
            <w:pPr>
              <w:jc w:val="both"/>
              <w:rPr>
                <w:i/>
                <w:sz w:val="22"/>
                <w:szCs w:val="22"/>
                <w:shd w:val="clear" w:color="auto" w:fill="FFFFFF"/>
              </w:rPr>
            </w:pPr>
            <w:r w:rsidRPr="00A4769E">
              <w:rPr>
                <w:i/>
                <w:sz w:val="22"/>
                <w:szCs w:val="22"/>
                <w:shd w:val="clear" w:color="auto" w:fill="FFFFFF"/>
              </w:rPr>
              <w:t>АТ ДТЕК «ДОНЕЦЬКІ ЕЛЕКТРОМЕРЕЖІ»</w:t>
            </w:r>
          </w:p>
          <w:p w14:paraId="4ACB06F0" w14:textId="77777777" w:rsidR="00A4769E" w:rsidRDefault="00A4769E" w:rsidP="00B91461">
            <w:pPr>
              <w:jc w:val="both"/>
              <w:rPr>
                <w:i/>
                <w:sz w:val="22"/>
                <w:szCs w:val="22"/>
                <w:shd w:val="clear" w:color="auto" w:fill="FFFFFF"/>
              </w:rPr>
            </w:pPr>
          </w:p>
          <w:p w14:paraId="69D6028C" w14:textId="77777777" w:rsidR="001043BA" w:rsidRPr="00A4769E" w:rsidRDefault="001043BA" w:rsidP="001043BA">
            <w:pPr>
              <w:spacing w:after="160" w:line="256" w:lineRule="auto"/>
              <w:jc w:val="both"/>
              <w:rPr>
                <w:rFonts w:eastAsia="Calibri"/>
                <w:b/>
                <w:kern w:val="2"/>
                <w:sz w:val="22"/>
                <w:szCs w:val="22"/>
                <w:lang w:eastAsia="en-US"/>
                <w14:ligatures w14:val="standardContextual"/>
              </w:rPr>
            </w:pPr>
            <w:r w:rsidRPr="00A4769E">
              <w:rPr>
                <w:rFonts w:eastAsia="Calibri"/>
                <w:b/>
                <w:kern w:val="2"/>
                <w:sz w:val="22"/>
                <w:szCs w:val="22"/>
                <w:lang w:eastAsia="en-US"/>
                <w14:ligatures w14:val="standardContextual"/>
              </w:rPr>
              <w:t>Відсутні абзаци</w:t>
            </w:r>
          </w:p>
          <w:p w14:paraId="522C9B23" w14:textId="77777777" w:rsidR="00A4769E" w:rsidRDefault="00A4769E" w:rsidP="00B91461">
            <w:pPr>
              <w:jc w:val="both"/>
              <w:rPr>
                <w:i/>
                <w:sz w:val="22"/>
                <w:szCs w:val="22"/>
                <w:shd w:val="clear" w:color="auto" w:fill="FFFFFF"/>
              </w:rPr>
            </w:pPr>
          </w:p>
          <w:p w14:paraId="1448653C" w14:textId="77777777" w:rsidR="001043BA" w:rsidRDefault="001043BA" w:rsidP="001043BA">
            <w:pPr>
              <w:jc w:val="both"/>
              <w:rPr>
                <w:i/>
                <w:sz w:val="22"/>
                <w:szCs w:val="22"/>
                <w:shd w:val="clear" w:color="auto" w:fill="FFFFFF"/>
              </w:rPr>
            </w:pPr>
            <w:r>
              <w:rPr>
                <w:i/>
                <w:sz w:val="22"/>
                <w:szCs w:val="22"/>
                <w:shd w:val="clear" w:color="auto" w:fill="FFFFFF"/>
              </w:rPr>
              <w:t>ОБГРУНТУВАННЯ</w:t>
            </w:r>
          </w:p>
          <w:p w14:paraId="38606845" w14:textId="77777777" w:rsidR="001043BA" w:rsidRPr="00A4769E" w:rsidRDefault="001043BA" w:rsidP="001043BA">
            <w:pPr>
              <w:jc w:val="both"/>
              <w:rPr>
                <w:sz w:val="22"/>
                <w:szCs w:val="22"/>
                <w:shd w:val="clear" w:color="auto" w:fill="FFFFFF"/>
              </w:rPr>
            </w:pPr>
            <w:r w:rsidRPr="00A4769E">
              <w:rPr>
                <w:sz w:val="22"/>
                <w:szCs w:val="22"/>
                <w:shd w:val="clear" w:color="auto" w:fill="FFFFFF"/>
              </w:rPr>
              <w:t xml:space="preserve">Пропонується залишити в діючій редакції. Сума прибутку на РБА не повинна занижуватись при зниженні обсягів розподілу. Отримання певного прибутку на РБА – це право ліцензіата, який перейшов на стимулююче регулювання. </w:t>
            </w:r>
          </w:p>
          <w:p w14:paraId="658CDEC1" w14:textId="77777777" w:rsidR="00A4769E" w:rsidRDefault="001043BA" w:rsidP="001043BA">
            <w:pPr>
              <w:jc w:val="both"/>
              <w:rPr>
                <w:i/>
                <w:sz w:val="22"/>
                <w:szCs w:val="22"/>
                <w:shd w:val="clear" w:color="auto" w:fill="FFFFFF"/>
              </w:rPr>
            </w:pPr>
            <w:r w:rsidRPr="00A4769E">
              <w:rPr>
                <w:sz w:val="22"/>
                <w:szCs w:val="22"/>
                <w:shd w:val="clear" w:color="auto" w:fill="FFFFFF"/>
              </w:rPr>
              <w:t>Також, в особливих умовах роботи військового стану прибуток на РБА може стати необхідним джерелом у випадках фінансування робіт з відновлення пошкоджених об'єктів електричних мереж або їх складових внаслідок бойових дій та/або виконання заходів із захисту відповідно до постанови НКРЕКП від 20 квітня 2022 року N 386.</w:t>
            </w:r>
          </w:p>
          <w:p w14:paraId="684A7B16" w14:textId="77777777" w:rsidR="00A4769E" w:rsidRDefault="00A4769E" w:rsidP="00B91461">
            <w:pPr>
              <w:jc w:val="both"/>
              <w:rPr>
                <w:i/>
                <w:sz w:val="22"/>
                <w:szCs w:val="22"/>
                <w:shd w:val="clear" w:color="auto" w:fill="FFFFFF"/>
              </w:rPr>
            </w:pPr>
          </w:p>
          <w:p w14:paraId="0C60E731" w14:textId="77777777" w:rsidR="00A4769E" w:rsidRDefault="00A4769E" w:rsidP="00B91461">
            <w:pPr>
              <w:jc w:val="both"/>
              <w:rPr>
                <w:i/>
                <w:sz w:val="22"/>
                <w:szCs w:val="22"/>
                <w:shd w:val="clear" w:color="auto" w:fill="FFFFFF"/>
              </w:rPr>
            </w:pPr>
          </w:p>
          <w:p w14:paraId="7C92015D" w14:textId="77777777" w:rsidR="001043BA" w:rsidRDefault="001043BA" w:rsidP="00650E6F">
            <w:pPr>
              <w:spacing w:after="160" w:line="256" w:lineRule="auto"/>
              <w:ind w:firstLine="30"/>
              <w:jc w:val="both"/>
              <w:rPr>
                <w:kern w:val="2"/>
                <w:sz w:val="22"/>
                <w:szCs w:val="22"/>
                <w:lang w:eastAsia="uk-UA"/>
                <w14:ligatures w14:val="standardContextual"/>
              </w:rPr>
            </w:pPr>
            <w:r w:rsidRPr="00A4769E">
              <w:rPr>
                <w:kern w:val="2"/>
                <w:sz w:val="22"/>
                <w:szCs w:val="22"/>
                <w:lang w:eastAsia="uk-UA"/>
                <w14:ligatures w14:val="standardContextual"/>
              </w:rPr>
              <w:t>&lt;…&gt;</w:t>
            </w:r>
          </w:p>
          <w:p w14:paraId="084B4054" w14:textId="77777777" w:rsidR="00A4769E" w:rsidRDefault="00A4769E" w:rsidP="00A4769E">
            <w:pPr>
              <w:jc w:val="both"/>
              <w:rPr>
                <w:i/>
                <w:sz w:val="22"/>
                <w:szCs w:val="22"/>
                <w:shd w:val="clear" w:color="auto" w:fill="FFFFFF"/>
              </w:rPr>
            </w:pPr>
          </w:p>
        </w:tc>
        <w:tc>
          <w:tcPr>
            <w:tcW w:w="3546" w:type="dxa"/>
            <w:shd w:val="clear" w:color="auto" w:fill="auto"/>
          </w:tcPr>
          <w:p w14:paraId="49EF8D96" w14:textId="77777777" w:rsidR="00925F62" w:rsidRPr="002228DC" w:rsidRDefault="00925F62" w:rsidP="006F3E07">
            <w:pPr>
              <w:rPr>
                <w:kern w:val="2"/>
                <w:sz w:val="22"/>
                <w:szCs w:val="22"/>
                <w:lang w:eastAsia="uk-UA"/>
                <w14:ligatures w14:val="standardContextual"/>
              </w:rPr>
            </w:pPr>
          </w:p>
          <w:p w14:paraId="0617A0BE" w14:textId="77777777" w:rsidR="00925F62" w:rsidRPr="002228DC" w:rsidRDefault="00925F62" w:rsidP="006F3E07">
            <w:pPr>
              <w:rPr>
                <w:kern w:val="2"/>
                <w:sz w:val="22"/>
                <w:szCs w:val="22"/>
                <w:lang w:eastAsia="uk-UA"/>
                <w14:ligatures w14:val="standardContextual"/>
              </w:rPr>
            </w:pPr>
          </w:p>
          <w:p w14:paraId="537E460E" w14:textId="77777777" w:rsidR="00925F62" w:rsidRPr="002228DC" w:rsidRDefault="00925F62" w:rsidP="006F3E07">
            <w:pPr>
              <w:rPr>
                <w:kern w:val="2"/>
                <w:sz w:val="22"/>
                <w:szCs w:val="22"/>
                <w:lang w:eastAsia="uk-UA"/>
                <w14:ligatures w14:val="standardContextual"/>
              </w:rPr>
            </w:pPr>
          </w:p>
          <w:p w14:paraId="2E52674C" w14:textId="77777777" w:rsidR="00925F62" w:rsidRPr="002228DC" w:rsidRDefault="00925F62" w:rsidP="006F3E07">
            <w:pPr>
              <w:rPr>
                <w:kern w:val="2"/>
                <w:sz w:val="22"/>
                <w:szCs w:val="22"/>
                <w:lang w:eastAsia="uk-UA"/>
                <w14:ligatures w14:val="standardContextual"/>
              </w:rPr>
            </w:pPr>
          </w:p>
          <w:p w14:paraId="2A518AC7" w14:textId="77777777" w:rsidR="00925F62" w:rsidRPr="002228DC" w:rsidRDefault="00925F62" w:rsidP="006F3E07">
            <w:pPr>
              <w:rPr>
                <w:kern w:val="2"/>
                <w:sz w:val="22"/>
                <w:szCs w:val="22"/>
                <w:lang w:eastAsia="uk-UA"/>
                <w14:ligatures w14:val="standardContextual"/>
              </w:rPr>
            </w:pPr>
          </w:p>
          <w:p w14:paraId="1545C8AA" w14:textId="77777777" w:rsidR="00925F62" w:rsidRPr="002228DC" w:rsidRDefault="00925F62" w:rsidP="006F3E07">
            <w:pPr>
              <w:rPr>
                <w:kern w:val="2"/>
                <w:sz w:val="22"/>
                <w:szCs w:val="22"/>
                <w:lang w:eastAsia="uk-UA"/>
                <w14:ligatures w14:val="standardContextual"/>
              </w:rPr>
            </w:pPr>
          </w:p>
          <w:p w14:paraId="312FE977" w14:textId="77777777" w:rsidR="00925F62" w:rsidRPr="002228DC" w:rsidRDefault="00925F62" w:rsidP="006F3E07">
            <w:pPr>
              <w:rPr>
                <w:kern w:val="2"/>
                <w:sz w:val="22"/>
                <w:szCs w:val="22"/>
                <w:lang w:eastAsia="uk-UA"/>
                <w14:ligatures w14:val="standardContextual"/>
              </w:rPr>
            </w:pPr>
          </w:p>
          <w:p w14:paraId="161C4D8E" w14:textId="77777777" w:rsidR="00925F62" w:rsidRPr="002228DC" w:rsidRDefault="00925F62" w:rsidP="006F3E07">
            <w:pPr>
              <w:rPr>
                <w:kern w:val="2"/>
                <w:sz w:val="22"/>
                <w:szCs w:val="22"/>
                <w:lang w:eastAsia="uk-UA"/>
                <w14:ligatures w14:val="standardContextual"/>
              </w:rPr>
            </w:pPr>
          </w:p>
          <w:p w14:paraId="56D7F376" w14:textId="77777777" w:rsidR="00925F62" w:rsidRPr="002228DC" w:rsidRDefault="00925F62" w:rsidP="006F3E07">
            <w:pPr>
              <w:rPr>
                <w:kern w:val="2"/>
                <w:sz w:val="22"/>
                <w:szCs w:val="22"/>
                <w:lang w:eastAsia="uk-UA"/>
                <w14:ligatures w14:val="standardContextual"/>
              </w:rPr>
            </w:pPr>
          </w:p>
          <w:p w14:paraId="35A3DC85" w14:textId="77777777" w:rsidR="00925F62" w:rsidRPr="002228DC" w:rsidRDefault="00925F62" w:rsidP="006F3E07">
            <w:pPr>
              <w:rPr>
                <w:kern w:val="2"/>
                <w:sz w:val="22"/>
                <w:szCs w:val="22"/>
                <w:lang w:eastAsia="uk-UA"/>
                <w14:ligatures w14:val="standardContextual"/>
              </w:rPr>
            </w:pPr>
          </w:p>
          <w:p w14:paraId="6A4FAE4F" w14:textId="77777777" w:rsidR="00925F62" w:rsidRPr="002228DC" w:rsidRDefault="00925F62" w:rsidP="006F3E07">
            <w:pPr>
              <w:rPr>
                <w:kern w:val="2"/>
                <w:sz w:val="22"/>
                <w:szCs w:val="22"/>
                <w:lang w:eastAsia="uk-UA"/>
                <w14:ligatures w14:val="standardContextual"/>
              </w:rPr>
            </w:pPr>
          </w:p>
          <w:p w14:paraId="0DDEFE4B" w14:textId="77777777" w:rsidR="00925F62" w:rsidRPr="002228DC" w:rsidRDefault="00925F62" w:rsidP="006F3E07">
            <w:pPr>
              <w:rPr>
                <w:kern w:val="2"/>
                <w:sz w:val="22"/>
                <w:szCs w:val="22"/>
                <w:lang w:eastAsia="uk-UA"/>
                <w14:ligatures w14:val="standardContextual"/>
              </w:rPr>
            </w:pPr>
          </w:p>
          <w:p w14:paraId="3ECE44CF" w14:textId="77777777" w:rsidR="00925F62" w:rsidRPr="002228DC" w:rsidRDefault="00925F62" w:rsidP="006F3E07">
            <w:pPr>
              <w:rPr>
                <w:kern w:val="2"/>
                <w:sz w:val="22"/>
                <w:szCs w:val="22"/>
                <w:lang w:eastAsia="uk-UA"/>
                <w14:ligatures w14:val="standardContextual"/>
              </w:rPr>
            </w:pPr>
          </w:p>
          <w:p w14:paraId="0A329092" w14:textId="77777777" w:rsidR="00925F62" w:rsidRPr="002228DC" w:rsidRDefault="00925F62" w:rsidP="006F3E07">
            <w:pPr>
              <w:rPr>
                <w:kern w:val="2"/>
                <w:sz w:val="22"/>
                <w:szCs w:val="22"/>
                <w:lang w:eastAsia="uk-UA"/>
                <w14:ligatures w14:val="standardContextual"/>
              </w:rPr>
            </w:pPr>
          </w:p>
          <w:p w14:paraId="50E0DC92" w14:textId="77777777" w:rsidR="00925F62" w:rsidRPr="002228DC" w:rsidRDefault="00925F62" w:rsidP="006F3E07">
            <w:pPr>
              <w:rPr>
                <w:kern w:val="2"/>
                <w:sz w:val="22"/>
                <w:szCs w:val="22"/>
                <w:lang w:eastAsia="uk-UA"/>
                <w14:ligatures w14:val="standardContextual"/>
              </w:rPr>
            </w:pPr>
          </w:p>
          <w:p w14:paraId="5D7ABB55" w14:textId="77777777" w:rsidR="00925F62" w:rsidRPr="002228DC" w:rsidRDefault="00925F62" w:rsidP="006F3E07">
            <w:pPr>
              <w:rPr>
                <w:kern w:val="2"/>
                <w:sz w:val="22"/>
                <w:szCs w:val="22"/>
                <w:lang w:eastAsia="uk-UA"/>
                <w14:ligatures w14:val="standardContextual"/>
              </w:rPr>
            </w:pPr>
          </w:p>
          <w:p w14:paraId="4871941B" w14:textId="77777777" w:rsidR="00925F62" w:rsidRPr="002228DC" w:rsidRDefault="00925F62" w:rsidP="006F3E07">
            <w:pPr>
              <w:rPr>
                <w:kern w:val="2"/>
                <w:sz w:val="22"/>
                <w:szCs w:val="22"/>
                <w:lang w:eastAsia="uk-UA"/>
                <w14:ligatures w14:val="standardContextual"/>
              </w:rPr>
            </w:pPr>
          </w:p>
          <w:p w14:paraId="484B9CAF" w14:textId="77777777" w:rsidR="00925F62" w:rsidRPr="002228DC" w:rsidRDefault="00925F62" w:rsidP="006F3E07">
            <w:pPr>
              <w:rPr>
                <w:kern w:val="2"/>
                <w:sz w:val="22"/>
                <w:szCs w:val="22"/>
                <w:lang w:eastAsia="uk-UA"/>
                <w14:ligatures w14:val="standardContextual"/>
              </w:rPr>
            </w:pPr>
          </w:p>
          <w:p w14:paraId="17C6CD5A" w14:textId="77777777" w:rsidR="00925F62" w:rsidRPr="002228DC" w:rsidRDefault="00925F62" w:rsidP="006F3E07">
            <w:pPr>
              <w:rPr>
                <w:kern w:val="2"/>
                <w:sz w:val="22"/>
                <w:szCs w:val="22"/>
                <w:lang w:eastAsia="uk-UA"/>
                <w14:ligatures w14:val="standardContextual"/>
              </w:rPr>
            </w:pPr>
          </w:p>
          <w:p w14:paraId="40C0BF20" w14:textId="77777777" w:rsidR="00925F62" w:rsidRPr="002228DC" w:rsidRDefault="00925F62" w:rsidP="006F3E07">
            <w:pPr>
              <w:rPr>
                <w:kern w:val="2"/>
                <w:sz w:val="22"/>
                <w:szCs w:val="22"/>
                <w:lang w:eastAsia="uk-UA"/>
                <w14:ligatures w14:val="standardContextual"/>
              </w:rPr>
            </w:pPr>
          </w:p>
          <w:p w14:paraId="3D7108C4" w14:textId="77777777" w:rsidR="00925F62" w:rsidRPr="002228DC" w:rsidRDefault="00925F62" w:rsidP="006F3E07">
            <w:pPr>
              <w:rPr>
                <w:kern w:val="2"/>
                <w:sz w:val="22"/>
                <w:szCs w:val="22"/>
                <w:lang w:eastAsia="uk-UA"/>
                <w14:ligatures w14:val="standardContextual"/>
              </w:rPr>
            </w:pPr>
          </w:p>
          <w:p w14:paraId="346A0E63" w14:textId="77777777" w:rsidR="00925F62" w:rsidRPr="002228DC" w:rsidRDefault="00925F62" w:rsidP="006F3E07">
            <w:pPr>
              <w:rPr>
                <w:kern w:val="2"/>
                <w:sz w:val="22"/>
                <w:szCs w:val="22"/>
                <w:lang w:eastAsia="uk-UA"/>
                <w14:ligatures w14:val="standardContextual"/>
              </w:rPr>
            </w:pPr>
          </w:p>
          <w:p w14:paraId="63B6B4DE" w14:textId="77777777" w:rsidR="00925F62" w:rsidRPr="002228DC" w:rsidRDefault="00925F62" w:rsidP="006F3E07">
            <w:pPr>
              <w:rPr>
                <w:kern w:val="2"/>
                <w:sz w:val="22"/>
                <w:szCs w:val="22"/>
                <w:lang w:eastAsia="uk-UA"/>
                <w14:ligatures w14:val="standardContextual"/>
              </w:rPr>
            </w:pPr>
          </w:p>
          <w:p w14:paraId="73459EBC" w14:textId="77777777" w:rsidR="00925F62" w:rsidRPr="002228DC" w:rsidRDefault="00925F62" w:rsidP="006F3E07">
            <w:pPr>
              <w:rPr>
                <w:kern w:val="2"/>
                <w:sz w:val="22"/>
                <w:szCs w:val="22"/>
                <w:lang w:eastAsia="uk-UA"/>
                <w14:ligatures w14:val="standardContextual"/>
              </w:rPr>
            </w:pPr>
          </w:p>
          <w:p w14:paraId="50E77653" w14:textId="77777777" w:rsidR="00925F62" w:rsidRPr="002228DC" w:rsidRDefault="00925F62" w:rsidP="006F3E07">
            <w:pPr>
              <w:rPr>
                <w:kern w:val="2"/>
                <w:sz w:val="22"/>
                <w:szCs w:val="22"/>
                <w:lang w:eastAsia="uk-UA"/>
                <w14:ligatures w14:val="standardContextual"/>
              </w:rPr>
            </w:pPr>
          </w:p>
          <w:p w14:paraId="5AB33ADF" w14:textId="77777777" w:rsidR="00925F62" w:rsidRPr="002228DC" w:rsidRDefault="00925F62" w:rsidP="006F3E07">
            <w:pPr>
              <w:rPr>
                <w:kern w:val="2"/>
                <w:sz w:val="22"/>
                <w:szCs w:val="22"/>
                <w:lang w:eastAsia="uk-UA"/>
                <w14:ligatures w14:val="standardContextual"/>
              </w:rPr>
            </w:pPr>
          </w:p>
          <w:p w14:paraId="28E66C5B" w14:textId="77777777" w:rsidR="00925F62" w:rsidRPr="002228DC" w:rsidRDefault="00925F62" w:rsidP="006F3E07">
            <w:pPr>
              <w:rPr>
                <w:kern w:val="2"/>
                <w:sz w:val="22"/>
                <w:szCs w:val="22"/>
                <w:lang w:eastAsia="uk-UA"/>
                <w14:ligatures w14:val="standardContextual"/>
              </w:rPr>
            </w:pPr>
          </w:p>
          <w:p w14:paraId="2AD7B5C1" w14:textId="77777777" w:rsidR="00925F62" w:rsidRPr="002228DC" w:rsidRDefault="00925F62" w:rsidP="006F3E07">
            <w:pPr>
              <w:rPr>
                <w:kern w:val="2"/>
                <w:sz w:val="22"/>
                <w:szCs w:val="22"/>
                <w:lang w:eastAsia="uk-UA"/>
                <w14:ligatures w14:val="standardContextual"/>
              </w:rPr>
            </w:pPr>
          </w:p>
          <w:p w14:paraId="306466A9" w14:textId="77777777" w:rsidR="00925F62" w:rsidRPr="002228DC" w:rsidRDefault="00925F62" w:rsidP="006F3E07">
            <w:pPr>
              <w:rPr>
                <w:kern w:val="2"/>
                <w:sz w:val="22"/>
                <w:szCs w:val="22"/>
                <w:lang w:eastAsia="uk-UA"/>
                <w14:ligatures w14:val="standardContextual"/>
              </w:rPr>
            </w:pPr>
          </w:p>
          <w:p w14:paraId="16C3280E" w14:textId="77777777" w:rsidR="00925F62" w:rsidRPr="002228DC" w:rsidRDefault="00925F62" w:rsidP="006F3E07">
            <w:pPr>
              <w:rPr>
                <w:kern w:val="2"/>
                <w:sz w:val="22"/>
                <w:szCs w:val="22"/>
                <w:lang w:eastAsia="uk-UA"/>
                <w14:ligatures w14:val="standardContextual"/>
              </w:rPr>
            </w:pPr>
          </w:p>
          <w:p w14:paraId="57E45F93" w14:textId="77777777" w:rsidR="00925F62" w:rsidRPr="002228DC" w:rsidRDefault="00925F62" w:rsidP="006F3E07">
            <w:pPr>
              <w:rPr>
                <w:kern w:val="2"/>
                <w:sz w:val="22"/>
                <w:szCs w:val="22"/>
                <w:lang w:eastAsia="uk-UA"/>
                <w14:ligatures w14:val="standardContextual"/>
              </w:rPr>
            </w:pPr>
          </w:p>
          <w:p w14:paraId="6F3376F9" w14:textId="77777777" w:rsidR="00925F62" w:rsidRPr="002228DC" w:rsidRDefault="00925F62" w:rsidP="006F3E07">
            <w:pPr>
              <w:rPr>
                <w:kern w:val="2"/>
                <w:sz w:val="22"/>
                <w:szCs w:val="22"/>
                <w:lang w:eastAsia="uk-UA"/>
                <w14:ligatures w14:val="standardContextual"/>
              </w:rPr>
            </w:pPr>
          </w:p>
          <w:p w14:paraId="24680FDE" w14:textId="77777777" w:rsidR="00925F62" w:rsidRPr="002228DC" w:rsidRDefault="00925F62" w:rsidP="006F3E07">
            <w:pPr>
              <w:rPr>
                <w:kern w:val="2"/>
                <w:sz w:val="22"/>
                <w:szCs w:val="22"/>
                <w:lang w:eastAsia="uk-UA"/>
                <w14:ligatures w14:val="standardContextual"/>
              </w:rPr>
            </w:pPr>
          </w:p>
          <w:p w14:paraId="47357038" w14:textId="77777777" w:rsidR="00925F62" w:rsidRPr="002228DC" w:rsidRDefault="00925F62" w:rsidP="006F3E07">
            <w:pPr>
              <w:rPr>
                <w:kern w:val="2"/>
                <w:sz w:val="22"/>
                <w:szCs w:val="22"/>
                <w:lang w:eastAsia="uk-UA"/>
                <w14:ligatures w14:val="standardContextual"/>
              </w:rPr>
            </w:pPr>
          </w:p>
          <w:p w14:paraId="681EF380" w14:textId="77777777" w:rsidR="00925F62" w:rsidRPr="002228DC" w:rsidRDefault="00925F62" w:rsidP="006F3E07">
            <w:pPr>
              <w:rPr>
                <w:kern w:val="2"/>
                <w:sz w:val="22"/>
                <w:szCs w:val="22"/>
                <w:lang w:eastAsia="uk-UA"/>
                <w14:ligatures w14:val="standardContextual"/>
              </w:rPr>
            </w:pPr>
          </w:p>
          <w:p w14:paraId="06706991" w14:textId="77777777" w:rsidR="00925F62" w:rsidRPr="002228DC" w:rsidRDefault="00925F62" w:rsidP="006F3E07">
            <w:pPr>
              <w:rPr>
                <w:kern w:val="2"/>
                <w:sz w:val="22"/>
                <w:szCs w:val="22"/>
                <w:lang w:eastAsia="uk-UA"/>
                <w14:ligatures w14:val="standardContextual"/>
              </w:rPr>
            </w:pPr>
          </w:p>
          <w:p w14:paraId="218EA104" w14:textId="77777777" w:rsidR="00925F62" w:rsidRPr="002228DC" w:rsidRDefault="00925F62" w:rsidP="006F3E07">
            <w:pPr>
              <w:rPr>
                <w:kern w:val="2"/>
                <w:sz w:val="22"/>
                <w:szCs w:val="22"/>
                <w:lang w:eastAsia="uk-UA"/>
                <w14:ligatures w14:val="standardContextual"/>
              </w:rPr>
            </w:pPr>
          </w:p>
          <w:p w14:paraId="77C3D8E9" w14:textId="77777777" w:rsidR="00925F62" w:rsidRPr="002228DC" w:rsidRDefault="00925F62" w:rsidP="006F3E07">
            <w:pPr>
              <w:rPr>
                <w:kern w:val="2"/>
                <w:sz w:val="22"/>
                <w:szCs w:val="22"/>
                <w:lang w:eastAsia="uk-UA"/>
                <w14:ligatures w14:val="standardContextual"/>
              </w:rPr>
            </w:pPr>
          </w:p>
          <w:p w14:paraId="2F656745" w14:textId="77777777" w:rsidR="00925F62" w:rsidRPr="002228DC" w:rsidRDefault="00925F62" w:rsidP="006F3E07">
            <w:pPr>
              <w:rPr>
                <w:kern w:val="2"/>
                <w:sz w:val="22"/>
                <w:szCs w:val="22"/>
                <w:lang w:eastAsia="uk-UA"/>
                <w14:ligatures w14:val="standardContextual"/>
              </w:rPr>
            </w:pPr>
          </w:p>
          <w:p w14:paraId="60378906" w14:textId="77777777" w:rsidR="00925F62" w:rsidRPr="002228DC" w:rsidRDefault="00925F62" w:rsidP="006F3E07">
            <w:pPr>
              <w:rPr>
                <w:kern w:val="2"/>
                <w:sz w:val="22"/>
                <w:szCs w:val="22"/>
                <w:lang w:eastAsia="uk-UA"/>
                <w14:ligatures w14:val="standardContextual"/>
              </w:rPr>
            </w:pPr>
          </w:p>
          <w:p w14:paraId="4D90858B" w14:textId="77777777" w:rsidR="00925F62" w:rsidRPr="002228DC" w:rsidRDefault="00925F62" w:rsidP="006F3E07">
            <w:pPr>
              <w:rPr>
                <w:kern w:val="2"/>
                <w:sz w:val="22"/>
                <w:szCs w:val="22"/>
                <w:lang w:eastAsia="uk-UA"/>
                <w14:ligatures w14:val="standardContextual"/>
              </w:rPr>
            </w:pPr>
          </w:p>
          <w:p w14:paraId="3C600195" w14:textId="77777777" w:rsidR="00925F62" w:rsidRPr="002228DC" w:rsidRDefault="00925F62" w:rsidP="006F3E07">
            <w:pPr>
              <w:rPr>
                <w:kern w:val="2"/>
                <w:sz w:val="22"/>
                <w:szCs w:val="22"/>
                <w:lang w:eastAsia="uk-UA"/>
                <w14:ligatures w14:val="standardContextual"/>
              </w:rPr>
            </w:pPr>
          </w:p>
          <w:p w14:paraId="4A299409" w14:textId="77777777" w:rsidR="00925F62" w:rsidRPr="002228DC" w:rsidRDefault="00925F62" w:rsidP="006F3E07">
            <w:pPr>
              <w:rPr>
                <w:kern w:val="2"/>
                <w:sz w:val="22"/>
                <w:szCs w:val="22"/>
                <w:lang w:eastAsia="uk-UA"/>
                <w14:ligatures w14:val="standardContextual"/>
              </w:rPr>
            </w:pPr>
          </w:p>
          <w:p w14:paraId="3820EE1E" w14:textId="77777777" w:rsidR="00925F62" w:rsidRPr="002228DC" w:rsidRDefault="00925F62" w:rsidP="006F3E07">
            <w:pPr>
              <w:rPr>
                <w:kern w:val="2"/>
                <w:sz w:val="22"/>
                <w:szCs w:val="22"/>
                <w:lang w:eastAsia="uk-UA"/>
                <w14:ligatures w14:val="standardContextual"/>
              </w:rPr>
            </w:pPr>
          </w:p>
          <w:p w14:paraId="625BCE5C" w14:textId="77777777" w:rsidR="00925F62" w:rsidRPr="002228DC" w:rsidRDefault="00925F62" w:rsidP="006F3E07">
            <w:pPr>
              <w:rPr>
                <w:kern w:val="2"/>
                <w:sz w:val="22"/>
                <w:szCs w:val="22"/>
                <w:lang w:eastAsia="uk-UA"/>
                <w14:ligatures w14:val="standardContextual"/>
              </w:rPr>
            </w:pPr>
          </w:p>
          <w:p w14:paraId="77089AFA" w14:textId="77777777" w:rsidR="00925F62" w:rsidRPr="002228DC" w:rsidRDefault="00925F62" w:rsidP="006F3E07">
            <w:pPr>
              <w:rPr>
                <w:kern w:val="2"/>
                <w:sz w:val="22"/>
                <w:szCs w:val="22"/>
                <w:lang w:eastAsia="uk-UA"/>
                <w14:ligatures w14:val="standardContextual"/>
              </w:rPr>
            </w:pPr>
          </w:p>
          <w:p w14:paraId="202E56D1" w14:textId="77777777" w:rsidR="00925F62" w:rsidRPr="002228DC" w:rsidRDefault="00925F62" w:rsidP="006F3E07">
            <w:pPr>
              <w:rPr>
                <w:kern w:val="2"/>
                <w:sz w:val="22"/>
                <w:szCs w:val="22"/>
                <w:lang w:eastAsia="uk-UA"/>
                <w14:ligatures w14:val="standardContextual"/>
              </w:rPr>
            </w:pPr>
          </w:p>
          <w:p w14:paraId="2CC55C47" w14:textId="77777777" w:rsidR="00925F62" w:rsidRPr="002228DC" w:rsidRDefault="00925F62" w:rsidP="006F3E07">
            <w:pPr>
              <w:rPr>
                <w:kern w:val="2"/>
                <w:sz w:val="22"/>
                <w:szCs w:val="22"/>
                <w:lang w:eastAsia="uk-UA"/>
                <w14:ligatures w14:val="standardContextual"/>
              </w:rPr>
            </w:pPr>
          </w:p>
          <w:p w14:paraId="2A71ED28" w14:textId="77777777" w:rsidR="00925F62" w:rsidRPr="002228DC" w:rsidRDefault="00925F62" w:rsidP="006F3E07">
            <w:pPr>
              <w:rPr>
                <w:kern w:val="2"/>
                <w:sz w:val="22"/>
                <w:szCs w:val="22"/>
                <w:lang w:eastAsia="uk-UA"/>
                <w14:ligatures w14:val="standardContextual"/>
              </w:rPr>
            </w:pPr>
          </w:p>
          <w:p w14:paraId="6FA3D771" w14:textId="77777777" w:rsidR="00925F62" w:rsidRPr="002228DC" w:rsidRDefault="00925F62" w:rsidP="006F3E07">
            <w:pPr>
              <w:rPr>
                <w:kern w:val="2"/>
                <w:sz w:val="22"/>
                <w:szCs w:val="22"/>
                <w:lang w:eastAsia="uk-UA"/>
                <w14:ligatures w14:val="standardContextual"/>
              </w:rPr>
            </w:pPr>
          </w:p>
          <w:p w14:paraId="7B8D07ED" w14:textId="77777777" w:rsidR="00925F62" w:rsidRPr="002228DC" w:rsidRDefault="00925F62" w:rsidP="006F3E07">
            <w:pPr>
              <w:rPr>
                <w:kern w:val="2"/>
                <w:sz w:val="22"/>
                <w:szCs w:val="22"/>
                <w:lang w:eastAsia="uk-UA"/>
                <w14:ligatures w14:val="standardContextual"/>
              </w:rPr>
            </w:pPr>
          </w:p>
          <w:p w14:paraId="6C76154B" w14:textId="77777777" w:rsidR="00925F62" w:rsidRPr="002228DC" w:rsidRDefault="00925F62" w:rsidP="006F3E07">
            <w:pPr>
              <w:rPr>
                <w:kern w:val="2"/>
                <w:sz w:val="22"/>
                <w:szCs w:val="22"/>
                <w:lang w:eastAsia="uk-UA"/>
                <w14:ligatures w14:val="standardContextual"/>
              </w:rPr>
            </w:pPr>
          </w:p>
          <w:p w14:paraId="091BC461" w14:textId="77777777" w:rsidR="00925F62" w:rsidRPr="002228DC" w:rsidRDefault="00925F62" w:rsidP="006F3E07">
            <w:pPr>
              <w:rPr>
                <w:kern w:val="2"/>
                <w:sz w:val="22"/>
                <w:szCs w:val="22"/>
                <w:lang w:eastAsia="uk-UA"/>
                <w14:ligatures w14:val="standardContextual"/>
              </w:rPr>
            </w:pPr>
          </w:p>
          <w:p w14:paraId="09496088" w14:textId="77777777" w:rsidR="00925F62" w:rsidRPr="002228DC" w:rsidRDefault="00925F62" w:rsidP="006F3E07">
            <w:pPr>
              <w:rPr>
                <w:kern w:val="2"/>
                <w:sz w:val="22"/>
                <w:szCs w:val="22"/>
                <w:lang w:eastAsia="uk-UA"/>
                <w14:ligatures w14:val="standardContextual"/>
              </w:rPr>
            </w:pPr>
          </w:p>
          <w:p w14:paraId="5F090A16" w14:textId="77777777" w:rsidR="00925F62" w:rsidRPr="002228DC" w:rsidRDefault="00925F62" w:rsidP="006F3E07">
            <w:pPr>
              <w:rPr>
                <w:kern w:val="2"/>
                <w:sz w:val="22"/>
                <w:szCs w:val="22"/>
                <w:lang w:eastAsia="uk-UA"/>
                <w14:ligatures w14:val="standardContextual"/>
              </w:rPr>
            </w:pPr>
          </w:p>
          <w:p w14:paraId="78D4CF2C" w14:textId="77777777" w:rsidR="00925F62" w:rsidRPr="002228DC" w:rsidRDefault="00925F62" w:rsidP="006F3E07">
            <w:pPr>
              <w:rPr>
                <w:kern w:val="2"/>
                <w:sz w:val="22"/>
                <w:szCs w:val="22"/>
                <w:lang w:eastAsia="uk-UA"/>
                <w14:ligatures w14:val="standardContextual"/>
              </w:rPr>
            </w:pPr>
          </w:p>
          <w:p w14:paraId="171CBB61" w14:textId="77777777" w:rsidR="00925F62" w:rsidRPr="002228DC" w:rsidRDefault="00925F62" w:rsidP="006F3E07">
            <w:pPr>
              <w:rPr>
                <w:kern w:val="2"/>
                <w:sz w:val="22"/>
                <w:szCs w:val="22"/>
                <w:lang w:eastAsia="uk-UA"/>
                <w14:ligatures w14:val="standardContextual"/>
              </w:rPr>
            </w:pPr>
          </w:p>
          <w:p w14:paraId="444D3D66" w14:textId="77777777" w:rsidR="00925F62" w:rsidRPr="002228DC" w:rsidRDefault="00925F62" w:rsidP="006F3E07">
            <w:pPr>
              <w:rPr>
                <w:kern w:val="2"/>
                <w:sz w:val="22"/>
                <w:szCs w:val="22"/>
                <w:lang w:eastAsia="uk-UA"/>
                <w14:ligatures w14:val="standardContextual"/>
              </w:rPr>
            </w:pPr>
          </w:p>
          <w:p w14:paraId="62393EA1" w14:textId="77777777" w:rsidR="00925F62" w:rsidRPr="002228DC" w:rsidRDefault="00925F62" w:rsidP="006F3E07">
            <w:pPr>
              <w:rPr>
                <w:kern w:val="2"/>
                <w:sz w:val="22"/>
                <w:szCs w:val="22"/>
                <w:lang w:eastAsia="uk-UA"/>
                <w14:ligatures w14:val="standardContextual"/>
              </w:rPr>
            </w:pPr>
          </w:p>
          <w:p w14:paraId="492498C1" w14:textId="77777777" w:rsidR="00925F62" w:rsidRPr="002228DC" w:rsidRDefault="00925F62" w:rsidP="006F3E07">
            <w:pPr>
              <w:rPr>
                <w:kern w:val="2"/>
                <w:sz w:val="22"/>
                <w:szCs w:val="22"/>
                <w:lang w:eastAsia="uk-UA"/>
                <w14:ligatures w14:val="standardContextual"/>
              </w:rPr>
            </w:pPr>
          </w:p>
          <w:p w14:paraId="1C04FE08" w14:textId="77777777" w:rsidR="00925F62" w:rsidRPr="002228DC" w:rsidRDefault="00925F62" w:rsidP="006F3E07">
            <w:pPr>
              <w:rPr>
                <w:kern w:val="2"/>
                <w:sz w:val="22"/>
                <w:szCs w:val="22"/>
                <w:lang w:eastAsia="uk-UA"/>
                <w14:ligatures w14:val="standardContextual"/>
              </w:rPr>
            </w:pPr>
          </w:p>
          <w:p w14:paraId="06922B30" w14:textId="77777777" w:rsidR="00925F62" w:rsidRPr="002228DC" w:rsidRDefault="00925F62" w:rsidP="006F3E07">
            <w:pPr>
              <w:rPr>
                <w:kern w:val="2"/>
                <w:sz w:val="22"/>
                <w:szCs w:val="22"/>
                <w:lang w:eastAsia="uk-UA"/>
                <w14:ligatures w14:val="standardContextual"/>
              </w:rPr>
            </w:pPr>
          </w:p>
          <w:p w14:paraId="308F7F58" w14:textId="77777777" w:rsidR="00925F62" w:rsidRPr="002228DC" w:rsidRDefault="00925F62" w:rsidP="006F3E07">
            <w:pPr>
              <w:rPr>
                <w:kern w:val="2"/>
                <w:sz w:val="22"/>
                <w:szCs w:val="22"/>
                <w:lang w:eastAsia="uk-UA"/>
                <w14:ligatures w14:val="standardContextual"/>
              </w:rPr>
            </w:pPr>
          </w:p>
          <w:p w14:paraId="0C152192" w14:textId="77777777" w:rsidR="006F3E07" w:rsidRPr="002228DC" w:rsidRDefault="006F3E07" w:rsidP="006F3E07">
            <w:pPr>
              <w:rPr>
                <w:b/>
                <w:bCs/>
                <w:kern w:val="2"/>
                <w:sz w:val="22"/>
                <w:szCs w:val="22"/>
                <w:lang w:eastAsia="uk-UA"/>
                <w14:ligatures w14:val="standardContextual"/>
              </w:rPr>
            </w:pPr>
            <w:r w:rsidRPr="002228DC">
              <w:rPr>
                <w:b/>
                <w:bCs/>
                <w:kern w:val="2"/>
                <w:sz w:val="22"/>
                <w:szCs w:val="22"/>
                <w:lang w:eastAsia="uk-UA"/>
                <w14:ligatures w14:val="standardContextual"/>
              </w:rPr>
              <w:t>Не враховано</w:t>
            </w:r>
          </w:p>
          <w:p w14:paraId="364D50D6" w14:textId="704AF3F5" w:rsidR="00976F24" w:rsidRDefault="000546DD" w:rsidP="002228DC">
            <w:pPr>
              <w:jc w:val="both"/>
              <w:rPr>
                <w:rFonts w:eastAsia="Calibri"/>
                <w:b/>
                <w:bCs/>
                <w:sz w:val="22"/>
                <w:szCs w:val="22"/>
                <w:shd w:val="clear" w:color="auto" w:fill="FFFFFF"/>
                <w:lang w:eastAsia="en-US"/>
              </w:rPr>
            </w:pPr>
            <w:r w:rsidRPr="004C7183">
              <w:rPr>
                <w:kern w:val="2"/>
                <w:sz w:val="22"/>
                <w:szCs w:val="22"/>
                <w:lang w:eastAsia="uk-UA"/>
                <w14:ligatures w14:val="standardContextual"/>
              </w:rPr>
              <w:t xml:space="preserve">Врахування при розрахунку </w:t>
            </w:r>
            <w:r w:rsidRPr="00C0479F">
              <w:rPr>
                <w:kern w:val="2"/>
                <w:sz w:val="22"/>
                <w:szCs w:val="22"/>
                <w:lang w:eastAsia="uk-UA"/>
                <w14:ligatures w14:val="standardContextual"/>
              </w:rPr>
              <w:t xml:space="preserve">додатково отриманого або недоотриманого доходу прибутку </w:t>
            </w:r>
            <w:r w:rsidR="004C7183" w:rsidRPr="00C0479F">
              <w:rPr>
                <w:kern w:val="2"/>
                <w:sz w:val="22"/>
                <w:szCs w:val="22"/>
                <w:lang w:eastAsia="uk-UA"/>
                <w14:ligatures w14:val="standardContextual"/>
              </w:rPr>
              <w:t xml:space="preserve">на активи </w:t>
            </w:r>
            <w:r w:rsidRPr="00C0479F">
              <w:rPr>
                <w:kern w:val="2"/>
                <w:sz w:val="22"/>
                <w:szCs w:val="22"/>
                <w:lang w:eastAsia="uk-UA"/>
                <w14:ligatures w14:val="standardContextual"/>
              </w:rPr>
              <w:t>із урахуванням тимчасово окупованих територіях держави та/або над якими втрачено контроль унаслідок</w:t>
            </w:r>
            <w:r w:rsidR="00C0479F" w:rsidRPr="00C0479F">
              <w:rPr>
                <w:rFonts w:eastAsia="Calibri"/>
                <w:bCs/>
                <w:sz w:val="22"/>
                <w:szCs w:val="22"/>
                <w:shd w:val="clear" w:color="auto" w:fill="FFFFFF"/>
                <w:lang w:eastAsia="en-US"/>
              </w:rPr>
              <w:t xml:space="preserve"> </w:t>
            </w:r>
            <w:r w:rsidR="00C0479F" w:rsidRPr="00C0479F">
              <w:rPr>
                <w:kern w:val="2"/>
                <w:sz w:val="22"/>
                <w:szCs w:val="22"/>
                <w:lang w:eastAsia="uk-UA"/>
                <w14:ligatures w14:val="standardContextual"/>
              </w:rPr>
              <w:t xml:space="preserve">агресії </w:t>
            </w:r>
            <w:proofErr w:type="spellStart"/>
            <w:r w:rsidRPr="00C0479F">
              <w:rPr>
                <w:kern w:val="2"/>
                <w:sz w:val="22"/>
                <w:szCs w:val="22"/>
                <w:lang w:eastAsia="uk-UA"/>
                <w14:ligatures w14:val="standardContextual"/>
              </w:rPr>
              <w:t>р</w:t>
            </w:r>
            <w:r w:rsidR="00C0479F" w:rsidRPr="00C0479F">
              <w:rPr>
                <w:kern w:val="2"/>
                <w:sz w:val="22"/>
                <w:szCs w:val="22"/>
                <w:lang w:eastAsia="uk-UA"/>
                <w14:ligatures w14:val="standardContextual"/>
              </w:rPr>
              <w:t>ф</w:t>
            </w:r>
            <w:proofErr w:type="spellEnd"/>
            <w:r w:rsidRPr="00C0479F">
              <w:rPr>
                <w:kern w:val="2"/>
                <w:sz w:val="22"/>
                <w:szCs w:val="22"/>
                <w:lang w:eastAsia="uk-UA"/>
                <w14:ligatures w14:val="standardContextual"/>
              </w:rPr>
              <w:t xml:space="preserve"> є недоцільним</w:t>
            </w:r>
            <w:r w:rsidR="002228DC" w:rsidRPr="00C0479F">
              <w:rPr>
                <w:kern w:val="2"/>
                <w:sz w:val="22"/>
                <w:szCs w:val="22"/>
                <w:lang w:eastAsia="uk-UA"/>
                <w14:ligatures w14:val="standardContextual"/>
              </w:rPr>
              <w:t>. У зв’язку з</w:t>
            </w:r>
            <w:r w:rsidR="00976F24" w:rsidRPr="00C0479F">
              <w:rPr>
                <w:kern w:val="2"/>
                <w:sz w:val="22"/>
                <w:szCs w:val="22"/>
                <w:lang w:eastAsia="uk-UA"/>
                <w14:ligatures w14:val="standardContextual"/>
              </w:rPr>
              <w:t xml:space="preserve"> тим, що </w:t>
            </w:r>
            <w:r w:rsidR="00976F24" w:rsidRPr="00C0479F">
              <w:rPr>
                <w:rFonts w:eastAsia="Calibri"/>
                <w:bCs/>
                <w:sz w:val="22"/>
                <w:szCs w:val="22"/>
                <w:shd w:val="clear" w:color="auto" w:fill="FFFFFF"/>
                <w:lang w:eastAsia="en-US"/>
              </w:rPr>
              <w:t xml:space="preserve">нормативно-правовою базою НКРЕКП передбачено </w:t>
            </w:r>
            <w:r w:rsidR="00976F24" w:rsidRPr="00C0479F">
              <w:rPr>
                <w:kern w:val="2"/>
                <w:sz w:val="22"/>
                <w:szCs w:val="22"/>
                <w:lang w:eastAsia="uk-UA"/>
                <w14:ligatures w14:val="standardContextual"/>
              </w:rPr>
              <w:t xml:space="preserve">виведення активів, які </w:t>
            </w:r>
            <w:r w:rsidR="00976F24" w:rsidRPr="00C0479F">
              <w:rPr>
                <w:rFonts w:eastAsia="Calibri"/>
                <w:bCs/>
                <w:sz w:val="22"/>
                <w:szCs w:val="22"/>
                <w:shd w:val="clear" w:color="auto" w:fill="FFFFFF"/>
                <w:lang w:eastAsia="en-US"/>
              </w:rPr>
              <w:t xml:space="preserve">розташовані на тимчасово окупованих територіях держави та/або над якими втрачено контроль </w:t>
            </w:r>
            <w:r w:rsidR="00C0479F" w:rsidRPr="00C0479F">
              <w:rPr>
                <w:kern w:val="2"/>
                <w:sz w:val="22"/>
                <w:szCs w:val="22"/>
                <w:lang w:eastAsia="uk-UA"/>
                <w14:ligatures w14:val="standardContextual"/>
              </w:rPr>
              <w:t>унаслідок</w:t>
            </w:r>
            <w:r w:rsidR="00C0479F" w:rsidRPr="00C0479F">
              <w:rPr>
                <w:rFonts w:eastAsia="Calibri"/>
                <w:bCs/>
                <w:sz w:val="22"/>
                <w:szCs w:val="22"/>
                <w:shd w:val="clear" w:color="auto" w:fill="FFFFFF"/>
                <w:lang w:eastAsia="en-US"/>
              </w:rPr>
              <w:t xml:space="preserve"> </w:t>
            </w:r>
            <w:r w:rsidR="00C0479F" w:rsidRPr="00C0479F">
              <w:rPr>
                <w:kern w:val="2"/>
                <w:sz w:val="22"/>
                <w:szCs w:val="22"/>
                <w:lang w:eastAsia="uk-UA"/>
                <w14:ligatures w14:val="standardContextual"/>
              </w:rPr>
              <w:t xml:space="preserve">агресії </w:t>
            </w:r>
            <w:proofErr w:type="spellStart"/>
            <w:r w:rsidR="00C0479F" w:rsidRPr="00C0479F">
              <w:rPr>
                <w:kern w:val="2"/>
                <w:sz w:val="22"/>
                <w:szCs w:val="22"/>
                <w:lang w:eastAsia="uk-UA"/>
                <w14:ligatures w14:val="standardContextual"/>
              </w:rPr>
              <w:t>рф</w:t>
            </w:r>
            <w:proofErr w:type="spellEnd"/>
            <w:r w:rsidR="00C0479F" w:rsidRPr="00C0479F">
              <w:rPr>
                <w:rFonts w:eastAsia="Calibri"/>
                <w:bCs/>
                <w:sz w:val="22"/>
                <w:szCs w:val="22"/>
                <w:shd w:val="clear" w:color="auto" w:fill="FFFFFF"/>
                <w:lang w:eastAsia="en-US"/>
              </w:rPr>
              <w:t xml:space="preserve"> </w:t>
            </w:r>
            <w:r w:rsidR="00976F24" w:rsidRPr="00C0479F">
              <w:rPr>
                <w:rFonts w:eastAsia="Calibri"/>
                <w:bCs/>
                <w:sz w:val="22"/>
                <w:szCs w:val="22"/>
                <w:shd w:val="clear" w:color="auto" w:fill="FFFFFF"/>
                <w:lang w:eastAsia="en-US"/>
              </w:rPr>
              <w:t>з 31.12.2023</w:t>
            </w:r>
            <w:r w:rsidR="004B607E" w:rsidRPr="00C0479F">
              <w:rPr>
                <w:rFonts w:eastAsia="Calibri"/>
                <w:bCs/>
                <w:sz w:val="22"/>
                <w:szCs w:val="22"/>
                <w:shd w:val="clear" w:color="auto" w:fill="FFFFFF"/>
                <w:lang w:eastAsia="en-US"/>
              </w:rPr>
              <w:t>,</w:t>
            </w:r>
            <w:r w:rsidR="00976F24" w:rsidRPr="00C0479F">
              <w:rPr>
                <w:rFonts w:eastAsia="Calibri"/>
                <w:bCs/>
                <w:sz w:val="22"/>
                <w:szCs w:val="22"/>
                <w:shd w:val="clear" w:color="auto" w:fill="FFFFFF"/>
                <w:lang w:eastAsia="en-US"/>
              </w:rPr>
              <w:t xml:space="preserve"> схваленим рішенням передбачено норму щодо обмеження частини прибутку</w:t>
            </w:r>
            <w:r w:rsidR="004B607E" w:rsidRPr="00C0479F">
              <w:rPr>
                <w:rFonts w:eastAsia="Calibri"/>
                <w:bCs/>
                <w:sz w:val="22"/>
                <w:szCs w:val="22"/>
                <w:shd w:val="clear" w:color="auto" w:fill="FFFFFF"/>
                <w:lang w:eastAsia="en-US"/>
              </w:rPr>
              <w:t xml:space="preserve"> для визначених ліцензіатів</w:t>
            </w:r>
            <w:r w:rsidR="00976F24" w:rsidRPr="00C0479F">
              <w:rPr>
                <w:rFonts w:eastAsia="Calibri"/>
                <w:bCs/>
                <w:sz w:val="22"/>
                <w:szCs w:val="22"/>
                <w:shd w:val="clear" w:color="auto" w:fill="FFFFFF"/>
                <w:lang w:eastAsia="en-US"/>
              </w:rPr>
              <w:t>.</w:t>
            </w:r>
          </w:p>
          <w:p w14:paraId="1A6C330E" w14:textId="77777777" w:rsidR="00976F24" w:rsidRDefault="00976F24" w:rsidP="002228DC">
            <w:pPr>
              <w:jc w:val="both"/>
              <w:rPr>
                <w:color w:val="EE0000"/>
                <w:kern w:val="2"/>
                <w:sz w:val="22"/>
                <w:szCs w:val="22"/>
                <w:lang w:eastAsia="uk-UA"/>
                <w14:ligatures w14:val="standardContextual"/>
              </w:rPr>
            </w:pPr>
          </w:p>
          <w:p w14:paraId="50B882CD" w14:textId="361C70F2" w:rsidR="006F3E07" w:rsidRPr="002228DC" w:rsidRDefault="009C6B78" w:rsidP="002228DC">
            <w:pPr>
              <w:jc w:val="both"/>
              <w:rPr>
                <w:kern w:val="2"/>
                <w:sz w:val="22"/>
                <w:szCs w:val="22"/>
                <w:lang w:eastAsia="uk-UA"/>
                <w14:ligatures w14:val="standardContextual"/>
              </w:rPr>
            </w:pPr>
            <w:r w:rsidRPr="004C7183">
              <w:rPr>
                <w:kern w:val="2"/>
                <w:sz w:val="22"/>
                <w:szCs w:val="22"/>
                <w:lang w:eastAsia="uk-UA"/>
                <w14:ligatures w14:val="standardContextual"/>
              </w:rPr>
              <w:lastRenderedPageBreak/>
              <w:t>Крім цього, фактичні витрати, зокрема понесені відповідно до постанови НКРЕКП від 20.04.2022 № 386</w:t>
            </w:r>
            <w:r w:rsidRPr="00C0479F">
              <w:rPr>
                <w:kern w:val="2"/>
                <w:sz w:val="22"/>
                <w:szCs w:val="22"/>
                <w:lang w:eastAsia="uk-UA"/>
                <w14:ligatures w14:val="standardContextual"/>
              </w:rPr>
              <w:t xml:space="preserve">, які визнано обґрунтованими, враховуються при розрахунку </w:t>
            </w:r>
            <w:r w:rsidR="002228DC" w:rsidRPr="00C0479F">
              <w:rPr>
                <w:kern w:val="2"/>
                <w:sz w:val="22"/>
                <w:szCs w:val="22"/>
                <w:lang w:eastAsia="uk-UA"/>
                <w14:ligatures w14:val="standardContextual"/>
              </w:rPr>
              <w:t>додатково отримано</w:t>
            </w:r>
            <w:r w:rsidR="0041422E">
              <w:rPr>
                <w:kern w:val="2"/>
                <w:sz w:val="22"/>
                <w:szCs w:val="22"/>
                <w:lang w:eastAsia="uk-UA"/>
                <w14:ligatures w14:val="standardContextual"/>
              </w:rPr>
              <w:t>го</w:t>
            </w:r>
            <w:r w:rsidR="002228DC" w:rsidRPr="00C0479F">
              <w:rPr>
                <w:kern w:val="2"/>
                <w:sz w:val="22"/>
                <w:szCs w:val="22"/>
                <w:lang w:eastAsia="uk-UA"/>
                <w14:ligatures w14:val="standardContextual"/>
              </w:rPr>
              <w:t>/</w:t>
            </w:r>
            <w:r w:rsidR="0041422E">
              <w:rPr>
                <w:kern w:val="2"/>
                <w:sz w:val="22"/>
                <w:szCs w:val="22"/>
                <w:lang w:eastAsia="uk-UA"/>
                <w14:ligatures w14:val="standardContextual"/>
              </w:rPr>
              <w:t xml:space="preserve"> </w:t>
            </w:r>
            <w:r w:rsidR="002228DC" w:rsidRPr="00C0479F">
              <w:rPr>
                <w:kern w:val="2"/>
                <w:sz w:val="22"/>
                <w:szCs w:val="22"/>
                <w:lang w:eastAsia="uk-UA"/>
                <w14:ligatures w14:val="standardContextual"/>
              </w:rPr>
              <w:t>недоотриманого доходу ліцензіата за звітний рік.</w:t>
            </w:r>
          </w:p>
        </w:tc>
      </w:tr>
      <w:tr w:rsidR="001043BA" w:rsidRPr="00433B76" w14:paraId="50ACE787" w14:textId="77777777" w:rsidTr="00E85B3F">
        <w:trPr>
          <w:trHeight w:val="595"/>
        </w:trPr>
        <w:tc>
          <w:tcPr>
            <w:tcW w:w="5839" w:type="dxa"/>
            <w:shd w:val="clear" w:color="auto" w:fill="auto"/>
          </w:tcPr>
          <w:p w14:paraId="09C6FB59" w14:textId="77777777" w:rsidR="001043BA" w:rsidRPr="00433B76" w:rsidRDefault="001043BA" w:rsidP="001043BA">
            <w:pPr>
              <w:spacing w:after="160" w:line="256" w:lineRule="auto"/>
              <w:ind w:firstLine="709"/>
              <w:jc w:val="both"/>
              <w:rPr>
                <w:kern w:val="2"/>
                <w:sz w:val="22"/>
                <w:szCs w:val="22"/>
                <w:lang w:eastAsia="uk-UA"/>
                <w14:ligatures w14:val="standardContextual"/>
              </w:rPr>
            </w:pPr>
            <w:r w:rsidRPr="00433B76">
              <w:rPr>
                <w:kern w:val="2"/>
                <w:sz w:val="22"/>
                <w:szCs w:val="22"/>
                <w:lang w:eastAsia="uk-UA"/>
                <w14:ligatures w14:val="standardContextual"/>
              </w:rPr>
              <w:lastRenderedPageBreak/>
              <w:t>10) дельта за статтею «прибуток на регуляторну базу активів, яка створена після переходу до стимулюючого регулювання» (∆</w:t>
            </w:r>
            <w:proofErr w:type="spellStart"/>
            <w:r w:rsidRPr="00433B76">
              <w:rPr>
                <w:kern w:val="2"/>
                <w:sz w:val="22"/>
                <w:szCs w:val="22"/>
                <w:lang w:eastAsia="uk-UA"/>
                <w14:ligatures w14:val="standardContextual"/>
              </w:rPr>
              <w:t>Пнов</w:t>
            </w:r>
            <w:proofErr w:type="spellEnd"/>
            <w:r w:rsidRPr="00433B76">
              <w:rPr>
                <w:kern w:val="2"/>
                <w:sz w:val="22"/>
                <w:szCs w:val="22"/>
                <w:lang w:eastAsia="uk-UA"/>
                <w14:ligatures w14:val="standardContextual"/>
              </w:rPr>
              <w:t>) у звітному році тис. грн, визначається за формулою</w:t>
            </w:r>
          </w:p>
          <w:p w14:paraId="31A540AD" w14:textId="77777777" w:rsidR="001043BA" w:rsidRPr="00433B76" w:rsidRDefault="001043BA" w:rsidP="001043BA">
            <w:pPr>
              <w:spacing w:after="160" w:line="256" w:lineRule="auto"/>
              <w:ind w:firstLine="709"/>
              <w:jc w:val="both"/>
              <w:rPr>
                <w:kern w:val="2"/>
                <w:sz w:val="22"/>
                <w:szCs w:val="22"/>
                <w:lang w:eastAsia="uk-UA"/>
                <w14:ligatures w14:val="standardContextual"/>
              </w:rPr>
            </w:pPr>
            <w:r w:rsidRPr="00433B76">
              <w:rPr>
                <w:kern w:val="2"/>
                <w:sz w:val="22"/>
                <w:szCs w:val="22"/>
                <w:lang w:eastAsia="uk-UA"/>
                <w14:ligatures w14:val="standardContextual"/>
              </w:rPr>
              <w:t>∆</w:t>
            </w:r>
            <w:proofErr w:type="spellStart"/>
            <w:r w:rsidRPr="00433B76">
              <w:rPr>
                <w:kern w:val="2"/>
                <w:sz w:val="22"/>
                <w:szCs w:val="22"/>
                <w:lang w:eastAsia="uk-UA"/>
                <w14:ligatures w14:val="standardContextual"/>
              </w:rPr>
              <w:t>Пнов</w:t>
            </w:r>
            <w:proofErr w:type="spellEnd"/>
            <w:r w:rsidRPr="00433B76">
              <w:rPr>
                <w:kern w:val="2"/>
                <w:sz w:val="22"/>
                <w:szCs w:val="22"/>
                <w:lang w:eastAsia="uk-UA"/>
                <w14:ligatures w14:val="standardContextual"/>
              </w:rPr>
              <w:t xml:space="preserve"> = П т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xml:space="preserve">– П уточ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w:t>
            </w:r>
          </w:p>
          <w:p w14:paraId="2BAF014B" w14:textId="77777777" w:rsidR="001043BA" w:rsidRPr="00433B76" w:rsidRDefault="001043BA" w:rsidP="001043BA">
            <w:pPr>
              <w:spacing w:after="160" w:line="256" w:lineRule="auto"/>
              <w:ind w:firstLine="709"/>
              <w:jc w:val="both"/>
              <w:rPr>
                <w:kern w:val="2"/>
                <w:sz w:val="22"/>
                <w:szCs w:val="22"/>
                <w:lang w:eastAsia="uk-UA"/>
                <w14:ligatures w14:val="standardContextual"/>
              </w:rPr>
            </w:pPr>
            <w:r w:rsidRPr="00433B76">
              <w:rPr>
                <w:kern w:val="2"/>
                <w:sz w:val="22"/>
                <w:szCs w:val="22"/>
                <w:lang w:eastAsia="uk-UA"/>
                <w14:ligatures w14:val="standardContextual"/>
              </w:rPr>
              <w:t xml:space="preserve">де П т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xml:space="preserve">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p>
          <w:p w14:paraId="73D168EB" w14:textId="77777777" w:rsidR="001043BA" w:rsidRPr="00433B76" w:rsidRDefault="001043BA" w:rsidP="001043BA">
            <w:pPr>
              <w:spacing w:after="160" w:line="256" w:lineRule="auto"/>
              <w:ind w:firstLine="709"/>
              <w:jc w:val="both"/>
              <w:rPr>
                <w:kern w:val="2"/>
                <w:sz w:val="22"/>
                <w:szCs w:val="22"/>
                <w:lang w:eastAsia="uk-UA"/>
                <w14:ligatures w14:val="standardContextual"/>
              </w:rPr>
            </w:pPr>
            <w:r w:rsidRPr="00433B76">
              <w:rPr>
                <w:kern w:val="2"/>
                <w:sz w:val="22"/>
                <w:szCs w:val="22"/>
                <w:lang w:eastAsia="uk-UA"/>
                <w14:ligatures w14:val="standardContextual"/>
              </w:rPr>
              <w:t xml:space="preserve">П уточ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433B76">
              <w:rPr>
                <w:kern w:val="2"/>
                <w:sz w:val="22"/>
                <w:szCs w:val="22"/>
                <w:lang w:eastAsia="uk-UA"/>
                <w14:ligatures w14:val="standardContextual"/>
              </w:rPr>
              <w:t>РБАнов</w:t>
            </w:r>
            <w:proofErr w:type="spellEnd"/>
            <w:r w:rsidRPr="00433B76">
              <w:rPr>
                <w:kern w:val="2"/>
                <w:sz w:val="22"/>
                <w:szCs w:val="22"/>
                <w:lang w:eastAsia="uk-UA"/>
                <w14:ligatures w14:val="standardContextual"/>
              </w:rPr>
              <w:t>, тис. грн, розрахована за формулою</w:t>
            </w:r>
          </w:p>
          <w:p w14:paraId="43B2F4EF" w14:textId="77777777" w:rsidR="001043BA" w:rsidRPr="00433B76" w:rsidRDefault="001043BA" w:rsidP="001043BA">
            <w:pPr>
              <w:spacing w:after="160" w:line="256" w:lineRule="auto"/>
              <w:ind w:firstLine="709"/>
              <w:jc w:val="both"/>
              <w:rPr>
                <w:kern w:val="2"/>
                <w:sz w:val="22"/>
                <w:szCs w:val="22"/>
                <w:lang w:eastAsia="uk-UA"/>
                <w14:ligatures w14:val="standardContextual"/>
              </w:rPr>
            </w:pPr>
            <w:r w:rsidRPr="00433B76">
              <w:rPr>
                <w:kern w:val="2"/>
                <w:sz w:val="22"/>
                <w:szCs w:val="22"/>
                <w:lang w:eastAsia="uk-UA"/>
                <w14:ligatures w14:val="standardContextual"/>
              </w:rPr>
              <w:t xml:space="preserve">П уточ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xml:space="preserve"> = РБА уточ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xml:space="preserve"> х </w:t>
            </w:r>
            <w:proofErr w:type="spellStart"/>
            <w:r w:rsidRPr="00433B76">
              <w:rPr>
                <w:kern w:val="2"/>
                <w:sz w:val="22"/>
                <w:szCs w:val="22"/>
                <w:lang w:eastAsia="uk-UA"/>
                <w14:ligatures w14:val="standardContextual"/>
              </w:rPr>
              <w:t>РНДнов</w:t>
            </w:r>
            <w:proofErr w:type="spellEnd"/>
            <w:r w:rsidRPr="00433B76">
              <w:rPr>
                <w:kern w:val="2"/>
                <w:sz w:val="22"/>
                <w:szCs w:val="22"/>
                <w:lang w:eastAsia="uk-UA"/>
                <w14:ligatures w14:val="standardContextual"/>
              </w:rPr>
              <w:t>,</w:t>
            </w:r>
          </w:p>
          <w:p w14:paraId="436B4E83" w14:textId="77777777" w:rsidR="001043BA" w:rsidRPr="00433B76" w:rsidRDefault="001043BA" w:rsidP="001043BA">
            <w:pPr>
              <w:spacing w:after="160" w:line="256" w:lineRule="auto"/>
              <w:ind w:firstLine="709"/>
              <w:jc w:val="both"/>
              <w:rPr>
                <w:kern w:val="2"/>
                <w:sz w:val="22"/>
                <w:szCs w:val="22"/>
                <w:lang w:eastAsia="uk-UA"/>
                <w14:ligatures w14:val="standardContextual"/>
              </w:rPr>
            </w:pPr>
            <w:r w:rsidRPr="00433B76">
              <w:rPr>
                <w:kern w:val="2"/>
                <w:sz w:val="22"/>
                <w:szCs w:val="22"/>
                <w:lang w:eastAsia="uk-UA"/>
                <w14:ligatures w14:val="standardContextual"/>
              </w:rPr>
              <w:t xml:space="preserve">де РБА уточ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w:t>
            </w:r>
            <w:r w:rsidRPr="00433B76">
              <w:rPr>
                <w:kern w:val="2"/>
                <w:sz w:val="22"/>
                <w:szCs w:val="22"/>
                <w:lang w:eastAsia="uk-UA"/>
                <w14:ligatures w14:val="standardContextual"/>
              </w:rPr>
              <w:lastRenderedPageBreak/>
              <w:t xml:space="preserve">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433B76">
              <w:rPr>
                <w:kern w:val="2"/>
                <w:sz w:val="22"/>
                <w:szCs w:val="22"/>
                <w:lang w:eastAsia="uk-UA"/>
                <w14:ligatures w14:val="standardContextual"/>
              </w:rPr>
              <w:t>РБАнов</w:t>
            </w:r>
            <w:proofErr w:type="spellEnd"/>
            <w:r w:rsidRPr="00433B76">
              <w:rPr>
                <w:kern w:val="2"/>
                <w:sz w:val="22"/>
                <w:szCs w:val="22"/>
                <w:lang w:eastAsia="uk-UA"/>
                <w14:ligatures w14:val="standardContextual"/>
              </w:rPr>
              <w:t xml:space="preserve"> (при перевірці за 2023 та 2024 роки використовується рівень РБА уточ </w:t>
            </w:r>
            <w:proofErr w:type="spellStart"/>
            <w:r w:rsidRPr="00433B76">
              <w:rPr>
                <w:kern w:val="2"/>
                <w:sz w:val="22"/>
                <w:szCs w:val="22"/>
                <w:lang w:eastAsia="uk-UA"/>
                <w14:ligatures w14:val="standardContextual"/>
              </w:rPr>
              <w:t>нов</w:t>
            </w:r>
            <w:proofErr w:type="spellEnd"/>
            <w:r w:rsidRPr="00433B76">
              <w:rPr>
                <w:kern w:val="2"/>
                <w:sz w:val="22"/>
                <w:szCs w:val="22"/>
                <w:lang w:eastAsia="uk-UA"/>
                <w14:ligatures w14:val="standardContextual"/>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06AFE1B1" w14:textId="77777777" w:rsidR="001043BA" w:rsidRPr="00433B76" w:rsidRDefault="001043BA" w:rsidP="001043BA">
            <w:pPr>
              <w:spacing w:after="160" w:line="256" w:lineRule="auto"/>
              <w:ind w:firstLine="709"/>
              <w:jc w:val="both"/>
              <w:rPr>
                <w:kern w:val="2"/>
                <w:sz w:val="22"/>
                <w:szCs w:val="22"/>
                <w:lang w:eastAsia="uk-UA"/>
                <w14:ligatures w14:val="standardContextual"/>
              </w:rPr>
            </w:pPr>
            <w:proofErr w:type="spellStart"/>
            <w:r w:rsidRPr="00433B76">
              <w:rPr>
                <w:kern w:val="2"/>
                <w:sz w:val="22"/>
                <w:szCs w:val="22"/>
                <w:lang w:eastAsia="uk-UA"/>
                <w14:ligatures w14:val="standardContextual"/>
              </w:rPr>
              <w:t>РНДнов</w:t>
            </w:r>
            <w:proofErr w:type="spellEnd"/>
            <w:r w:rsidRPr="00433B76">
              <w:rPr>
                <w:kern w:val="2"/>
                <w:sz w:val="22"/>
                <w:szCs w:val="22"/>
                <w:lang w:eastAsia="uk-UA"/>
                <w14:ligatures w14:val="standardContextual"/>
              </w:rPr>
              <w:t xml:space="preserve">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443FF484" w14:textId="77777777" w:rsidR="00433B76" w:rsidRPr="006F3E07" w:rsidRDefault="00433B76" w:rsidP="00650E6F">
            <w:pPr>
              <w:spacing w:after="160" w:line="256" w:lineRule="auto"/>
              <w:ind w:firstLine="709"/>
              <w:jc w:val="both"/>
              <w:rPr>
                <w:b/>
                <w:kern w:val="2"/>
                <w:lang w:eastAsia="uk-UA"/>
                <w14:ligatures w14:val="standardContextual"/>
              </w:rPr>
            </w:pPr>
            <w:r w:rsidRPr="006F3E07">
              <w:rPr>
                <w:b/>
                <w:kern w:val="2"/>
                <w:sz w:val="22"/>
                <w:szCs w:val="22"/>
                <w:lang w:eastAsia="uk-UA"/>
                <w14:ligatures w14:val="standardContextual"/>
              </w:rPr>
              <w:t>За 2022 та 2023 роки для АТ «ДТЕК ДОНЕЦЬКІ ЕЛЕКТРОМЕРЕЖІ», ПАТ «ЗАПОРІЖЖЯОБЛЕНЕРГО», АТ «ХЕРСОНОБЛЕНЕРГО» та ТОВ «ДТЕК ВИСОКОВОЛЬТНІ МЕРЕЖІ» уточнена сума коштів за статтею «прибуток на регуляторну базу активів, яка створена після переходу до стимулюючого регулювання» (П уточ </w:t>
            </w:r>
            <w:proofErr w:type="spellStart"/>
            <w:r w:rsidRPr="006F3E07">
              <w:rPr>
                <w:b/>
                <w:kern w:val="2"/>
                <w:sz w:val="22"/>
                <w:szCs w:val="22"/>
                <w:lang w:eastAsia="uk-UA"/>
                <w14:ligatures w14:val="standardContextual"/>
              </w:rPr>
              <w:t>нов</w:t>
            </w:r>
            <w:proofErr w:type="spellEnd"/>
            <w:r w:rsidRPr="006F3E07">
              <w:rPr>
                <w:b/>
                <w:kern w:val="2"/>
                <w:sz w:val="22"/>
                <w:szCs w:val="22"/>
                <w:lang w:eastAsia="uk-UA"/>
                <w14:ligatures w14:val="standardContextual"/>
              </w:rPr>
              <w:t>) у звітному році, визначається з урахуванням ЧОД відповідного ліцензіата за відповідний рік за формулою</w:t>
            </w:r>
          </w:p>
          <w:p w14:paraId="64943EBF" w14:textId="77777777" w:rsidR="00433B76" w:rsidRPr="006F3E07" w:rsidRDefault="00433B76" w:rsidP="00650E6F">
            <w:pPr>
              <w:spacing w:after="160" w:line="256" w:lineRule="auto"/>
              <w:ind w:firstLine="709"/>
              <w:jc w:val="both"/>
              <w:rPr>
                <w:b/>
                <w:kern w:val="2"/>
                <w:lang w:eastAsia="uk-UA"/>
                <w14:ligatures w14:val="standardContextual"/>
              </w:rPr>
            </w:pPr>
          </w:p>
          <w:p w14:paraId="26381A94" w14:textId="77777777" w:rsidR="00433B76" w:rsidRPr="00433B76" w:rsidRDefault="00433B76" w:rsidP="00433B76">
            <w:pPr>
              <w:spacing w:after="160" w:line="256" w:lineRule="auto"/>
              <w:ind w:firstLine="709"/>
              <w:jc w:val="both"/>
              <w:rPr>
                <w:kern w:val="2"/>
                <w:sz w:val="22"/>
                <w:szCs w:val="22"/>
                <w:lang w:eastAsia="uk-UA"/>
                <w14:ligatures w14:val="standardContextual"/>
              </w:rPr>
            </w:pPr>
            <w:r w:rsidRPr="006F3E07">
              <w:rPr>
                <w:b/>
                <w:kern w:val="2"/>
                <w:sz w:val="22"/>
                <w:szCs w:val="22"/>
                <w:lang w:eastAsia="uk-UA"/>
                <w14:ligatures w14:val="standardContextual"/>
              </w:rPr>
              <w:t>П уточ </w:t>
            </w:r>
            <w:proofErr w:type="spellStart"/>
            <w:r w:rsidRPr="006F3E07">
              <w:rPr>
                <w:b/>
                <w:kern w:val="2"/>
                <w:sz w:val="22"/>
                <w:szCs w:val="22"/>
                <w:lang w:eastAsia="uk-UA"/>
                <w14:ligatures w14:val="standardContextual"/>
              </w:rPr>
              <w:t>нов</w:t>
            </w:r>
            <w:proofErr w:type="spellEnd"/>
            <w:r w:rsidRPr="006F3E07">
              <w:rPr>
                <w:b/>
                <w:kern w:val="2"/>
                <w:sz w:val="22"/>
                <w:szCs w:val="22"/>
                <w:lang w:eastAsia="uk-UA"/>
                <w14:ligatures w14:val="standardContextual"/>
              </w:rPr>
              <w:t xml:space="preserve"> = РБА уточ </w:t>
            </w:r>
            <w:proofErr w:type="spellStart"/>
            <w:r w:rsidRPr="006F3E07">
              <w:rPr>
                <w:b/>
                <w:kern w:val="2"/>
                <w:sz w:val="22"/>
                <w:szCs w:val="22"/>
                <w:lang w:eastAsia="uk-UA"/>
                <w14:ligatures w14:val="standardContextual"/>
              </w:rPr>
              <w:t>нов</w:t>
            </w:r>
            <w:proofErr w:type="spellEnd"/>
            <w:r w:rsidRPr="006F3E07">
              <w:rPr>
                <w:b/>
                <w:kern w:val="2"/>
                <w:sz w:val="22"/>
                <w:szCs w:val="22"/>
                <w:lang w:eastAsia="uk-UA"/>
                <w14:ligatures w14:val="standardContextual"/>
              </w:rPr>
              <w:t xml:space="preserve"> </w:t>
            </w:r>
            <m:oMath>
              <m:r>
                <m:rPr>
                  <m:sty m:val="b"/>
                </m:rPr>
                <w:rPr>
                  <w:rFonts w:ascii="Cambria Math" w:hAnsi="Cambria Math"/>
                  <w:kern w:val="2"/>
                  <w:sz w:val="22"/>
                  <w:szCs w:val="22"/>
                  <w:lang w:eastAsia="uk-UA"/>
                  <w14:ligatures w14:val="standardContextual"/>
                </w:rPr>
                <m:t>×</m:t>
              </m:r>
            </m:oMath>
            <w:r w:rsidRPr="006F3E07">
              <w:rPr>
                <w:b/>
                <w:kern w:val="2"/>
                <w:sz w:val="22"/>
                <w:szCs w:val="22"/>
                <w:lang w:eastAsia="uk-UA"/>
                <w14:ligatures w14:val="standardContextual"/>
              </w:rPr>
              <w:t xml:space="preserve"> РНДнов </w:t>
            </w:r>
            <m:oMath>
              <m:r>
                <m:rPr>
                  <m:sty m:val="b"/>
                </m:rPr>
                <w:rPr>
                  <w:rFonts w:ascii="Cambria Math" w:hAnsi="Cambria Math"/>
                  <w:kern w:val="2"/>
                  <w:sz w:val="22"/>
                  <w:szCs w:val="22"/>
                  <w:lang w:eastAsia="uk-UA"/>
                  <w14:ligatures w14:val="standardContextual"/>
                </w:rPr>
                <m:t>×ЧОД</m:t>
              </m:r>
            </m:oMath>
          </w:p>
        </w:tc>
        <w:tc>
          <w:tcPr>
            <w:tcW w:w="5812" w:type="dxa"/>
            <w:shd w:val="clear" w:color="auto" w:fill="auto"/>
          </w:tcPr>
          <w:p w14:paraId="5160568A" w14:textId="77777777" w:rsidR="001043BA" w:rsidRPr="00650E6F" w:rsidRDefault="001043BA" w:rsidP="00650E6F">
            <w:pPr>
              <w:spacing w:after="160" w:line="256" w:lineRule="auto"/>
              <w:ind w:firstLine="709"/>
              <w:jc w:val="both"/>
              <w:rPr>
                <w:kern w:val="2"/>
                <w:sz w:val="22"/>
                <w:szCs w:val="22"/>
                <w:lang w:eastAsia="uk-UA"/>
                <w14:ligatures w14:val="standardContextual"/>
              </w:rPr>
            </w:pPr>
          </w:p>
          <w:p w14:paraId="77E4BD80"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1D46E1BF"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34F14CF"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BDE1A6C"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22A8772E"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33F0E04D"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3AD9B37A"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CC7306D"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1099AF06"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72DC4275"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06EE7513"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050E030B"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059765C3"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1C279620"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35B70A84"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A1B28F8"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0EFF82B8"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7B469166"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5D44FDF9"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3AD0267A"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5E60FB2C"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990B38E"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F452FFE"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2C4F0236"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6E148A69"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44A32308" w14:textId="77777777" w:rsidR="00433B76" w:rsidRPr="00650E6F" w:rsidRDefault="00433B76" w:rsidP="00650E6F">
            <w:pPr>
              <w:spacing w:after="160" w:line="256" w:lineRule="auto"/>
              <w:ind w:firstLine="709"/>
              <w:jc w:val="both"/>
              <w:rPr>
                <w:kern w:val="2"/>
                <w:sz w:val="22"/>
                <w:szCs w:val="22"/>
                <w:lang w:eastAsia="uk-UA"/>
                <w14:ligatures w14:val="standardContextual"/>
              </w:rPr>
            </w:pPr>
          </w:p>
          <w:p w14:paraId="18278A79" w14:textId="77777777" w:rsidR="00C00C26" w:rsidRDefault="00C00C26" w:rsidP="00C00C26">
            <w:pPr>
              <w:spacing w:after="160" w:line="256" w:lineRule="auto"/>
              <w:ind w:firstLine="30"/>
              <w:jc w:val="both"/>
              <w:rPr>
                <w:kern w:val="2"/>
                <w:sz w:val="22"/>
                <w:szCs w:val="22"/>
                <w:lang w:eastAsia="uk-UA"/>
                <w14:ligatures w14:val="standardContextual"/>
              </w:rPr>
            </w:pPr>
            <w:r w:rsidRPr="00A4769E">
              <w:rPr>
                <w:kern w:val="2"/>
                <w:sz w:val="22"/>
                <w:szCs w:val="22"/>
                <w:lang w:eastAsia="uk-UA"/>
                <w14:ligatures w14:val="standardContextual"/>
              </w:rPr>
              <w:t>&lt;…&gt;</w:t>
            </w:r>
          </w:p>
          <w:p w14:paraId="7483C461" w14:textId="77777777" w:rsidR="00433B76" w:rsidRPr="0098053A" w:rsidRDefault="00433B76" w:rsidP="00650E6F">
            <w:pPr>
              <w:spacing w:after="160" w:line="256" w:lineRule="auto"/>
              <w:ind w:firstLine="709"/>
              <w:jc w:val="both"/>
              <w:rPr>
                <w:i/>
                <w:kern w:val="2"/>
                <w:sz w:val="22"/>
                <w:szCs w:val="22"/>
                <w:lang w:eastAsia="uk-UA"/>
                <w14:ligatures w14:val="standardContextual"/>
              </w:rPr>
            </w:pPr>
            <w:r w:rsidRPr="0098053A">
              <w:rPr>
                <w:i/>
                <w:kern w:val="2"/>
                <w:sz w:val="22"/>
                <w:szCs w:val="22"/>
                <w:lang w:eastAsia="uk-UA"/>
                <w14:ligatures w14:val="standardContextual"/>
              </w:rPr>
              <w:t>АТ ДТЕК «ДОНЕЦЬКІ ЕЛЕКТРОМЕРЕЖІ»</w:t>
            </w:r>
          </w:p>
          <w:p w14:paraId="7E11AAC8" w14:textId="77777777" w:rsidR="00433B76" w:rsidRDefault="00433B76" w:rsidP="00650E6F">
            <w:pPr>
              <w:spacing w:after="160" w:line="256" w:lineRule="auto"/>
              <w:ind w:firstLine="709"/>
              <w:jc w:val="both"/>
              <w:rPr>
                <w:b/>
                <w:kern w:val="2"/>
                <w:sz w:val="22"/>
                <w:szCs w:val="22"/>
                <w:lang w:eastAsia="uk-UA"/>
                <w14:ligatures w14:val="standardContextual"/>
              </w:rPr>
            </w:pPr>
            <w:r w:rsidRPr="0098053A">
              <w:rPr>
                <w:b/>
                <w:kern w:val="2"/>
                <w:sz w:val="22"/>
                <w:szCs w:val="22"/>
                <w:lang w:eastAsia="uk-UA"/>
                <w14:ligatures w14:val="standardContextual"/>
              </w:rPr>
              <w:t>Відсутні абзаци</w:t>
            </w:r>
          </w:p>
          <w:p w14:paraId="06D1AA14" w14:textId="77777777" w:rsidR="0098053A" w:rsidRPr="0098053A" w:rsidRDefault="0098053A" w:rsidP="00650E6F">
            <w:pPr>
              <w:spacing w:after="160" w:line="256" w:lineRule="auto"/>
              <w:ind w:firstLine="709"/>
              <w:jc w:val="both"/>
              <w:rPr>
                <w:i/>
                <w:kern w:val="2"/>
                <w:sz w:val="22"/>
                <w:szCs w:val="22"/>
                <w:lang w:eastAsia="uk-UA"/>
                <w14:ligatures w14:val="standardContextual"/>
              </w:rPr>
            </w:pPr>
            <w:r w:rsidRPr="0098053A">
              <w:rPr>
                <w:i/>
                <w:kern w:val="2"/>
                <w:sz w:val="22"/>
                <w:szCs w:val="22"/>
                <w:lang w:eastAsia="uk-UA"/>
                <w14:ligatures w14:val="standardContextual"/>
              </w:rPr>
              <w:t>ОБГРУНТУВАННЯ</w:t>
            </w:r>
          </w:p>
          <w:p w14:paraId="347678A3" w14:textId="77777777" w:rsidR="00433B76" w:rsidRPr="00650E6F" w:rsidRDefault="00433B76" w:rsidP="00650E6F">
            <w:pPr>
              <w:ind w:firstLine="709"/>
              <w:jc w:val="both"/>
              <w:rPr>
                <w:kern w:val="2"/>
                <w:sz w:val="22"/>
                <w:szCs w:val="22"/>
                <w:lang w:eastAsia="uk-UA"/>
                <w14:ligatures w14:val="standardContextual"/>
              </w:rPr>
            </w:pPr>
            <w:r w:rsidRPr="00650E6F">
              <w:rPr>
                <w:kern w:val="2"/>
                <w:sz w:val="22"/>
                <w:szCs w:val="22"/>
                <w:lang w:eastAsia="uk-UA"/>
                <w14:ligatures w14:val="standardContextual"/>
              </w:rPr>
              <w:t xml:space="preserve">Пропонується залишити в діючій редакції. Сума прибутку на РБА не повинна занижуватись при зниженні обсягів розподілу. Отримання певного прибутку на РБА – це право ліцензіата, який перейшов на стимулююче регулювання. </w:t>
            </w:r>
          </w:p>
          <w:p w14:paraId="3FFEE7F8" w14:textId="77777777" w:rsidR="00433B76" w:rsidRPr="00650E6F" w:rsidRDefault="00433B76" w:rsidP="00650E6F">
            <w:pPr>
              <w:ind w:firstLine="709"/>
              <w:jc w:val="both"/>
              <w:rPr>
                <w:kern w:val="2"/>
                <w:sz w:val="22"/>
                <w:szCs w:val="22"/>
                <w:lang w:eastAsia="uk-UA"/>
                <w14:ligatures w14:val="standardContextual"/>
              </w:rPr>
            </w:pPr>
            <w:r w:rsidRPr="00650E6F">
              <w:rPr>
                <w:kern w:val="2"/>
                <w:sz w:val="22"/>
                <w:szCs w:val="22"/>
                <w:lang w:eastAsia="uk-UA"/>
                <w14:ligatures w14:val="standardContextual"/>
              </w:rPr>
              <w:t>Також, в особливих умовах роботи військового стану прибуток на РБА може стати необхідним джерелом у випадках фінансування робіт з відновлення пошкоджених об'єктів електричних мереж або їх складових внаслідок бойових дій та/або виконання заходів із захисту відповідно до постанови НКРЕКП від 20 квітня 2022 року N 386.</w:t>
            </w:r>
          </w:p>
        </w:tc>
        <w:tc>
          <w:tcPr>
            <w:tcW w:w="3546" w:type="dxa"/>
            <w:shd w:val="clear" w:color="auto" w:fill="auto"/>
          </w:tcPr>
          <w:p w14:paraId="3115FE5F" w14:textId="77777777" w:rsidR="006F3E07" w:rsidRDefault="006F3E07" w:rsidP="00925F62">
            <w:pPr>
              <w:rPr>
                <w:kern w:val="2"/>
                <w:sz w:val="22"/>
                <w:szCs w:val="22"/>
                <w:lang w:eastAsia="uk-UA"/>
                <w14:ligatures w14:val="standardContextual"/>
              </w:rPr>
            </w:pPr>
          </w:p>
          <w:p w14:paraId="33CC3DDB" w14:textId="77777777" w:rsidR="00925F62" w:rsidRDefault="00925F62" w:rsidP="00925F62">
            <w:pPr>
              <w:rPr>
                <w:kern w:val="2"/>
                <w:sz w:val="22"/>
                <w:szCs w:val="22"/>
                <w:lang w:eastAsia="uk-UA"/>
                <w14:ligatures w14:val="standardContextual"/>
              </w:rPr>
            </w:pPr>
          </w:p>
          <w:p w14:paraId="3D6DCF01" w14:textId="77777777" w:rsidR="00925F62" w:rsidRDefault="00925F62" w:rsidP="00925F62">
            <w:pPr>
              <w:rPr>
                <w:kern w:val="2"/>
                <w:sz w:val="22"/>
                <w:szCs w:val="22"/>
                <w:lang w:eastAsia="uk-UA"/>
                <w14:ligatures w14:val="standardContextual"/>
              </w:rPr>
            </w:pPr>
          </w:p>
          <w:p w14:paraId="38AB280A" w14:textId="77777777" w:rsidR="00925F62" w:rsidRDefault="00925F62" w:rsidP="00925F62">
            <w:pPr>
              <w:rPr>
                <w:kern w:val="2"/>
                <w:sz w:val="22"/>
                <w:szCs w:val="22"/>
                <w:lang w:eastAsia="uk-UA"/>
                <w14:ligatures w14:val="standardContextual"/>
              </w:rPr>
            </w:pPr>
          </w:p>
          <w:p w14:paraId="192BD6D6" w14:textId="77777777" w:rsidR="00925F62" w:rsidRDefault="00925F62" w:rsidP="00925F62">
            <w:pPr>
              <w:rPr>
                <w:kern w:val="2"/>
                <w:sz w:val="22"/>
                <w:szCs w:val="22"/>
                <w:lang w:eastAsia="uk-UA"/>
                <w14:ligatures w14:val="standardContextual"/>
              </w:rPr>
            </w:pPr>
          </w:p>
          <w:p w14:paraId="41DD82FE" w14:textId="77777777" w:rsidR="00925F62" w:rsidRDefault="00925F62" w:rsidP="00925F62">
            <w:pPr>
              <w:rPr>
                <w:kern w:val="2"/>
                <w:sz w:val="22"/>
                <w:szCs w:val="22"/>
                <w:lang w:eastAsia="uk-UA"/>
                <w14:ligatures w14:val="standardContextual"/>
              </w:rPr>
            </w:pPr>
          </w:p>
          <w:p w14:paraId="69F72D67" w14:textId="77777777" w:rsidR="00925F62" w:rsidRDefault="00925F62" w:rsidP="00925F62">
            <w:pPr>
              <w:rPr>
                <w:kern w:val="2"/>
                <w:sz w:val="22"/>
                <w:szCs w:val="22"/>
                <w:lang w:eastAsia="uk-UA"/>
                <w14:ligatures w14:val="standardContextual"/>
              </w:rPr>
            </w:pPr>
          </w:p>
          <w:p w14:paraId="4A95AE2C" w14:textId="77777777" w:rsidR="00925F62" w:rsidRDefault="00925F62" w:rsidP="00925F62">
            <w:pPr>
              <w:rPr>
                <w:kern w:val="2"/>
                <w:sz w:val="22"/>
                <w:szCs w:val="22"/>
                <w:lang w:eastAsia="uk-UA"/>
                <w14:ligatures w14:val="standardContextual"/>
              </w:rPr>
            </w:pPr>
          </w:p>
          <w:p w14:paraId="6B479B15" w14:textId="77777777" w:rsidR="00925F62" w:rsidRDefault="00925F62" w:rsidP="00925F62">
            <w:pPr>
              <w:rPr>
                <w:kern w:val="2"/>
                <w:sz w:val="22"/>
                <w:szCs w:val="22"/>
                <w:lang w:eastAsia="uk-UA"/>
                <w14:ligatures w14:val="standardContextual"/>
              </w:rPr>
            </w:pPr>
          </w:p>
          <w:p w14:paraId="35157150" w14:textId="77777777" w:rsidR="00925F62" w:rsidRDefault="00925F62" w:rsidP="00925F62">
            <w:pPr>
              <w:rPr>
                <w:kern w:val="2"/>
                <w:sz w:val="22"/>
                <w:szCs w:val="22"/>
                <w:lang w:eastAsia="uk-UA"/>
                <w14:ligatures w14:val="standardContextual"/>
              </w:rPr>
            </w:pPr>
          </w:p>
          <w:p w14:paraId="12A8C722" w14:textId="77777777" w:rsidR="00925F62" w:rsidRDefault="00925F62" w:rsidP="00925F62">
            <w:pPr>
              <w:rPr>
                <w:kern w:val="2"/>
                <w:sz w:val="22"/>
                <w:szCs w:val="22"/>
                <w:lang w:eastAsia="uk-UA"/>
                <w14:ligatures w14:val="standardContextual"/>
              </w:rPr>
            </w:pPr>
          </w:p>
          <w:p w14:paraId="6FEC1840" w14:textId="77777777" w:rsidR="00925F62" w:rsidRDefault="00925F62" w:rsidP="00925F62">
            <w:pPr>
              <w:rPr>
                <w:kern w:val="2"/>
                <w:sz w:val="22"/>
                <w:szCs w:val="22"/>
                <w:lang w:eastAsia="uk-UA"/>
                <w14:ligatures w14:val="standardContextual"/>
              </w:rPr>
            </w:pPr>
          </w:p>
          <w:p w14:paraId="4F6B323B" w14:textId="77777777" w:rsidR="00925F62" w:rsidRDefault="00925F62" w:rsidP="00925F62">
            <w:pPr>
              <w:rPr>
                <w:kern w:val="2"/>
                <w:sz w:val="22"/>
                <w:szCs w:val="22"/>
                <w:lang w:eastAsia="uk-UA"/>
                <w14:ligatures w14:val="standardContextual"/>
              </w:rPr>
            </w:pPr>
          </w:p>
          <w:p w14:paraId="5E72D953" w14:textId="77777777" w:rsidR="00925F62" w:rsidRDefault="00925F62" w:rsidP="00925F62">
            <w:pPr>
              <w:rPr>
                <w:kern w:val="2"/>
                <w:sz w:val="22"/>
                <w:szCs w:val="22"/>
                <w:lang w:eastAsia="uk-UA"/>
                <w14:ligatures w14:val="standardContextual"/>
              </w:rPr>
            </w:pPr>
          </w:p>
          <w:p w14:paraId="77082176" w14:textId="77777777" w:rsidR="00925F62" w:rsidRDefault="00925F62" w:rsidP="00925F62">
            <w:pPr>
              <w:rPr>
                <w:kern w:val="2"/>
                <w:sz w:val="22"/>
                <w:szCs w:val="22"/>
                <w:lang w:eastAsia="uk-UA"/>
                <w14:ligatures w14:val="standardContextual"/>
              </w:rPr>
            </w:pPr>
          </w:p>
          <w:p w14:paraId="0DF8A3AE" w14:textId="77777777" w:rsidR="00925F62" w:rsidRDefault="00925F62" w:rsidP="00925F62">
            <w:pPr>
              <w:rPr>
                <w:kern w:val="2"/>
                <w:sz w:val="22"/>
                <w:szCs w:val="22"/>
                <w:lang w:eastAsia="uk-UA"/>
                <w14:ligatures w14:val="standardContextual"/>
              </w:rPr>
            </w:pPr>
          </w:p>
          <w:p w14:paraId="16AC0EC6" w14:textId="77777777" w:rsidR="00925F62" w:rsidRDefault="00925F62" w:rsidP="00925F62">
            <w:pPr>
              <w:rPr>
                <w:kern w:val="2"/>
                <w:sz w:val="22"/>
                <w:szCs w:val="22"/>
                <w:lang w:eastAsia="uk-UA"/>
                <w14:ligatures w14:val="standardContextual"/>
              </w:rPr>
            </w:pPr>
          </w:p>
          <w:p w14:paraId="61BF7D1F" w14:textId="77777777" w:rsidR="00925F62" w:rsidRDefault="00925F62" w:rsidP="00925F62">
            <w:pPr>
              <w:rPr>
                <w:kern w:val="2"/>
                <w:sz w:val="22"/>
                <w:szCs w:val="22"/>
                <w:lang w:eastAsia="uk-UA"/>
                <w14:ligatures w14:val="standardContextual"/>
              </w:rPr>
            </w:pPr>
          </w:p>
          <w:p w14:paraId="0A2FFB23" w14:textId="77777777" w:rsidR="00925F62" w:rsidRDefault="00925F62" w:rsidP="00925F62">
            <w:pPr>
              <w:rPr>
                <w:kern w:val="2"/>
                <w:sz w:val="22"/>
                <w:szCs w:val="22"/>
                <w:lang w:eastAsia="uk-UA"/>
                <w14:ligatures w14:val="standardContextual"/>
              </w:rPr>
            </w:pPr>
          </w:p>
          <w:p w14:paraId="6DC21E44" w14:textId="77777777" w:rsidR="00925F62" w:rsidRDefault="00925F62" w:rsidP="00925F62">
            <w:pPr>
              <w:rPr>
                <w:kern w:val="2"/>
                <w:sz w:val="22"/>
                <w:szCs w:val="22"/>
                <w:lang w:eastAsia="uk-UA"/>
                <w14:ligatures w14:val="standardContextual"/>
              </w:rPr>
            </w:pPr>
          </w:p>
          <w:p w14:paraId="4B100B84" w14:textId="77777777" w:rsidR="00925F62" w:rsidRDefault="00925F62" w:rsidP="00925F62">
            <w:pPr>
              <w:rPr>
                <w:kern w:val="2"/>
                <w:sz w:val="22"/>
                <w:szCs w:val="22"/>
                <w:lang w:eastAsia="uk-UA"/>
                <w14:ligatures w14:val="standardContextual"/>
              </w:rPr>
            </w:pPr>
          </w:p>
          <w:p w14:paraId="4196A7B0" w14:textId="77777777" w:rsidR="00925F62" w:rsidRDefault="00925F62" w:rsidP="00925F62">
            <w:pPr>
              <w:rPr>
                <w:kern w:val="2"/>
                <w:sz w:val="22"/>
                <w:szCs w:val="22"/>
                <w:lang w:eastAsia="uk-UA"/>
                <w14:ligatures w14:val="standardContextual"/>
              </w:rPr>
            </w:pPr>
          </w:p>
          <w:p w14:paraId="4BABD185" w14:textId="77777777" w:rsidR="00925F62" w:rsidRDefault="00925F62" w:rsidP="00925F62">
            <w:pPr>
              <w:rPr>
                <w:kern w:val="2"/>
                <w:sz w:val="22"/>
                <w:szCs w:val="22"/>
                <w:lang w:eastAsia="uk-UA"/>
                <w14:ligatures w14:val="standardContextual"/>
              </w:rPr>
            </w:pPr>
          </w:p>
          <w:p w14:paraId="1991B934" w14:textId="77777777" w:rsidR="00925F62" w:rsidRDefault="00925F62" w:rsidP="00925F62">
            <w:pPr>
              <w:rPr>
                <w:kern w:val="2"/>
                <w:sz w:val="22"/>
                <w:szCs w:val="22"/>
                <w:lang w:eastAsia="uk-UA"/>
                <w14:ligatures w14:val="standardContextual"/>
              </w:rPr>
            </w:pPr>
          </w:p>
          <w:p w14:paraId="067ACA39" w14:textId="77777777" w:rsidR="00925F62" w:rsidRDefault="00925F62" w:rsidP="00925F62">
            <w:pPr>
              <w:rPr>
                <w:kern w:val="2"/>
                <w:sz w:val="22"/>
                <w:szCs w:val="22"/>
                <w:lang w:eastAsia="uk-UA"/>
                <w14:ligatures w14:val="standardContextual"/>
              </w:rPr>
            </w:pPr>
          </w:p>
          <w:p w14:paraId="2FACA761" w14:textId="77777777" w:rsidR="00925F62" w:rsidRDefault="00925F62" w:rsidP="00925F62">
            <w:pPr>
              <w:rPr>
                <w:kern w:val="2"/>
                <w:sz w:val="22"/>
                <w:szCs w:val="22"/>
                <w:lang w:eastAsia="uk-UA"/>
                <w14:ligatures w14:val="standardContextual"/>
              </w:rPr>
            </w:pPr>
          </w:p>
          <w:p w14:paraId="0D9DF056" w14:textId="77777777" w:rsidR="00925F62" w:rsidRDefault="00925F62" w:rsidP="00925F62">
            <w:pPr>
              <w:rPr>
                <w:kern w:val="2"/>
                <w:sz w:val="22"/>
                <w:szCs w:val="22"/>
                <w:lang w:eastAsia="uk-UA"/>
                <w14:ligatures w14:val="standardContextual"/>
              </w:rPr>
            </w:pPr>
          </w:p>
          <w:p w14:paraId="7F19BA47" w14:textId="77777777" w:rsidR="00925F62" w:rsidRDefault="00925F62" w:rsidP="00925F62">
            <w:pPr>
              <w:rPr>
                <w:kern w:val="2"/>
                <w:sz w:val="22"/>
                <w:szCs w:val="22"/>
                <w:lang w:eastAsia="uk-UA"/>
                <w14:ligatures w14:val="standardContextual"/>
              </w:rPr>
            </w:pPr>
          </w:p>
          <w:p w14:paraId="190C27FD" w14:textId="77777777" w:rsidR="00925F62" w:rsidRDefault="00925F62" w:rsidP="00925F62">
            <w:pPr>
              <w:rPr>
                <w:kern w:val="2"/>
                <w:sz w:val="22"/>
                <w:szCs w:val="22"/>
                <w:lang w:eastAsia="uk-UA"/>
                <w14:ligatures w14:val="standardContextual"/>
              </w:rPr>
            </w:pPr>
          </w:p>
          <w:p w14:paraId="0266C17F" w14:textId="77777777" w:rsidR="00925F62" w:rsidRDefault="00925F62" w:rsidP="00925F62">
            <w:pPr>
              <w:rPr>
                <w:kern w:val="2"/>
                <w:sz w:val="22"/>
                <w:szCs w:val="22"/>
                <w:lang w:eastAsia="uk-UA"/>
                <w14:ligatures w14:val="standardContextual"/>
              </w:rPr>
            </w:pPr>
          </w:p>
          <w:p w14:paraId="3B19DB89" w14:textId="77777777" w:rsidR="00925F62" w:rsidRDefault="00925F62" w:rsidP="00925F62">
            <w:pPr>
              <w:rPr>
                <w:kern w:val="2"/>
                <w:sz w:val="22"/>
                <w:szCs w:val="22"/>
                <w:lang w:eastAsia="uk-UA"/>
                <w14:ligatures w14:val="standardContextual"/>
              </w:rPr>
            </w:pPr>
          </w:p>
          <w:p w14:paraId="6A07EBAA" w14:textId="77777777" w:rsidR="00925F62" w:rsidRDefault="00925F62" w:rsidP="00925F62">
            <w:pPr>
              <w:rPr>
                <w:kern w:val="2"/>
                <w:sz w:val="22"/>
                <w:szCs w:val="22"/>
                <w:lang w:eastAsia="uk-UA"/>
                <w14:ligatures w14:val="standardContextual"/>
              </w:rPr>
            </w:pPr>
          </w:p>
          <w:p w14:paraId="4CE8C1E2" w14:textId="77777777" w:rsidR="00925F62" w:rsidRDefault="00925F62" w:rsidP="00925F62">
            <w:pPr>
              <w:rPr>
                <w:kern w:val="2"/>
                <w:sz w:val="22"/>
                <w:szCs w:val="22"/>
                <w:lang w:eastAsia="uk-UA"/>
                <w14:ligatures w14:val="standardContextual"/>
              </w:rPr>
            </w:pPr>
          </w:p>
          <w:p w14:paraId="1862CEE0" w14:textId="77777777" w:rsidR="00925F62" w:rsidRDefault="00925F62" w:rsidP="00925F62">
            <w:pPr>
              <w:rPr>
                <w:kern w:val="2"/>
                <w:sz w:val="22"/>
                <w:szCs w:val="22"/>
                <w:lang w:eastAsia="uk-UA"/>
                <w14:ligatures w14:val="standardContextual"/>
              </w:rPr>
            </w:pPr>
          </w:p>
          <w:p w14:paraId="21A71DB3" w14:textId="77777777" w:rsidR="00925F62" w:rsidRDefault="00925F62" w:rsidP="00925F62">
            <w:pPr>
              <w:rPr>
                <w:kern w:val="2"/>
                <w:sz w:val="22"/>
                <w:szCs w:val="22"/>
                <w:lang w:eastAsia="uk-UA"/>
                <w14:ligatures w14:val="standardContextual"/>
              </w:rPr>
            </w:pPr>
          </w:p>
          <w:p w14:paraId="232B29F4" w14:textId="77777777" w:rsidR="00925F62" w:rsidRDefault="00925F62" w:rsidP="00925F62">
            <w:pPr>
              <w:rPr>
                <w:kern w:val="2"/>
                <w:sz w:val="22"/>
                <w:szCs w:val="22"/>
                <w:lang w:eastAsia="uk-UA"/>
                <w14:ligatures w14:val="standardContextual"/>
              </w:rPr>
            </w:pPr>
          </w:p>
          <w:p w14:paraId="49F54BE2" w14:textId="77777777" w:rsidR="00925F62" w:rsidRDefault="00925F62" w:rsidP="00925F62">
            <w:pPr>
              <w:rPr>
                <w:kern w:val="2"/>
                <w:sz w:val="22"/>
                <w:szCs w:val="22"/>
                <w:lang w:eastAsia="uk-UA"/>
                <w14:ligatures w14:val="standardContextual"/>
              </w:rPr>
            </w:pPr>
          </w:p>
          <w:p w14:paraId="626CF990" w14:textId="77777777" w:rsidR="00925F62" w:rsidRDefault="00925F62" w:rsidP="00925F62">
            <w:pPr>
              <w:rPr>
                <w:kern w:val="2"/>
                <w:sz w:val="22"/>
                <w:szCs w:val="22"/>
                <w:lang w:eastAsia="uk-UA"/>
                <w14:ligatures w14:val="standardContextual"/>
              </w:rPr>
            </w:pPr>
          </w:p>
          <w:p w14:paraId="09AEE8B3" w14:textId="77777777" w:rsidR="00925F62" w:rsidRDefault="00925F62" w:rsidP="00925F62">
            <w:pPr>
              <w:rPr>
                <w:kern w:val="2"/>
                <w:sz w:val="22"/>
                <w:szCs w:val="22"/>
                <w:lang w:eastAsia="uk-UA"/>
                <w14:ligatures w14:val="standardContextual"/>
              </w:rPr>
            </w:pPr>
          </w:p>
          <w:p w14:paraId="1621D746" w14:textId="77777777" w:rsidR="00925F62" w:rsidRDefault="00925F62" w:rsidP="00925F62">
            <w:pPr>
              <w:rPr>
                <w:kern w:val="2"/>
                <w:sz w:val="22"/>
                <w:szCs w:val="22"/>
                <w:lang w:eastAsia="uk-UA"/>
                <w14:ligatures w14:val="standardContextual"/>
              </w:rPr>
            </w:pPr>
          </w:p>
          <w:p w14:paraId="2B4C4D68" w14:textId="77777777" w:rsidR="00925F62" w:rsidRDefault="00925F62" w:rsidP="00925F62">
            <w:pPr>
              <w:rPr>
                <w:kern w:val="2"/>
                <w:sz w:val="22"/>
                <w:szCs w:val="22"/>
                <w:lang w:eastAsia="uk-UA"/>
                <w14:ligatures w14:val="standardContextual"/>
              </w:rPr>
            </w:pPr>
          </w:p>
          <w:p w14:paraId="2942525E" w14:textId="77777777" w:rsidR="00925F62" w:rsidRDefault="00925F62" w:rsidP="00925F62">
            <w:pPr>
              <w:rPr>
                <w:kern w:val="2"/>
                <w:sz w:val="22"/>
                <w:szCs w:val="22"/>
                <w:lang w:eastAsia="uk-UA"/>
                <w14:ligatures w14:val="standardContextual"/>
              </w:rPr>
            </w:pPr>
          </w:p>
          <w:p w14:paraId="705EB3D7" w14:textId="77777777" w:rsidR="00925F62" w:rsidRDefault="00925F62" w:rsidP="00925F62">
            <w:pPr>
              <w:rPr>
                <w:kern w:val="2"/>
                <w:sz w:val="22"/>
                <w:szCs w:val="22"/>
                <w:lang w:eastAsia="uk-UA"/>
                <w14:ligatures w14:val="standardContextual"/>
              </w:rPr>
            </w:pPr>
          </w:p>
          <w:p w14:paraId="7C263B2F" w14:textId="77777777" w:rsidR="00925F62" w:rsidRDefault="00925F62" w:rsidP="00925F62">
            <w:pPr>
              <w:rPr>
                <w:kern w:val="2"/>
                <w:sz w:val="22"/>
                <w:szCs w:val="22"/>
                <w:lang w:eastAsia="uk-UA"/>
                <w14:ligatures w14:val="standardContextual"/>
              </w:rPr>
            </w:pPr>
          </w:p>
          <w:p w14:paraId="61B9727B" w14:textId="77777777" w:rsidR="00925F62" w:rsidRDefault="00925F62" w:rsidP="00925F62">
            <w:pPr>
              <w:rPr>
                <w:kern w:val="2"/>
                <w:sz w:val="22"/>
                <w:szCs w:val="22"/>
                <w:lang w:eastAsia="uk-UA"/>
                <w14:ligatures w14:val="standardContextual"/>
              </w:rPr>
            </w:pPr>
          </w:p>
          <w:p w14:paraId="2269D4FE" w14:textId="77777777" w:rsidR="00925F62" w:rsidRDefault="00925F62" w:rsidP="00925F62">
            <w:pPr>
              <w:rPr>
                <w:kern w:val="2"/>
                <w:sz w:val="22"/>
                <w:szCs w:val="22"/>
                <w:lang w:eastAsia="uk-UA"/>
                <w14:ligatures w14:val="standardContextual"/>
              </w:rPr>
            </w:pPr>
          </w:p>
          <w:p w14:paraId="1A1C7E41" w14:textId="77777777" w:rsidR="00925F62" w:rsidRDefault="00925F62" w:rsidP="00925F62">
            <w:pPr>
              <w:rPr>
                <w:kern w:val="2"/>
                <w:sz w:val="22"/>
                <w:szCs w:val="22"/>
                <w:lang w:eastAsia="uk-UA"/>
                <w14:ligatures w14:val="standardContextual"/>
              </w:rPr>
            </w:pPr>
          </w:p>
          <w:p w14:paraId="52244EEA" w14:textId="77777777" w:rsidR="00925F62" w:rsidRPr="00527D0A" w:rsidRDefault="00925F62" w:rsidP="00925F62">
            <w:pPr>
              <w:rPr>
                <w:b/>
                <w:sz w:val="22"/>
                <w:szCs w:val="22"/>
              </w:rPr>
            </w:pPr>
            <w:r w:rsidRPr="00A32516">
              <w:rPr>
                <w:b/>
                <w:sz w:val="22"/>
                <w:szCs w:val="22"/>
              </w:rPr>
              <w:t>Не враховано</w:t>
            </w:r>
          </w:p>
          <w:p w14:paraId="61F3BB64" w14:textId="26C554A9" w:rsidR="00C0479F" w:rsidRDefault="00C0479F" w:rsidP="00C0479F">
            <w:pPr>
              <w:jc w:val="both"/>
              <w:rPr>
                <w:rFonts w:eastAsia="Calibri"/>
                <w:b/>
                <w:bCs/>
                <w:sz w:val="22"/>
                <w:szCs w:val="22"/>
                <w:shd w:val="clear" w:color="auto" w:fill="FFFFFF"/>
                <w:lang w:eastAsia="en-US"/>
              </w:rPr>
            </w:pPr>
            <w:r w:rsidRPr="004C7183">
              <w:rPr>
                <w:kern w:val="2"/>
                <w:sz w:val="22"/>
                <w:szCs w:val="22"/>
                <w:lang w:eastAsia="uk-UA"/>
                <w14:ligatures w14:val="standardContextual"/>
              </w:rPr>
              <w:t xml:space="preserve">Врахування при розрахунку </w:t>
            </w:r>
            <w:r w:rsidRPr="00C0479F">
              <w:rPr>
                <w:kern w:val="2"/>
                <w:sz w:val="22"/>
                <w:szCs w:val="22"/>
                <w:lang w:eastAsia="uk-UA"/>
                <w14:ligatures w14:val="standardContextual"/>
              </w:rPr>
              <w:t>додатково отриманого або недоотриманого доходу прибутку на активи із урахуванням тимчасово окупованих територіях держави та/або над якими втрачено контроль унаслідок</w:t>
            </w:r>
            <w:r w:rsidRPr="00C0479F">
              <w:rPr>
                <w:rFonts w:eastAsia="Calibri"/>
                <w:bCs/>
                <w:sz w:val="22"/>
                <w:szCs w:val="22"/>
                <w:shd w:val="clear" w:color="auto" w:fill="FFFFFF"/>
                <w:lang w:eastAsia="en-US"/>
              </w:rPr>
              <w:t xml:space="preserve"> </w:t>
            </w:r>
            <w:r w:rsidRPr="00C0479F">
              <w:rPr>
                <w:kern w:val="2"/>
                <w:sz w:val="22"/>
                <w:szCs w:val="22"/>
                <w:lang w:eastAsia="uk-UA"/>
                <w14:ligatures w14:val="standardContextual"/>
              </w:rPr>
              <w:t xml:space="preserve">агресії </w:t>
            </w:r>
            <w:proofErr w:type="spellStart"/>
            <w:r w:rsidRPr="00C0479F">
              <w:rPr>
                <w:kern w:val="2"/>
                <w:sz w:val="22"/>
                <w:szCs w:val="22"/>
                <w:lang w:eastAsia="uk-UA"/>
                <w14:ligatures w14:val="standardContextual"/>
              </w:rPr>
              <w:t>рф</w:t>
            </w:r>
            <w:proofErr w:type="spellEnd"/>
            <w:r w:rsidRPr="00C0479F">
              <w:rPr>
                <w:kern w:val="2"/>
                <w:sz w:val="22"/>
                <w:szCs w:val="22"/>
                <w:lang w:eastAsia="uk-UA"/>
                <w14:ligatures w14:val="standardContextual"/>
              </w:rPr>
              <w:t xml:space="preserve"> є недоцільним. У зв’язку з тим, що </w:t>
            </w:r>
            <w:r w:rsidRPr="00C0479F">
              <w:rPr>
                <w:rFonts w:eastAsia="Calibri"/>
                <w:bCs/>
                <w:sz w:val="22"/>
                <w:szCs w:val="22"/>
                <w:shd w:val="clear" w:color="auto" w:fill="FFFFFF"/>
                <w:lang w:eastAsia="en-US"/>
              </w:rPr>
              <w:t xml:space="preserve">нормативно-правовою базою НКРЕКП передбачено </w:t>
            </w:r>
            <w:r w:rsidRPr="00C0479F">
              <w:rPr>
                <w:kern w:val="2"/>
                <w:sz w:val="22"/>
                <w:szCs w:val="22"/>
                <w:lang w:eastAsia="uk-UA"/>
                <w14:ligatures w14:val="standardContextual"/>
              </w:rPr>
              <w:t xml:space="preserve">виведення активів, які </w:t>
            </w:r>
            <w:r w:rsidRPr="00C0479F">
              <w:rPr>
                <w:rFonts w:eastAsia="Calibri"/>
                <w:bCs/>
                <w:sz w:val="22"/>
                <w:szCs w:val="22"/>
                <w:shd w:val="clear" w:color="auto" w:fill="FFFFFF"/>
                <w:lang w:eastAsia="en-US"/>
              </w:rPr>
              <w:t xml:space="preserve">розташовані на тимчасово окупованих територіях держави та/або над якими втрачено контроль </w:t>
            </w:r>
            <w:r w:rsidRPr="00C0479F">
              <w:rPr>
                <w:kern w:val="2"/>
                <w:sz w:val="22"/>
                <w:szCs w:val="22"/>
                <w:lang w:eastAsia="uk-UA"/>
                <w14:ligatures w14:val="standardContextual"/>
              </w:rPr>
              <w:t>унаслідок</w:t>
            </w:r>
            <w:r w:rsidRPr="00C0479F">
              <w:rPr>
                <w:rFonts w:eastAsia="Calibri"/>
                <w:bCs/>
                <w:sz w:val="22"/>
                <w:szCs w:val="22"/>
                <w:shd w:val="clear" w:color="auto" w:fill="FFFFFF"/>
                <w:lang w:eastAsia="en-US"/>
              </w:rPr>
              <w:t xml:space="preserve"> </w:t>
            </w:r>
            <w:r w:rsidRPr="00C0479F">
              <w:rPr>
                <w:kern w:val="2"/>
                <w:sz w:val="22"/>
                <w:szCs w:val="22"/>
                <w:lang w:eastAsia="uk-UA"/>
                <w14:ligatures w14:val="standardContextual"/>
              </w:rPr>
              <w:t xml:space="preserve">агресії </w:t>
            </w:r>
            <w:proofErr w:type="spellStart"/>
            <w:r w:rsidRPr="00C0479F">
              <w:rPr>
                <w:kern w:val="2"/>
                <w:sz w:val="22"/>
                <w:szCs w:val="22"/>
                <w:lang w:eastAsia="uk-UA"/>
                <w14:ligatures w14:val="standardContextual"/>
              </w:rPr>
              <w:t>рф</w:t>
            </w:r>
            <w:proofErr w:type="spellEnd"/>
            <w:r w:rsidRPr="00C0479F">
              <w:rPr>
                <w:rFonts w:eastAsia="Calibri"/>
                <w:bCs/>
                <w:sz w:val="22"/>
                <w:szCs w:val="22"/>
                <w:shd w:val="clear" w:color="auto" w:fill="FFFFFF"/>
                <w:lang w:eastAsia="en-US"/>
              </w:rPr>
              <w:t xml:space="preserve"> з 31.12.2023, схваленим рішенням передбачено норму щодо обмеження частини прибутку для визначених ліцензіатів.</w:t>
            </w:r>
          </w:p>
          <w:p w14:paraId="5E68C551" w14:textId="77777777" w:rsidR="00C0479F" w:rsidRDefault="00C0479F" w:rsidP="00C0479F">
            <w:pPr>
              <w:jc w:val="both"/>
              <w:rPr>
                <w:color w:val="EE0000"/>
                <w:kern w:val="2"/>
                <w:sz w:val="22"/>
                <w:szCs w:val="22"/>
                <w:lang w:eastAsia="uk-UA"/>
                <w14:ligatures w14:val="standardContextual"/>
              </w:rPr>
            </w:pPr>
          </w:p>
          <w:p w14:paraId="1990522A" w14:textId="3DF97524" w:rsidR="000546DD" w:rsidRPr="00650E6F" w:rsidRDefault="00C0479F" w:rsidP="00A32516">
            <w:pPr>
              <w:jc w:val="both"/>
              <w:rPr>
                <w:kern w:val="2"/>
                <w:sz w:val="22"/>
                <w:szCs w:val="22"/>
                <w:lang w:eastAsia="uk-UA"/>
                <w14:ligatures w14:val="standardContextual"/>
              </w:rPr>
            </w:pPr>
            <w:r w:rsidRPr="004C7183">
              <w:rPr>
                <w:kern w:val="2"/>
                <w:sz w:val="22"/>
                <w:szCs w:val="22"/>
                <w:lang w:eastAsia="uk-UA"/>
                <w14:ligatures w14:val="standardContextual"/>
              </w:rPr>
              <w:t xml:space="preserve">Крім цього, фактичні витрати, зокрема понесені відповідно до постанови НКРЕКП від 20.04.2022 </w:t>
            </w:r>
            <w:r w:rsidRPr="004C7183">
              <w:rPr>
                <w:kern w:val="2"/>
                <w:sz w:val="22"/>
                <w:szCs w:val="22"/>
                <w:lang w:eastAsia="uk-UA"/>
                <w14:ligatures w14:val="standardContextual"/>
              </w:rPr>
              <w:lastRenderedPageBreak/>
              <w:t>№ 386</w:t>
            </w:r>
            <w:r w:rsidRPr="00C0479F">
              <w:rPr>
                <w:kern w:val="2"/>
                <w:sz w:val="22"/>
                <w:szCs w:val="22"/>
                <w:lang w:eastAsia="uk-UA"/>
                <w14:ligatures w14:val="standardContextual"/>
              </w:rPr>
              <w:t>, які визнано обґрунтованими, враховуються при розрахунку додатково отримано</w:t>
            </w:r>
            <w:r w:rsidR="0041422E">
              <w:rPr>
                <w:kern w:val="2"/>
                <w:sz w:val="22"/>
                <w:szCs w:val="22"/>
                <w:lang w:eastAsia="uk-UA"/>
                <w14:ligatures w14:val="standardContextual"/>
              </w:rPr>
              <w:t>го</w:t>
            </w:r>
            <w:r w:rsidRPr="00C0479F">
              <w:rPr>
                <w:kern w:val="2"/>
                <w:sz w:val="22"/>
                <w:szCs w:val="22"/>
                <w:lang w:eastAsia="uk-UA"/>
                <w14:ligatures w14:val="standardContextual"/>
              </w:rPr>
              <w:t>/</w:t>
            </w:r>
            <w:r w:rsidR="0041422E">
              <w:rPr>
                <w:kern w:val="2"/>
                <w:sz w:val="22"/>
                <w:szCs w:val="22"/>
                <w:lang w:eastAsia="uk-UA"/>
                <w14:ligatures w14:val="standardContextual"/>
              </w:rPr>
              <w:t xml:space="preserve"> </w:t>
            </w:r>
            <w:r w:rsidRPr="00C0479F">
              <w:rPr>
                <w:kern w:val="2"/>
                <w:sz w:val="22"/>
                <w:szCs w:val="22"/>
                <w:lang w:eastAsia="uk-UA"/>
                <w14:ligatures w14:val="standardContextual"/>
              </w:rPr>
              <w:t>недоотриманого доходу ліцензіата за звітний рік.</w:t>
            </w:r>
          </w:p>
        </w:tc>
      </w:tr>
    </w:tbl>
    <w:p w14:paraId="143B10D2" w14:textId="77777777" w:rsidR="00A456FF" w:rsidRPr="00C27A60" w:rsidRDefault="00A456FF" w:rsidP="006F3E07">
      <w:pPr>
        <w:pStyle w:val="pf0"/>
        <w:jc w:val="both"/>
        <w:rPr>
          <w:sz w:val="22"/>
          <w:szCs w:val="22"/>
          <w:lang w:val="uk-UA"/>
        </w:rPr>
      </w:pPr>
      <w:bookmarkStart w:id="1" w:name="n5489"/>
      <w:bookmarkEnd w:id="1"/>
    </w:p>
    <w:sectPr w:rsidR="00A456FF" w:rsidRPr="00C27A60" w:rsidSect="00CF133B">
      <w:headerReference w:type="default" r:id="rId8"/>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08BD0" w14:textId="77777777" w:rsidR="00D771BE" w:rsidRDefault="00D771BE">
      <w:r>
        <w:separator/>
      </w:r>
    </w:p>
  </w:endnote>
  <w:endnote w:type="continuationSeparator" w:id="0">
    <w:p w14:paraId="2C5C0334" w14:textId="77777777" w:rsidR="00D771BE" w:rsidRDefault="00D7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0A89B" w14:textId="77777777" w:rsidR="00D771BE" w:rsidRDefault="00D771BE">
      <w:r>
        <w:separator/>
      </w:r>
    </w:p>
  </w:footnote>
  <w:footnote w:type="continuationSeparator" w:id="0">
    <w:p w14:paraId="4BD5A310" w14:textId="77777777" w:rsidR="00D771BE" w:rsidRDefault="00D77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14:paraId="3767D83B" w14:textId="77777777" w:rsidR="00AE4FBF" w:rsidRDefault="00AE4FBF">
        <w:pPr>
          <w:pStyle w:val="a4"/>
          <w:jc w:val="center"/>
        </w:pPr>
        <w:r>
          <w:fldChar w:fldCharType="begin"/>
        </w:r>
        <w:r>
          <w:instrText>PAGE   \* MERGEFORMAT</w:instrText>
        </w:r>
        <w:r>
          <w:fldChar w:fldCharType="separate"/>
        </w:r>
        <w:r>
          <w:rPr>
            <w:noProof/>
          </w:rPr>
          <w:t>21</w:t>
        </w:r>
        <w:r>
          <w:fldChar w:fldCharType="end"/>
        </w:r>
      </w:p>
    </w:sdtContent>
  </w:sdt>
  <w:p w14:paraId="25DF1891" w14:textId="77777777" w:rsidR="00AE4FBF" w:rsidRDefault="00AE4FB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0AF48E8"/>
    <w:multiLevelType w:val="hybridMultilevel"/>
    <w:tmpl w:val="F54AA1E8"/>
    <w:lvl w:ilvl="0" w:tplc="18D4C58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B40FE"/>
    <w:multiLevelType w:val="hybridMultilevel"/>
    <w:tmpl w:val="A3E4EB0A"/>
    <w:lvl w:ilvl="0" w:tplc="BE729690">
      <w:start w:val="1"/>
      <w:numFmt w:val="decimal"/>
      <w:lvlText w:val="%1."/>
      <w:lvlJc w:val="left"/>
      <w:pPr>
        <w:ind w:left="396" w:hanging="360"/>
      </w:pPr>
      <w:rPr>
        <w:rFonts w:hint="default"/>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5" w15:restartNumberingAfterBreak="0">
    <w:nsid w:val="1C257E7B"/>
    <w:multiLevelType w:val="hybridMultilevel"/>
    <w:tmpl w:val="ECC62DDC"/>
    <w:lvl w:ilvl="0" w:tplc="F8C8C80C">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1D9B7492"/>
    <w:multiLevelType w:val="hybridMultilevel"/>
    <w:tmpl w:val="9D649BD4"/>
    <w:lvl w:ilvl="0" w:tplc="94761328">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574A24C8">
      <w:numFmt w:val="bullet"/>
      <w:lvlText w:val="•"/>
      <w:lvlJc w:val="left"/>
      <w:pPr>
        <w:ind w:left="1343" w:hanging="360"/>
      </w:pPr>
      <w:rPr>
        <w:rFonts w:hint="default"/>
        <w:lang w:val="uk-UA" w:eastAsia="en-US" w:bidi="ar-SA"/>
      </w:rPr>
    </w:lvl>
    <w:lvl w:ilvl="2" w:tplc="62F855B0">
      <w:numFmt w:val="bullet"/>
      <w:lvlText w:val="•"/>
      <w:lvlJc w:val="left"/>
      <w:pPr>
        <w:ind w:left="1886" w:hanging="360"/>
      </w:pPr>
      <w:rPr>
        <w:rFonts w:hint="default"/>
        <w:lang w:val="uk-UA" w:eastAsia="en-US" w:bidi="ar-SA"/>
      </w:rPr>
    </w:lvl>
    <w:lvl w:ilvl="3" w:tplc="BC26B48E">
      <w:numFmt w:val="bullet"/>
      <w:lvlText w:val="•"/>
      <w:lvlJc w:val="left"/>
      <w:pPr>
        <w:ind w:left="2429" w:hanging="360"/>
      </w:pPr>
      <w:rPr>
        <w:rFonts w:hint="default"/>
        <w:lang w:val="uk-UA" w:eastAsia="en-US" w:bidi="ar-SA"/>
      </w:rPr>
    </w:lvl>
    <w:lvl w:ilvl="4" w:tplc="29BEBC8E">
      <w:numFmt w:val="bullet"/>
      <w:lvlText w:val="•"/>
      <w:lvlJc w:val="left"/>
      <w:pPr>
        <w:ind w:left="2972" w:hanging="360"/>
      </w:pPr>
      <w:rPr>
        <w:rFonts w:hint="default"/>
        <w:lang w:val="uk-UA" w:eastAsia="en-US" w:bidi="ar-SA"/>
      </w:rPr>
    </w:lvl>
    <w:lvl w:ilvl="5" w:tplc="1460E902">
      <w:numFmt w:val="bullet"/>
      <w:lvlText w:val="•"/>
      <w:lvlJc w:val="left"/>
      <w:pPr>
        <w:ind w:left="3515" w:hanging="360"/>
      </w:pPr>
      <w:rPr>
        <w:rFonts w:hint="default"/>
        <w:lang w:val="uk-UA" w:eastAsia="en-US" w:bidi="ar-SA"/>
      </w:rPr>
    </w:lvl>
    <w:lvl w:ilvl="6" w:tplc="AA6225C2">
      <w:numFmt w:val="bullet"/>
      <w:lvlText w:val="•"/>
      <w:lvlJc w:val="left"/>
      <w:pPr>
        <w:ind w:left="4058" w:hanging="360"/>
      </w:pPr>
      <w:rPr>
        <w:rFonts w:hint="default"/>
        <w:lang w:val="uk-UA" w:eastAsia="en-US" w:bidi="ar-SA"/>
      </w:rPr>
    </w:lvl>
    <w:lvl w:ilvl="7" w:tplc="D0341110">
      <w:numFmt w:val="bullet"/>
      <w:lvlText w:val="•"/>
      <w:lvlJc w:val="left"/>
      <w:pPr>
        <w:ind w:left="4601" w:hanging="360"/>
      </w:pPr>
      <w:rPr>
        <w:rFonts w:hint="default"/>
        <w:lang w:val="uk-UA" w:eastAsia="en-US" w:bidi="ar-SA"/>
      </w:rPr>
    </w:lvl>
    <w:lvl w:ilvl="8" w:tplc="E5A2F8CA">
      <w:numFmt w:val="bullet"/>
      <w:lvlText w:val="•"/>
      <w:lvlJc w:val="left"/>
      <w:pPr>
        <w:ind w:left="5144" w:hanging="360"/>
      </w:pPr>
      <w:rPr>
        <w:rFonts w:hint="default"/>
        <w:lang w:val="uk-UA" w:eastAsia="en-US" w:bidi="ar-SA"/>
      </w:rPr>
    </w:lvl>
  </w:abstractNum>
  <w:abstractNum w:abstractNumId="8"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9"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10"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12"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7"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20"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2" w15:restartNumberingAfterBreak="0">
    <w:nsid w:val="740D5CD9"/>
    <w:multiLevelType w:val="multilevel"/>
    <w:tmpl w:val="D6FAE58C"/>
    <w:numStyleLink w:val="newnumberingapplications"/>
  </w:abstractNum>
  <w:abstractNum w:abstractNumId="23" w15:restartNumberingAfterBreak="0">
    <w:nsid w:val="742F7110"/>
    <w:multiLevelType w:val="hybridMultilevel"/>
    <w:tmpl w:val="AB00C1F0"/>
    <w:lvl w:ilvl="0" w:tplc="B4AA6A7A">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447A569E">
      <w:numFmt w:val="bullet"/>
      <w:lvlText w:val="•"/>
      <w:lvlJc w:val="left"/>
      <w:pPr>
        <w:ind w:left="1343" w:hanging="360"/>
      </w:pPr>
      <w:rPr>
        <w:rFonts w:hint="default"/>
        <w:lang w:val="uk-UA" w:eastAsia="en-US" w:bidi="ar-SA"/>
      </w:rPr>
    </w:lvl>
    <w:lvl w:ilvl="2" w:tplc="5D366226">
      <w:numFmt w:val="bullet"/>
      <w:lvlText w:val="•"/>
      <w:lvlJc w:val="left"/>
      <w:pPr>
        <w:ind w:left="1886" w:hanging="360"/>
      </w:pPr>
      <w:rPr>
        <w:rFonts w:hint="default"/>
        <w:lang w:val="uk-UA" w:eastAsia="en-US" w:bidi="ar-SA"/>
      </w:rPr>
    </w:lvl>
    <w:lvl w:ilvl="3" w:tplc="CF4AEA66">
      <w:numFmt w:val="bullet"/>
      <w:lvlText w:val="•"/>
      <w:lvlJc w:val="left"/>
      <w:pPr>
        <w:ind w:left="2429" w:hanging="360"/>
      </w:pPr>
      <w:rPr>
        <w:rFonts w:hint="default"/>
        <w:lang w:val="uk-UA" w:eastAsia="en-US" w:bidi="ar-SA"/>
      </w:rPr>
    </w:lvl>
    <w:lvl w:ilvl="4" w:tplc="0FE056DE">
      <w:numFmt w:val="bullet"/>
      <w:lvlText w:val="•"/>
      <w:lvlJc w:val="left"/>
      <w:pPr>
        <w:ind w:left="2972" w:hanging="360"/>
      </w:pPr>
      <w:rPr>
        <w:rFonts w:hint="default"/>
        <w:lang w:val="uk-UA" w:eastAsia="en-US" w:bidi="ar-SA"/>
      </w:rPr>
    </w:lvl>
    <w:lvl w:ilvl="5" w:tplc="FB3CCA7A">
      <w:numFmt w:val="bullet"/>
      <w:lvlText w:val="•"/>
      <w:lvlJc w:val="left"/>
      <w:pPr>
        <w:ind w:left="3515" w:hanging="360"/>
      </w:pPr>
      <w:rPr>
        <w:rFonts w:hint="default"/>
        <w:lang w:val="uk-UA" w:eastAsia="en-US" w:bidi="ar-SA"/>
      </w:rPr>
    </w:lvl>
    <w:lvl w:ilvl="6" w:tplc="3B88320E">
      <w:numFmt w:val="bullet"/>
      <w:lvlText w:val="•"/>
      <w:lvlJc w:val="left"/>
      <w:pPr>
        <w:ind w:left="4058" w:hanging="360"/>
      </w:pPr>
      <w:rPr>
        <w:rFonts w:hint="default"/>
        <w:lang w:val="uk-UA" w:eastAsia="en-US" w:bidi="ar-SA"/>
      </w:rPr>
    </w:lvl>
    <w:lvl w:ilvl="7" w:tplc="B88AFE92">
      <w:numFmt w:val="bullet"/>
      <w:lvlText w:val="•"/>
      <w:lvlJc w:val="left"/>
      <w:pPr>
        <w:ind w:left="4601" w:hanging="360"/>
      </w:pPr>
      <w:rPr>
        <w:rFonts w:hint="default"/>
        <w:lang w:val="uk-UA" w:eastAsia="en-US" w:bidi="ar-SA"/>
      </w:rPr>
    </w:lvl>
    <w:lvl w:ilvl="8" w:tplc="D2164D0A">
      <w:numFmt w:val="bullet"/>
      <w:lvlText w:val="•"/>
      <w:lvlJc w:val="left"/>
      <w:pPr>
        <w:ind w:left="5144" w:hanging="360"/>
      </w:pPr>
      <w:rPr>
        <w:rFonts w:hint="default"/>
        <w:lang w:val="uk-UA" w:eastAsia="en-US" w:bidi="ar-SA"/>
      </w:rPr>
    </w:lvl>
  </w:abstractNum>
  <w:abstractNum w:abstractNumId="24"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5"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6"/>
  </w:num>
  <w:num w:numId="3">
    <w:abstractNumId w:val="22"/>
  </w:num>
  <w:num w:numId="4">
    <w:abstractNumId w:val="20"/>
  </w:num>
  <w:num w:numId="5">
    <w:abstractNumId w:val="12"/>
  </w:num>
  <w:num w:numId="6">
    <w:abstractNumId w:val="6"/>
  </w:num>
  <w:num w:numId="7">
    <w:abstractNumId w:val="14"/>
  </w:num>
  <w:num w:numId="8">
    <w:abstractNumId w:val="13"/>
  </w:num>
  <w:num w:numId="9">
    <w:abstractNumId w:val="18"/>
  </w:num>
  <w:num w:numId="10">
    <w:abstractNumId w:val="8"/>
  </w:num>
  <w:num w:numId="11">
    <w:abstractNumId w:val="19"/>
  </w:num>
  <w:num w:numId="12">
    <w:abstractNumId w:val="24"/>
  </w:num>
  <w:num w:numId="13">
    <w:abstractNumId w:val="15"/>
  </w:num>
  <w:num w:numId="14">
    <w:abstractNumId w:val="9"/>
  </w:num>
  <w:num w:numId="15">
    <w:abstractNumId w:val="10"/>
  </w:num>
  <w:num w:numId="16">
    <w:abstractNumId w:val="25"/>
  </w:num>
  <w:num w:numId="17">
    <w:abstractNumId w:val="26"/>
  </w:num>
  <w:num w:numId="18">
    <w:abstractNumId w:val="17"/>
  </w:num>
  <w:num w:numId="19">
    <w:abstractNumId w:val="1"/>
  </w:num>
  <w:num w:numId="20">
    <w:abstractNumId w:val="11"/>
  </w:num>
  <w:num w:numId="21">
    <w:abstractNumId w:val="2"/>
  </w:num>
  <w:num w:numId="22">
    <w:abstractNumId w:val="21"/>
  </w:num>
  <w:num w:numId="23">
    <w:abstractNumId w:val="3"/>
  </w:num>
  <w:num w:numId="24">
    <w:abstractNumId w:val="23"/>
  </w:num>
  <w:num w:numId="25">
    <w:abstractNumId w:val="7"/>
  </w:num>
  <w:num w:numId="26">
    <w:abstractNumId w:val="5"/>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90D"/>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208"/>
    <w:rsid w:val="00024FC1"/>
    <w:rsid w:val="0002509A"/>
    <w:rsid w:val="0002647D"/>
    <w:rsid w:val="00026909"/>
    <w:rsid w:val="00026CAB"/>
    <w:rsid w:val="00027AAE"/>
    <w:rsid w:val="00027F72"/>
    <w:rsid w:val="000304B8"/>
    <w:rsid w:val="00030B6C"/>
    <w:rsid w:val="000330A0"/>
    <w:rsid w:val="000334DB"/>
    <w:rsid w:val="00033BB1"/>
    <w:rsid w:val="00033CCD"/>
    <w:rsid w:val="00034797"/>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089"/>
    <w:rsid w:val="00054143"/>
    <w:rsid w:val="0005431B"/>
    <w:rsid w:val="000546DD"/>
    <w:rsid w:val="000549A8"/>
    <w:rsid w:val="00054A0C"/>
    <w:rsid w:val="000551FE"/>
    <w:rsid w:val="000557EC"/>
    <w:rsid w:val="000561ED"/>
    <w:rsid w:val="0005764B"/>
    <w:rsid w:val="000600B9"/>
    <w:rsid w:val="00060A0F"/>
    <w:rsid w:val="00061F4F"/>
    <w:rsid w:val="00062180"/>
    <w:rsid w:val="00062223"/>
    <w:rsid w:val="00062B41"/>
    <w:rsid w:val="00062C24"/>
    <w:rsid w:val="00063D28"/>
    <w:rsid w:val="000642EA"/>
    <w:rsid w:val="0006493D"/>
    <w:rsid w:val="00065995"/>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6D6"/>
    <w:rsid w:val="00076A8A"/>
    <w:rsid w:val="0007769E"/>
    <w:rsid w:val="00077AD6"/>
    <w:rsid w:val="000808F2"/>
    <w:rsid w:val="00081FB6"/>
    <w:rsid w:val="00082346"/>
    <w:rsid w:val="000824C0"/>
    <w:rsid w:val="00082D8A"/>
    <w:rsid w:val="00083198"/>
    <w:rsid w:val="00083251"/>
    <w:rsid w:val="000842B7"/>
    <w:rsid w:val="000843BA"/>
    <w:rsid w:val="0008619B"/>
    <w:rsid w:val="00086A3A"/>
    <w:rsid w:val="00086D04"/>
    <w:rsid w:val="0008743B"/>
    <w:rsid w:val="000908FF"/>
    <w:rsid w:val="00090979"/>
    <w:rsid w:val="00090EDF"/>
    <w:rsid w:val="00091A61"/>
    <w:rsid w:val="000920B3"/>
    <w:rsid w:val="000922D5"/>
    <w:rsid w:val="0009297E"/>
    <w:rsid w:val="00093181"/>
    <w:rsid w:val="000940D2"/>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65F6"/>
    <w:rsid w:val="000A7BD9"/>
    <w:rsid w:val="000B0015"/>
    <w:rsid w:val="000B042D"/>
    <w:rsid w:val="000B063F"/>
    <w:rsid w:val="000B2FB4"/>
    <w:rsid w:val="000B31CF"/>
    <w:rsid w:val="000B3A25"/>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2DD6"/>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752"/>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3BA"/>
    <w:rsid w:val="001047FC"/>
    <w:rsid w:val="0010557B"/>
    <w:rsid w:val="00105A68"/>
    <w:rsid w:val="00106416"/>
    <w:rsid w:val="001066BA"/>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6CF8"/>
    <w:rsid w:val="00116F6F"/>
    <w:rsid w:val="00117706"/>
    <w:rsid w:val="0011770F"/>
    <w:rsid w:val="00120649"/>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5A75"/>
    <w:rsid w:val="0012623B"/>
    <w:rsid w:val="00126760"/>
    <w:rsid w:val="001268D2"/>
    <w:rsid w:val="00126E0A"/>
    <w:rsid w:val="001270D1"/>
    <w:rsid w:val="001277C9"/>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2EE4"/>
    <w:rsid w:val="00143C2C"/>
    <w:rsid w:val="0014450F"/>
    <w:rsid w:val="001446D7"/>
    <w:rsid w:val="00147986"/>
    <w:rsid w:val="00150116"/>
    <w:rsid w:val="0015052E"/>
    <w:rsid w:val="00151031"/>
    <w:rsid w:val="001524DD"/>
    <w:rsid w:val="00153577"/>
    <w:rsid w:val="00154C21"/>
    <w:rsid w:val="00155706"/>
    <w:rsid w:val="00155B54"/>
    <w:rsid w:val="00156490"/>
    <w:rsid w:val="001572EC"/>
    <w:rsid w:val="00157373"/>
    <w:rsid w:val="001579B0"/>
    <w:rsid w:val="0016067B"/>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013"/>
    <w:rsid w:val="001712BB"/>
    <w:rsid w:val="00172720"/>
    <w:rsid w:val="00172CA3"/>
    <w:rsid w:val="001732A0"/>
    <w:rsid w:val="00174254"/>
    <w:rsid w:val="00174715"/>
    <w:rsid w:val="001748F5"/>
    <w:rsid w:val="001751F0"/>
    <w:rsid w:val="0017570C"/>
    <w:rsid w:val="0017576C"/>
    <w:rsid w:val="00176ABF"/>
    <w:rsid w:val="00176B98"/>
    <w:rsid w:val="00177063"/>
    <w:rsid w:val="00180E0A"/>
    <w:rsid w:val="0018161D"/>
    <w:rsid w:val="001831A3"/>
    <w:rsid w:val="00183DD3"/>
    <w:rsid w:val="00184507"/>
    <w:rsid w:val="0018455A"/>
    <w:rsid w:val="00184728"/>
    <w:rsid w:val="00185EE5"/>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055"/>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205"/>
    <w:rsid w:val="001C1976"/>
    <w:rsid w:val="001C1ABD"/>
    <w:rsid w:val="001C1D18"/>
    <w:rsid w:val="001C1ED9"/>
    <w:rsid w:val="001C2F09"/>
    <w:rsid w:val="001C3E61"/>
    <w:rsid w:val="001C3ED9"/>
    <w:rsid w:val="001C4A44"/>
    <w:rsid w:val="001C4AE4"/>
    <w:rsid w:val="001C5176"/>
    <w:rsid w:val="001C6707"/>
    <w:rsid w:val="001C7DBB"/>
    <w:rsid w:val="001D02C9"/>
    <w:rsid w:val="001D1104"/>
    <w:rsid w:val="001D16F8"/>
    <w:rsid w:val="001D1912"/>
    <w:rsid w:val="001D19AA"/>
    <w:rsid w:val="001D1D54"/>
    <w:rsid w:val="001D1F4B"/>
    <w:rsid w:val="001D30D4"/>
    <w:rsid w:val="001D4D2D"/>
    <w:rsid w:val="001D5469"/>
    <w:rsid w:val="001D5920"/>
    <w:rsid w:val="001D5925"/>
    <w:rsid w:val="001D5CCF"/>
    <w:rsid w:val="001D5CDE"/>
    <w:rsid w:val="001D65B3"/>
    <w:rsid w:val="001D68F0"/>
    <w:rsid w:val="001D6CFE"/>
    <w:rsid w:val="001D738A"/>
    <w:rsid w:val="001D7489"/>
    <w:rsid w:val="001D7656"/>
    <w:rsid w:val="001D7D43"/>
    <w:rsid w:val="001E027E"/>
    <w:rsid w:val="001E0B3B"/>
    <w:rsid w:val="001E119B"/>
    <w:rsid w:val="001E11FF"/>
    <w:rsid w:val="001E1A78"/>
    <w:rsid w:val="001E1E75"/>
    <w:rsid w:val="001E2137"/>
    <w:rsid w:val="001E3311"/>
    <w:rsid w:val="001E42A2"/>
    <w:rsid w:val="001E474F"/>
    <w:rsid w:val="001E4AAF"/>
    <w:rsid w:val="001E4CE4"/>
    <w:rsid w:val="001E572F"/>
    <w:rsid w:val="001E57F4"/>
    <w:rsid w:val="001E5C7D"/>
    <w:rsid w:val="001E634F"/>
    <w:rsid w:val="001E7EF6"/>
    <w:rsid w:val="001F068D"/>
    <w:rsid w:val="001F085F"/>
    <w:rsid w:val="001F1608"/>
    <w:rsid w:val="001F16FD"/>
    <w:rsid w:val="001F27DF"/>
    <w:rsid w:val="001F2B24"/>
    <w:rsid w:val="001F2BFB"/>
    <w:rsid w:val="001F455C"/>
    <w:rsid w:val="001F4D55"/>
    <w:rsid w:val="001F5436"/>
    <w:rsid w:val="001F624D"/>
    <w:rsid w:val="001F7D20"/>
    <w:rsid w:val="0020079F"/>
    <w:rsid w:val="00200830"/>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42A"/>
    <w:rsid w:val="0022064B"/>
    <w:rsid w:val="002206D0"/>
    <w:rsid w:val="00221B33"/>
    <w:rsid w:val="00221BC7"/>
    <w:rsid w:val="00221E44"/>
    <w:rsid w:val="002220E0"/>
    <w:rsid w:val="0022266B"/>
    <w:rsid w:val="002226F0"/>
    <w:rsid w:val="002228DC"/>
    <w:rsid w:val="00222BC6"/>
    <w:rsid w:val="00222D14"/>
    <w:rsid w:val="00223393"/>
    <w:rsid w:val="00223CBF"/>
    <w:rsid w:val="00224027"/>
    <w:rsid w:val="00224386"/>
    <w:rsid w:val="00224519"/>
    <w:rsid w:val="0022468F"/>
    <w:rsid w:val="00225C0C"/>
    <w:rsid w:val="0022642F"/>
    <w:rsid w:val="00227C25"/>
    <w:rsid w:val="00231061"/>
    <w:rsid w:val="00232A87"/>
    <w:rsid w:val="00233078"/>
    <w:rsid w:val="002332D3"/>
    <w:rsid w:val="00233BED"/>
    <w:rsid w:val="002351A1"/>
    <w:rsid w:val="00237DD6"/>
    <w:rsid w:val="002404EC"/>
    <w:rsid w:val="0024132B"/>
    <w:rsid w:val="00241C28"/>
    <w:rsid w:val="00242C79"/>
    <w:rsid w:val="00243543"/>
    <w:rsid w:val="00244CAC"/>
    <w:rsid w:val="00245163"/>
    <w:rsid w:val="002454DB"/>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57DFF"/>
    <w:rsid w:val="00260ED1"/>
    <w:rsid w:val="002619CF"/>
    <w:rsid w:val="00261E23"/>
    <w:rsid w:val="00261F83"/>
    <w:rsid w:val="00262798"/>
    <w:rsid w:val="00262C3E"/>
    <w:rsid w:val="00262EDB"/>
    <w:rsid w:val="00263140"/>
    <w:rsid w:val="00263BF3"/>
    <w:rsid w:val="00264759"/>
    <w:rsid w:val="00264C33"/>
    <w:rsid w:val="00265690"/>
    <w:rsid w:val="00265818"/>
    <w:rsid w:val="0026586C"/>
    <w:rsid w:val="00266285"/>
    <w:rsid w:val="00267636"/>
    <w:rsid w:val="00267FD0"/>
    <w:rsid w:val="0027022F"/>
    <w:rsid w:val="002708B7"/>
    <w:rsid w:val="00271BB3"/>
    <w:rsid w:val="00273A93"/>
    <w:rsid w:val="00274353"/>
    <w:rsid w:val="00274B31"/>
    <w:rsid w:val="00274DB1"/>
    <w:rsid w:val="002753FD"/>
    <w:rsid w:val="00275B3F"/>
    <w:rsid w:val="00275BA0"/>
    <w:rsid w:val="002763E2"/>
    <w:rsid w:val="0027664E"/>
    <w:rsid w:val="00276771"/>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5829"/>
    <w:rsid w:val="002A5999"/>
    <w:rsid w:val="002A5B8F"/>
    <w:rsid w:val="002A5CE7"/>
    <w:rsid w:val="002A61C9"/>
    <w:rsid w:val="002A6765"/>
    <w:rsid w:val="002A6A48"/>
    <w:rsid w:val="002A6D41"/>
    <w:rsid w:val="002A6E1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631B"/>
    <w:rsid w:val="002B7175"/>
    <w:rsid w:val="002B7307"/>
    <w:rsid w:val="002B7B8F"/>
    <w:rsid w:val="002C05B2"/>
    <w:rsid w:val="002C09B1"/>
    <w:rsid w:val="002C0C25"/>
    <w:rsid w:val="002C1ACD"/>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DD1"/>
    <w:rsid w:val="002C6EBB"/>
    <w:rsid w:val="002D0C81"/>
    <w:rsid w:val="002D1061"/>
    <w:rsid w:val="002D233C"/>
    <w:rsid w:val="002D2A75"/>
    <w:rsid w:val="002D2AB8"/>
    <w:rsid w:val="002D37B2"/>
    <w:rsid w:val="002D3E8C"/>
    <w:rsid w:val="002D4131"/>
    <w:rsid w:val="002D41D7"/>
    <w:rsid w:val="002D47FC"/>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07B"/>
    <w:rsid w:val="0030248D"/>
    <w:rsid w:val="00302B42"/>
    <w:rsid w:val="00302DF6"/>
    <w:rsid w:val="003036DF"/>
    <w:rsid w:val="00304810"/>
    <w:rsid w:val="003048D7"/>
    <w:rsid w:val="003053C9"/>
    <w:rsid w:val="00305794"/>
    <w:rsid w:val="00306340"/>
    <w:rsid w:val="00306E62"/>
    <w:rsid w:val="00310009"/>
    <w:rsid w:val="00312A5B"/>
    <w:rsid w:val="00313C9F"/>
    <w:rsid w:val="00313FDD"/>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5B5A"/>
    <w:rsid w:val="0032649E"/>
    <w:rsid w:val="003264D3"/>
    <w:rsid w:val="0032684E"/>
    <w:rsid w:val="00326A14"/>
    <w:rsid w:val="00327072"/>
    <w:rsid w:val="00327483"/>
    <w:rsid w:val="00327B0A"/>
    <w:rsid w:val="00327E42"/>
    <w:rsid w:val="00330DB9"/>
    <w:rsid w:val="00330FF2"/>
    <w:rsid w:val="00331C45"/>
    <w:rsid w:val="003320CF"/>
    <w:rsid w:val="00332CC3"/>
    <w:rsid w:val="003332AE"/>
    <w:rsid w:val="00333359"/>
    <w:rsid w:val="003334F6"/>
    <w:rsid w:val="00333BA1"/>
    <w:rsid w:val="00333C1A"/>
    <w:rsid w:val="00334CB9"/>
    <w:rsid w:val="00334E41"/>
    <w:rsid w:val="00335AF6"/>
    <w:rsid w:val="00335EFC"/>
    <w:rsid w:val="00336851"/>
    <w:rsid w:val="00336C5F"/>
    <w:rsid w:val="00337A0B"/>
    <w:rsid w:val="003401E1"/>
    <w:rsid w:val="003412FF"/>
    <w:rsid w:val="00341512"/>
    <w:rsid w:val="0034192F"/>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8AC"/>
    <w:rsid w:val="00350A4F"/>
    <w:rsid w:val="00353A4E"/>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5891"/>
    <w:rsid w:val="003860B2"/>
    <w:rsid w:val="00386D60"/>
    <w:rsid w:val="00386FC7"/>
    <w:rsid w:val="00387426"/>
    <w:rsid w:val="003877BE"/>
    <w:rsid w:val="00387ABE"/>
    <w:rsid w:val="00387AD6"/>
    <w:rsid w:val="00387F88"/>
    <w:rsid w:val="003903B7"/>
    <w:rsid w:val="0039066B"/>
    <w:rsid w:val="0039116A"/>
    <w:rsid w:val="0039140A"/>
    <w:rsid w:val="003915BF"/>
    <w:rsid w:val="00391E37"/>
    <w:rsid w:val="00391E3E"/>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22D"/>
    <w:rsid w:val="003A3C16"/>
    <w:rsid w:val="003A4360"/>
    <w:rsid w:val="003A4A24"/>
    <w:rsid w:val="003A4C0F"/>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6DF0"/>
    <w:rsid w:val="003B710D"/>
    <w:rsid w:val="003C063B"/>
    <w:rsid w:val="003C0D06"/>
    <w:rsid w:val="003C2163"/>
    <w:rsid w:val="003C269A"/>
    <w:rsid w:val="003C5798"/>
    <w:rsid w:val="003C644F"/>
    <w:rsid w:val="003C6639"/>
    <w:rsid w:val="003C66FB"/>
    <w:rsid w:val="003C78D3"/>
    <w:rsid w:val="003D166B"/>
    <w:rsid w:val="003D2089"/>
    <w:rsid w:val="003D252C"/>
    <w:rsid w:val="003D2950"/>
    <w:rsid w:val="003D37F3"/>
    <w:rsid w:val="003D3B98"/>
    <w:rsid w:val="003D4887"/>
    <w:rsid w:val="003D49C8"/>
    <w:rsid w:val="003D5195"/>
    <w:rsid w:val="003D52F8"/>
    <w:rsid w:val="003D532B"/>
    <w:rsid w:val="003D5C84"/>
    <w:rsid w:val="003D73F6"/>
    <w:rsid w:val="003D79A5"/>
    <w:rsid w:val="003E00B6"/>
    <w:rsid w:val="003E0158"/>
    <w:rsid w:val="003E0173"/>
    <w:rsid w:val="003E099C"/>
    <w:rsid w:val="003E10C9"/>
    <w:rsid w:val="003E1B40"/>
    <w:rsid w:val="003E1E4D"/>
    <w:rsid w:val="003E1F79"/>
    <w:rsid w:val="003E2792"/>
    <w:rsid w:val="003E391A"/>
    <w:rsid w:val="003E4A64"/>
    <w:rsid w:val="003E500C"/>
    <w:rsid w:val="003E55C2"/>
    <w:rsid w:val="003E59FA"/>
    <w:rsid w:val="003E5D3A"/>
    <w:rsid w:val="003F0C5E"/>
    <w:rsid w:val="003F1125"/>
    <w:rsid w:val="003F13C6"/>
    <w:rsid w:val="003F1B21"/>
    <w:rsid w:val="003F2261"/>
    <w:rsid w:val="003F2E3D"/>
    <w:rsid w:val="003F350D"/>
    <w:rsid w:val="003F36A6"/>
    <w:rsid w:val="003F3D2E"/>
    <w:rsid w:val="003F4177"/>
    <w:rsid w:val="003F4585"/>
    <w:rsid w:val="003F5B90"/>
    <w:rsid w:val="003F6784"/>
    <w:rsid w:val="003F7843"/>
    <w:rsid w:val="00403DB8"/>
    <w:rsid w:val="00404084"/>
    <w:rsid w:val="0040513C"/>
    <w:rsid w:val="004061E1"/>
    <w:rsid w:val="00406840"/>
    <w:rsid w:val="0040699F"/>
    <w:rsid w:val="0040747A"/>
    <w:rsid w:val="00410633"/>
    <w:rsid w:val="00410769"/>
    <w:rsid w:val="00411FA0"/>
    <w:rsid w:val="0041422E"/>
    <w:rsid w:val="004142CA"/>
    <w:rsid w:val="00414593"/>
    <w:rsid w:val="004149B4"/>
    <w:rsid w:val="00415406"/>
    <w:rsid w:val="0041573F"/>
    <w:rsid w:val="00415859"/>
    <w:rsid w:val="00416584"/>
    <w:rsid w:val="0041779B"/>
    <w:rsid w:val="00417C3C"/>
    <w:rsid w:val="00420654"/>
    <w:rsid w:val="004216DD"/>
    <w:rsid w:val="00421BFB"/>
    <w:rsid w:val="00423BD1"/>
    <w:rsid w:val="004242AF"/>
    <w:rsid w:val="00424397"/>
    <w:rsid w:val="0042476C"/>
    <w:rsid w:val="004247DF"/>
    <w:rsid w:val="00425F40"/>
    <w:rsid w:val="004264C1"/>
    <w:rsid w:val="00426F5C"/>
    <w:rsid w:val="0042735C"/>
    <w:rsid w:val="0042767D"/>
    <w:rsid w:val="00430708"/>
    <w:rsid w:val="0043082C"/>
    <w:rsid w:val="0043114A"/>
    <w:rsid w:val="00431522"/>
    <w:rsid w:val="004316D4"/>
    <w:rsid w:val="0043272A"/>
    <w:rsid w:val="00433444"/>
    <w:rsid w:val="00433B76"/>
    <w:rsid w:val="004354C6"/>
    <w:rsid w:val="004357BC"/>
    <w:rsid w:val="00436F83"/>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253"/>
    <w:rsid w:val="004565A9"/>
    <w:rsid w:val="0045666C"/>
    <w:rsid w:val="00456861"/>
    <w:rsid w:val="00456C65"/>
    <w:rsid w:val="00456E15"/>
    <w:rsid w:val="00457C83"/>
    <w:rsid w:val="00460143"/>
    <w:rsid w:val="004606B0"/>
    <w:rsid w:val="004607F3"/>
    <w:rsid w:val="00460811"/>
    <w:rsid w:val="00460BDA"/>
    <w:rsid w:val="00460E4B"/>
    <w:rsid w:val="00461C8E"/>
    <w:rsid w:val="00461E4D"/>
    <w:rsid w:val="004638C2"/>
    <w:rsid w:val="00463A48"/>
    <w:rsid w:val="00463C4F"/>
    <w:rsid w:val="00464C35"/>
    <w:rsid w:val="00464C92"/>
    <w:rsid w:val="00464EFB"/>
    <w:rsid w:val="00465688"/>
    <w:rsid w:val="004657E4"/>
    <w:rsid w:val="00465D88"/>
    <w:rsid w:val="00466436"/>
    <w:rsid w:val="00467CA1"/>
    <w:rsid w:val="004707D6"/>
    <w:rsid w:val="004710F7"/>
    <w:rsid w:val="00471A05"/>
    <w:rsid w:val="00471DD4"/>
    <w:rsid w:val="00471F45"/>
    <w:rsid w:val="004727C1"/>
    <w:rsid w:val="00474D23"/>
    <w:rsid w:val="00474D29"/>
    <w:rsid w:val="00475242"/>
    <w:rsid w:val="00475A38"/>
    <w:rsid w:val="00475D24"/>
    <w:rsid w:val="0047618B"/>
    <w:rsid w:val="00476D34"/>
    <w:rsid w:val="004770A0"/>
    <w:rsid w:val="0048048D"/>
    <w:rsid w:val="00480FDE"/>
    <w:rsid w:val="00481ABC"/>
    <w:rsid w:val="00481C46"/>
    <w:rsid w:val="004824A9"/>
    <w:rsid w:val="004825B7"/>
    <w:rsid w:val="00482D1D"/>
    <w:rsid w:val="004835D9"/>
    <w:rsid w:val="00484152"/>
    <w:rsid w:val="00484746"/>
    <w:rsid w:val="00484813"/>
    <w:rsid w:val="00484E59"/>
    <w:rsid w:val="00486174"/>
    <w:rsid w:val="00486A61"/>
    <w:rsid w:val="00486FD0"/>
    <w:rsid w:val="00490420"/>
    <w:rsid w:val="00490754"/>
    <w:rsid w:val="0049097F"/>
    <w:rsid w:val="00490BC6"/>
    <w:rsid w:val="0049108A"/>
    <w:rsid w:val="004917BA"/>
    <w:rsid w:val="004924B2"/>
    <w:rsid w:val="00492D49"/>
    <w:rsid w:val="00493735"/>
    <w:rsid w:val="00493C31"/>
    <w:rsid w:val="004946EA"/>
    <w:rsid w:val="004948C8"/>
    <w:rsid w:val="00494EC9"/>
    <w:rsid w:val="00495447"/>
    <w:rsid w:val="0049570D"/>
    <w:rsid w:val="00495B7A"/>
    <w:rsid w:val="0049629D"/>
    <w:rsid w:val="00496A34"/>
    <w:rsid w:val="00496E4D"/>
    <w:rsid w:val="004975CA"/>
    <w:rsid w:val="004A0738"/>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B"/>
    <w:rsid w:val="004B073E"/>
    <w:rsid w:val="004B0901"/>
    <w:rsid w:val="004B14E1"/>
    <w:rsid w:val="004B1E64"/>
    <w:rsid w:val="004B33E0"/>
    <w:rsid w:val="004B374D"/>
    <w:rsid w:val="004B3772"/>
    <w:rsid w:val="004B3825"/>
    <w:rsid w:val="004B3F21"/>
    <w:rsid w:val="004B53C5"/>
    <w:rsid w:val="004B5D74"/>
    <w:rsid w:val="004B607E"/>
    <w:rsid w:val="004B6255"/>
    <w:rsid w:val="004B63F2"/>
    <w:rsid w:val="004B64F5"/>
    <w:rsid w:val="004B6C49"/>
    <w:rsid w:val="004B7036"/>
    <w:rsid w:val="004C007A"/>
    <w:rsid w:val="004C035F"/>
    <w:rsid w:val="004C15CE"/>
    <w:rsid w:val="004C1F16"/>
    <w:rsid w:val="004C252C"/>
    <w:rsid w:val="004C318F"/>
    <w:rsid w:val="004C325C"/>
    <w:rsid w:val="004C34CB"/>
    <w:rsid w:val="004C35E5"/>
    <w:rsid w:val="004C3B65"/>
    <w:rsid w:val="004C472E"/>
    <w:rsid w:val="004C4B78"/>
    <w:rsid w:val="004C579B"/>
    <w:rsid w:val="004C5AB1"/>
    <w:rsid w:val="004C6250"/>
    <w:rsid w:val="004C7183"/>
    <w:rsid w:val="004C7E7A"/>
    <w:rsid w:val="004D002C"/>
    <w:rsid w:val="004D0E4A"/>
    <w:rsid w:val="004D2392"/>
    <w:rsid w:val="004D2A7D"/>
    <w:rsid w:val="004D309F"/>
    <w:rsid w:val="004D3DD0"/>
    <w:rsid w:val="004D53A0"/>
    <w:rsid w:val="004D5708"/>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4D4"/>
    <w:rsid w:val="004F277F"/>
    <w:rsid w:val="004F3CD0"/>
    <w:rsid w:val="004F3D4F"/>
    <w:rsid w:val="004F412A"/>
    <w:rsid w:val="004F4468"/>
    <w:rsid w:val="004F6966"/>
    <w:rsid w:val="004F6E4A"/>
    <w:rsid w:val="004F7DFC"/>
    <w:rsid w:val="004F7EF9"/>
    <w:rsid w:val="00500002"/>
    <w:rsid w:val="005001D7"/>
    <w:rsid w:val="0050122A"/>
    <w:rsid w:val="00501883"/>
    <w:rsid w:val="005018D7"/>
    <w:rsid w:val="00501D8F"/>
    <w:rsid w:val="00502274"/>
    <w:rsid w:val="0050307E"/>
    <w:rsid w:val="00503721"/>
    <w:rsid w:val="00503DDC"/>
    <w:rsid w:val="00504547"/>
    <w:rsid w:val="0050473D"/>
    <w:rsid w:val="00504910"/>
    <w:rsid w:val="00506996"/>
    <w:rsid w:val="0050703A"/>
    <w:rsid w:val="00507A16"/>
    <w:rsid w:val="00507C1D"/>
    <w:rsid w:val="00507DD6"/>
    <w:rsid w:val="005101F2"/>
    <w:rsid w:val="005109B6"/>
    <w:rsid w:val="00511A28"/>
    <w:rsid w:val="00511FA7"/>
    <w:rsid w:val="005123FD"/>
    <w:rsid w:val="0051268C"/>
    <w:rsid w:val="0051303F"/>
    <w:rsid w:val="00513CAE"/>
    <w:rsid w:val="00513E66"/>
    <w:rsid w:val="00514C1B"/>
    <w:rsid w:val="00516968"/>
    <w:rsid w:val="005172C4"/>
    <w:rsid w:val="00517941"/>
    <w:rsid w:val="00517DB3"/>
    <w:rsid w:val="00517F69"/>
    <w:rsid w:val="005210A3"/>
    <w:rsid w:val="0052157D"/>
    <w:rsid w:val="0052467F"/>
    <w:rsid w:val="00524F31"/>
    <w:rsid w:val="0052593D"/>
    <w:rsid w:val="00527C2A"/>
    <w:rsid w:val="00527D0A"/>
    <w:rsid w:val="005311CD"/>
    <w:rsid w:val="0053120B"/>
    <w:rsid w:val="005323CE"/>
    <w:rsid w:val="005336A7"/>
    <w:rsid w:val="00533971"/>
    <w:rsid w:val="00533C9B"/>
    <w:rsid w:val="005345CF"/>
    <w:rsid w:val="00535B23"/>
    <w:rsid w:val="00536955"/>
    <w:rsid w:val="005372F5"/>
    <w:rsid w:val="005402ED"/>
    <w:rsid w:val="00540875"/>
    <w:rsid w:val="0054142E"/>
    <w:rsid w:val="00541B40"/>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432"/>
    <w:rsid w:val="00560A53"/>
    <w:rsid w:val="00561441"/>
    <w:rsid w:val="005614FD"/>
    <w:rsid w:val="00561B43"/>
    <w:rsid w:val="0056214F"/>
    <w:rsid w:val="005622A9"/>
    <w:rsid w:val="0056302F"/>
    <w:rsid w:val="0056303B"/>
    <w:rsid w:val="0056322A"/>
    <w:rsid w:val="005641B0"/>
    <w:rsid w:val="00564429"/>
    <w:rsid w:val="00564881"/>
    <w:rsid w:val="00564E2B"/>
    <w:rsid w:val="00566398"/>
    <w:rsid w:val="005668E8"/>
    <w:rsid w:val="00567B19"/>
    <w:rsid w:val="00570D11"/>
    <w:rsid w:val="00571C3F"/>
    <w:rsid w:val="005734B0"/>
    <w:rsid w:val="00574835"/>
    <w:rsid w:val="00574D13"/>
    <w:rsid w:val="0057534C"/>
    <w:rsid w:val="00576000"/>
    <w:rsid w:val="00576B44"/>
    <w:rsid w:val="005805C5"/>
    <w:rsid w:val="00580F3E"/>
    <w:rsid w:val="00582187"/>
    <w:rsid w:val="00582212"/>
    <w:rsid w:val="00583629"/>
    <w:rsid w:val="00583957"/>
    <w:rsid w:val="00584B5D"/>
    <w:rsid w:val="00584F92"/>
    <w:rsid w:val="005869CB"/>
    <w:rsid w:val="00586E11"/>
    <w:rsid w:val="00587DB3"/>
    <w:rsid w:val="00590073"/>
    <w:rsid w:val="0059067C"/>
    <w:rsid w:val="005906A7"/>
    <w:rsid w:val="00591033"/>
    <w:rsid w:val="00591845"/>
    <w:rsid w:val="0059228B"/>
    <w:rsid w:val="00592CEB"/>
    <w:rsid w:val="00593E32"/>
    <w:rsid w:val="00594220"/>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5E1D"/>
    <w:rsid w:val="005B6BBD"/>
    <w:rsid w:val="005B6F4F"/>
    <w:rsid w:val="005B746A"/>
    <w:rsid w:val="005C0001"/>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D7AC3"/>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1D2B"/>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39B"/>
    <w:rsid w:val="00610C19"/>
    <w:rsid w:val="00610D2C"/>
    <w:rsid w:val="006120B9"/>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530C"/>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0E6F"/>
    <w:rsid w:val="00652B73"/>
    <w:rsid w:val="00652D1F"/>
    <w:rsid w:val="006530C2"/>
    <w:rsid w:val="00653681"/>
    <w:rsid w:val="00653E27"/>
    <w:rsid w:val="00653FB3"/>
    <w:rsid w:val="006551CF"/>
    <w:rsid w:val="0065549E"/>
    <w:rsid w:val="006564B5"/>
    <w:rsid w:val="00656892"/>
    <w:rsid w:val="00656FC2"/>
    <w:rsid w:val="0065706E"/>
    <w:rsid w:val="006578C2"/>
    <w:rsid w:val="006600D0"/>
    <w:rsid w:val="00660B1B"/>
    <w:rsid w:val="006612CF"/>
    <w:rsid w:val="006618B5"/>
    <w:rsid w:val="00661983"/>
    <w:rsid w:val="00661CEC"/>
    <w:rsid w:val="006622BD"/>
    <w:rsid w:val="00662A96"/>
    <w:rsid w:val="006630FD"/>
    <w:rsid w:val="00663609"/>
    <w:rsid w:val="0066368D"/>
    <w:rsid w:val="00664110"/>
    <w:rsid w:val="0066533F"/>
    <w:rsid w:val="006658CA"/>
    <w:rsid w:val="00665FEE"/>
    <w:rsid w:val="00666358"/>
    <w:rsid w:val="00666B84"/>
    <w:rsid w:val="00667604"/>
    <w:rsid w:val="00667EE6"/>
    <w:rsid w:val="006706A8"/>
    <w:rsid w:val="00670F10"/>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A00F1"/>
    <w:rsid w:val="006A0478"/>
    <w:rsid w:val="006A06A8"/>
    <w:rsid w:val="006A0D7A"/>
    <w:rsid w:val="006A21A7"/>
    <w:rsid w:val="006A23B5"/>
    <w:rsid w:val="006A2493"/>
    <w:rsid w:val="006A395B"/>
    <w:rsid w:val="006A42E0"/>
    <w:rsid w:val="006A47E2"/>
    <w:rsid w:val="006A4B88"/>
    <w:rsid w:val="006A54E9"/>
    <w:rsid w:val="006A675F"/>
    <w:rsid w:val="006A6BA5"/>
    <w:rsid w:val="006A7738"/>
    <w:rsid w:val="006A78C7"/>
    <w:rsid w:val="006B0400"/>
    <w:rsid w:val="006B0878"/>
    <w:rsid w:val="006B213F"/>
    <w:rsid w:val="006B2CF8"/>
    <w:rsid w:val="006B2F7D"/>
    <w:rsid w:val="006B369A"/>
    <w:rsid w:val="006B3BFF"/>
    <w:rsid w:val="006B4E35"/>
    <w:rsid w:val="006B4ED1"/>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4D6"/>
    <w:rsid w:val="006D4FD5"/>
    <w:rsid w:val="006D570C"/>
    <w:rsid w:val="006D73C3"/>
    <w:rsid w:val="006E2ED0"/>
    <w:rsid w:val="006E3310"/>
    <w:rsid w:val="006E3A00"/>
    <w:rsid w:val="006E3C19"/>
    <w:rsid w:val="006E46F9"/>
    <w:rsid w:val="006E4C57"/>
    <w:rsid w:val="006E4E85"/>
    <w:rsid w:val="006E50F7"/>
    <w:rsid w:val="006E545A"/>
    <w:rsid w:val="006E62D2"/>
    <w:rsid w:val="006E67A2"/>
    <w:rsid w:val="006E72D1"/>
    <w:rsid w:val="006E7361"/>
    <w:rsid w:val="006F01E4"/>
    <w:rsid w:val="006F06CC"/>
    <w:rsid w:val="006F0F66"/>
    <w:rsid w:val="006F1E9D"/>
    <w:rsid w:val="006F1FE0"/>
    <w:rsid w:val="006F2C1B"/>
    <w:rsid w:val="006F37CB"/>
    <w:rsid w:val="006F3D26"/>
    <w:rsid w:val="006F3E07"/>
    <w:rsid w:val="006F3FC0"/>
    <w:rsid w:val="006F42C8"/>
    <w:rsid w:val="006F4698"/>
    <w:rsid w:val="006F525B"/>
    <w:rsid w:val="006F5FE2"/>
    <w:rsid w:val="006F688B"/>
    <w:rsid w:val="007003ED"/>
    <w:rsid w:val="007012AB"/>
    <w:rsid w:val="00701B80"/>
    <w:rsid w:val="00702B44"/>
    <w:rsid w:val="0070335C"/>
    <w:rsid w:val="0070338E"/>
    <w:rsid w:val="0070410E"/>
    <w:rsid w:val="00704342"/>
    <w:rsid w:val="007048D0"/>
    <w:rsid w:val="00705615"/>
    <w:rsid w:val="00705A59"/>
    <w:rsid w:val="00705CCA"/>
    <w:rsid w:val="00706AA9"/>
    <w:rsid w:val="00706CEC"/>
    <w:rsid w:val="00707067"/>
    <w:rsid w:val="00707146"/>
    <w:rsid w:val="00707871"/>
    <w:rsid w:val="00710187"/>
    <w:rsid w:val="00710BB3"/>
    <w:rsid w:val="00710C80"/>
    <w:rsid w:val="00713F9D"/>
    <w:rsid w:val="0071415E"/>
    <w:rsid w:val="007154CE"/>
    <w:rsid w:val="00716CB8"/>
    <w:rsid w:val="00717A49"/>
    <w:rsid w:val="0072220D"/>
    <w:rsid w:val="00722428"/>
    <w:rsid w:val="00722575"/>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E0A"/>
    <w:rsid w:val="00730438"/>
    <w:rsid w:val="0073063F"/>
    <w:rsid w:val="00730861"/>
    <w:rsid w:val="00730F66"/>
    <w:rsid w:val="00731233"/>
    <w:rsid w:val="0073176E"/>
    <w:rsid w:val="00731C34"/>
    <w:rsid w:val="0073228D"/>
    <w:rsid w:val="00732861"/>
    <w:rsid w:val="007328BF"/>
    <w:rsid w:val="00732D5B"/>
    <w:rsid w:val="0073326F"/>
    <w:rsid w:val="00733328"/>
    <w:rsid w:val="007335C1"/>
    <w:rsid w:val="00733610"/>
    <w:rsid w:val="00733E52"/>
    <w:rsid w:val="00734209"/>
    <w:rsid w:val="0073434D"/>
    <w:rsid w:val="00734F19"/>
    <w:rsid w:val="007356ED"/>
    <w:rsid w:val="00735CA5"/>
    <w:rsid w:val="00735DCE"/>
    <w:rsid w:val="00735F6D"/>
    <w:rsid w:val="007363E1"/>
    <w:rsid w:val="007364AF"/>
    <w:rsid w:val="007366B9"/>
    <w:rsid w:val="00736763"/>
    <w:rsid w:val="00736D94"/>
    <w:rsid w:val="00740697"/>
    <w:rsid w:val="00741686"/>
    <w:rsid w:val="00741A1C"/>
    <w:rsid w:val="00742EBF"/>
    <w:rsid w:val="00744629"/>
    <w:rsid w:val="00744AAE"/>
    <w:rsid w:val="00744AF1"/>
    <w:rsid w:val="007452FF"/>
    <w:rsid w:val="00745307"/>
    <w:rsid w:val="0074622D"/>
    <w:rsid w:val="0074699B"/>
    <w:rsid w:val="00746D9E"/>
    <w:rsid w:val="00747B14"/>
    <w:rsid w:val="00747FA5"/>
    <w:rsid w:val="00751C68"/>
    <w:rsid w:val="007520AD"/>
    <w:rsid w:val="00752266"/>
    <w:rsid w:val="0075293E"/>
    <w:rsid w:val="0075348E"/>
    <w:rsid w:val="0075375B"/>
    <w:rsid w:val="007539A8"/>
    <w:rsid w:val="00753F29"/>
    <w:rsid w:val="0075496E"/>
    <w:rsid w:val="00755A2F"/>
    <w:rsid w:val="00756320"/>
    <w:rsid w:val="007570E7"/>
    <w:rsid w:val="00757724"/>
    <w:rsid w:val="007579B6"/>
    <w:rsid w:val="00757B8B"/>
    <w:rsid w:val="00761175"/>
    <w:rsid w:val="00761302"/>
    <w:rsid w:val="00761734"/>
    <w:rsid w:val="00762E4D"/>
    <w:rsid w:val="00763C45"/>
    <w:rsid w:val="00764740"/>
    <w:rsid w:val="007647C1"/>
    <w:rsid w:val="0076480F"/>
    <w:rsid w:val="0076507D"/>
    <w:rsid w:val="007652E2"/>
    <w:rsid w:val="007668E4"/>
    <w:rsid w:val="00766AE7"/>
    <w:rsid w:val="00770065"/>
    <w:rsid w:val="00770626"/>
    <w:rsid w:val="00771182"/>
    <w:rsid w:val="00772097"/>
    <w:rsid w:val="00772823"/>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1BF"/>
    <w:rsid w:val="0078139A"/>
    <w:rsid w:val="007817B6"/>
    <w:rsid w:val="007820D7"/>
    <w:rsid w:val="00782839"/>
    <w:rsid w:val="00782CAD"/>
    <w:rsid w:val="00782E61"/>
    <w:rsid w:val="00784941"/>
    <w:rsid w:val="00784D00"/>
    <w:rsid w:val="00785412"/>
    <w:rsid w:val="00785D49"/>
    <w:rsid w:val="00786238"/>
    <w:rsid w:val="00786B04"/>
    <w:rsid w:val="00787019"/>
    <w:rsid w:val="00787E38"/>
    <w:rsid w:val="0079031D"/>
    <w:rsid w:val="00790DE4"/>
    <w:rsid w:val="00791893"/>
    <w:rsid w:val="00791A1A"/>
    <w:rsid w:val="007923C7"/>
    <w:rsid w:val="007923D9"/>
    <w:rsid w:val="0079329F"/>
    <w:rsid w:val="0079377C"/>
    <w:rsid w:val="00793CFF"/>
    <w:rsid w:val="00794DFD"/>
    <w:rsid w:val="0079607B"/>
    <w:rsid w:val="007971BD"/>
    <w:rsid w:val="00797733"/>
    <w:rsid w:val="00797D72"/>
    <w:rsid w:val="007A1068"/>
    <w:rsid w:val="007A1163"/>
    <w:rsid w:val="007A1E8C"/>
    <w:rsid w:val="007A2B7E"/>
    <w:rsid w:val="007A453E"/>
    <w:rsid w:val="007A5284"/>
    <w:rsid w:val="007A54A2"/>
    <w:rsid w:val="007A61C1"/>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2E7"/>
    <w:rsid w:val="007C6563"/>
    <w:rsid w:val="007C6FDA"/>
    <w:rsid w:val="007D0A69"/>
    <w:rsid w:val="007D0A87"/>
    <w:rsid w:val="007D1B19"/>
    <w:rsid w:val="007D2018"/>
    <w:rsid w:val="007D284E"/>
    <w:rsid w:val="007D31C0"/>
    <w:rsid w:val="007D4864"/>
    <w:rsid w:val="007D4953"/>
    <w:rsid w:val="007D4EB6"/>
    <w:rsid w:val="007D59C6"/>
    <w:rsid w:val="007D64B5"/>
    <w:rsid w:val="007D6760"/>
    <w:rsid w:val="007D68F4"/>
    <w:rsid w:val="007D6997"/>
    <w:rsid w:val="007D6FC0"/>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73"/>
    <w:rsid w:val="007F3DDB"/>
    <w:rsid w:val="007F3DE0"/>
    <w:rsid w:val="007F41B6"/>
    <w:rsid w:val="007F4389"/>
    <w:rsid w:val="007F5952"/>
    <w:rsid w:val="007F5BA0"/>
    <w:rsid w:val="007F5D02"/>
    <w:rsid w:val="007F5DC1"/>
    <w:rsid w:val="007F6C6B"/>
    <w:rsid w:val="00801766"/>
    <w:rsid w:val="00802032"/>
    <w:rsid w:val="008028B0"/>
    <w:rsid w:val="00802FDA"/>
    <w:rsid w:val="00804246"/>
    <w:rsid w:val="00806402"/>
    <w:rsid w:val="008064B2"/>
    <w:rsid w:val="008067FE"/>
    <w:rsid w:val="0080737E"/>
    <w:rsid w:val="008118DD"/>
    <w:rsid w:val="00811A15"/>
    <w:rsid w:val="008126A1"/>
    <w:rsid w:val="008130D5"/>
    <w:rsid w:val="00813D8C"/>
    <w:rsid w:val="008148BA"/>
    <w:rsid w:val="00814A33"/>
    <w:rsid w:val="0081534B"/>
    <w:rsid w:val="008162DF"/>
    <w:rsid w:val="00816FED"/>
    <w:rsid w:val="00817DB8"/>
    <w:rsid w:val="008204F4"/>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01FB"/>
    <w:rsid w:val="00831C92"/>
    <w:rsid w:val="00832731"/>
    <w:rsid w:val="00832BC3"/>
    <w:rsid w:val="00834A82"/>
    <w:rsid w:val="00834DC0"/>
    <w:rsid w:val="008357E0"/>
    <w:rsid w:val="008360DD"/>
    <w:rsid w:val="0083654C"/>
    <w:rsid w:val="008367B7"/>
    <w:rsid w:val="008371EB"/>
    <w:rsid w:val="00840373"/>
    <w:rsid w:val="008403B4"/>
    <w:rsid w:val="0084120B"/>
    <w:rsid w:val="00842295"/>
    <w:rsid w:val="00842669"/>
    <w:rsid w:val="00842B67"/>
    <w:rsid w:val="00842E8F"/>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9BE"/>
    <w:rsid w:val="00861A42"/>
    <w:rsid w:val="008626E4"/>
    <w:rsid w:val="00862A43"/>
    <w:rsid w:val="00863163"/>
    <w:rsid w:val="00864332"/>
    <w:rsid w:val="008644E0"/>
    <w:rsid w:val="008648B6"/>
    <w:rsid w:val="008653EE"/>
    <w:rsid w:val="008655FC"/>
    <w:rsid w:val="00865CDA"/>
    <w:rsid w:val="008661BD"/>
    <w:rsid w:val="00867C8E"/>
    <w:rsid w:val="0087003B"/>
    <w:rsid w:val="00870259"/>
    <w:rsid w:val="008704F6"/>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3CC"/>
    <w:rsid w:val="00882652"/>
    <w:rsid w:val="00882BA8"/>
    <w:rsid w:val="008842A9"/>
    <w:rsid w:val="00885C5C"/>
    <w:rsid w:val="00886951"/>
    <w:rsid w:val="00887F32"/>
    <w:rsid w:val="0089158D"/>
    <w:rsid w:val="00891C67"/>
    <w:rsid w:val="00892548"/>
    <w:rsid w:val="00892C5E"/>
    <w:rsid w:val="00893627"/>
    <w:rsid w:val="00893F54"/>
    <w:rsid w:val="0089417D"/>
    <w:rsid w:val="00894ECB"/>
    <w:rsid w:val="00894F56"/>
    <w:rsid w:val="008956C7"/>
    <w:rsid w:val="0089603C"/>
    <w:rsid w:val="0089643D"/>
    <w:rsid w:val="0089688F"/>
    <w:rsid w:val="008A08BB"/>
    <w:rsid w:val="008A0B98"/>
    <w:rsid w:val="008A13C4"/>
    <w:rsid w:val="008A1E04"/>
    <w:rsid w:val="008A23C3"/>
    <w:rsid w:val="008A2DD8"/>
    <w:rsid w:val="008A2F45"/>
    <w:rsid w:val="008A404F"/>
    <w:rsid w:val="008A4793"/>
    <w:rsid w:val="008A5071"/>
    <w:rsid w:val="008A637F"/>
    <w:rsid w:val="008A6DF6"/>
    <w:rsid w:val="008A7C51"/>
    <w:rsid w:val="008B03FD"/>
    <w:rsid w:val="008B051D"/>
    <w:rsid w:val="008B0AB6"/>
    <w:rsid w:val="008B19D6"/>
    <w:rsid w:val="008B224C"/>
    <w:rsid w:val="008B2455"/>
    <w:rsid w:val="008B2664"/>
    <w:rsid w:val="008B3219"/>
    <w:rsid w:val="008B38D4"/>
    <w:rsid w:val="008B3C16"/>
    <w:rsid w:val="008B4505"/>
    <w:rsid w:val="008B4C2D"/>
    <w:rsid w:val="008B6A93"/>
    <w:rsid w:val="008B6AC4"/>
    <w:rsid w:val="008B6E28"/>
    <w:rsid w:val="008B77EF"/>
    <w:rsid w:val="008B7EAC"/>
    <w:rsid w:val="008C0025"/>
    <w:rsid w:val="008C0700"/>
    <w:rsid w:val="008C11E4"/>
    <w:rsid w:val="008C3E12"/>
    <w:rsid w:val="008C41EA"/>
    <w:rsid w:val="008C4261"/>
    <w:rsid w:val="008C457D"/>
    <w:rsid w:val="008C4BDD"/>
    <w:rsid w:val="008C61AC"/>
    <w:rsid w:val="008C66A9"/>
    <w:rsid w:val="008C6860"/>
    <w:rsid w:val="008C6864"/>
    <w:rsid w:val="008C6B03"/>
    <w:rsid w:val="008C6B5C"/>
    <w:rsid w:val="008D099F"/>
    <w:rsid w:val="008D1160"/>
    <w:rsid w:val="008D1801"/>
    <w:rsid w:val="008D1DC5"/>
    <w:rsid w:val="008D2134"/>
    <w:rsid w:val="008D2905"/>
    <w:rsid w:val="008D3426"/>
    <w:rsid w:val="008D3771"/>
    <w:rsid w:val="008D3F2B"/>
    <w:rsid w:val="008D4274"/>
    <w:rsid w:val="008D4875"/>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61CF"/>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2F43"/>
    <w:rsid w:val="0092359F"/>
    <w:rsid w:val="009236C7"/>
    <w:rsid w:val="00924AD9"/>
    <w:rsid w:val="00924C31"/>
    <w:rsid w:val="00925928"/>
    <w:rsid w:val="0092593E"/>
    <w:rsid w:val="00925F62"/>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5F0"/>
    <w:rsid w:val="00934AF4"/>
    <w:rsid w:val="009359CE"/>
    <w:rsid w:val="00935A26"/>
    <w:rsid w:val="00935D02"/>
    <w:rsid w:val="00936040"/>
    <w:rsid w:val="00936E9F"/>
    <w:rsid w:val="0093731A"/>
    <w:rsid w:val="00937569"/>
    <w:rsid w:val="009375A2"/>
    <w:rsid w:val="009417EA"/>
    <w:rsid w:val="009418FE"/>
    <w:rsid w:val="009419E1"/>
    <w:rsid w:val="00941EBF"/>
    <w:rsid w:val="00942492"/>
    <w:rsid w:val="00943C8F"/>
    <w:rsid w:val="00944162"/>
    <w:rsid w:val="00944282"/>
    <w:rsid w:val="009443E1"/>
    <w:rsid w:val="009449C9"/>
    <w:rsid w:val="00945740"/>
    <w:rsid w:val="00946256"/>
    <w:rsid w:val="0094680A"/>
    <w:rsid w:val="00950046"/>
    <w:rsid w:val="0095026A"/>
    <w:rsid w:val="009504CE"/>
    <w:rsid w:val="00950E82"/>
    <w:rsid w:val="00953231"/>
    <w:rsid w:val="009534BD"/>
    <w:rsid w:val="00953F77"/>
    <w:rsid w:val="009541FC"/>
    <w:rsid w:val="00954981"/>
    <w:rsid w:val="00954F09"/>
    <w:rsid w:val="00955D98"/>
    <w:rsid w:val="009568C2"/>
    <w:rsid w:val="00957D6F"/>
    <w:rsid w:val="00960056"/>
    <w:rsid w:val="00960390"/>
    <w:rsid w:val="0096042E"/>
    <w:rsid w:val="009605F4"/>
    <w:rsid w:val="00960889"/>
    <w:rsid w:val="00962858"/>
    <w:rsid w:val="00962E45"/>
    <w:rsid w:val="0096501E"/>
    <w:rsid w:val="00965B90"/>
    <w:rsid w:val="00966A9F"/>
    <w:rsid w:val="0096718B"/>
    <w:rsid w:val="009707A3"/>
    <w:rsid w:val="00970A2A"/>
    <w:rsid w:val="00972022"/>
    <w:rsid w:val="00972B26"/>
    <w:rsid w:val="00975CDA"/>
    <w:rsid w:val="00975F2D"/>
    <w:rsid w:val="0097630C"/>
    <w:rsid w:val="00976609"/>
    <w:rsid w:val="00976EDC"/>
    <w:rsid w:val="00976F24"/>
    <w:rsid w:val="0098015D"/>
    <w:rsid w:val="0098053A"/>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2ED2"/>
    <w:rsid w:val="009A330C"/>
    <w:rsid w:val="009A35B3"/>
    <w:rsid w:val="009A4258"/>
    <w:rsid w:val="009A5891"/>
    <w:rsid w:val="009A5D54"/>
    <w:rsid w:val="009A620F"/>
    <w:rsid w:val="009A62DA"/>
    <w:rsid w:val="009A685E"/>
    <w:rsid w:val="009A69D2"/>
    <w:rsid w:val="009A7DDE"/>
    <w:rsid w:val="009B02F8"/>
    <w:rsid w:val="009B0843"/>
    <w:rsid w:val="009B136D"/>
    <w:rsid w:val="009B1674"/>
    <w:rsid w:val="009B19C8"/>
    <w:rsid w:val="009B41FC"/>
    <w:rsid w:val="009B5867"/>
    <w:rsid w:val="009B6C0E"/>
    <w:rsid w:val="009B6D4F"/>
    <w:rsid w:val="009C01BD"/>
    <w:rsid w:val="009C036C"/>
    <w:rsid w:val="009C12C9"/>
    <w:rsid w:val="009C136D"/>
    <w:rsid w:val="009C1A1E"/>
    <w:rsid w:val="009C2C66"/>
    <w:rsid w:val="009C3329"/>
    <w:rsid w:val="009C3776"/>
    <w:rsid w:val="009C3827"/>
    <w:rsid w:val="009C422E"/>
    <w:rsid w:val="009C6B78"/>
    <w:rsid w:val="009C6C08"/>
    <w:rsid w:val="009C72BE"/>
    <w:rsid w:val="009C7939"/>
    <w:rsid w:val="009D0576"/>
    <w:rsid w:val="009D1C24"/>
    <w:rsid w:val="009D3651"/>
    <w:rsid w:val="009D36F7"/>
    <w:rsid w:val="009D44C8"/>
    <w:rsid w:val="009D4E7B"/>
    <w:rsid w:val="009D4ED8"/>
    <w:rsid w:val="009D5D82"/>
    <w:rsid w:val="009D6304"/>
    <w:rsid w:val="009D6430"/>
    <w:rsid w:val="009D70DD"/>
    <w:rsid w:val="009D7381"/>
    <w:rsid w:val="009D7785"/>
    <w:rsid w:val="009E0942"/>
    <w:rsid w:val="009E104B"/>
    <w:rsid w:val="009E1800"/>
    <w:rsid w:val="009E2734"/>
    <w:rsid w:val="009E37BF"/>
    <w:rsid w:val="009E3C6A"/>
    <w:rsid w:val="009E501A"/>
    <w:rsid w:val="009E5756"/>
    <w:rsid w:val="009E5B13"/>
    <w:rsid w:val="009E5D4D"/>
    <w:rsid w:val="009E61F9"/>
    <w:rsid w:val="009E62BD"/>
    <w:rsid w:val="009E6A4A"/>
    <w:rsid w:val="009E7281"/>
    <w:rsid w:val="009E73A2"/>
    <w:rsid w:val="009E766A"/>
    <w:rsid w:val="009E767D"/>
    <w:rsid w:val="009F2300"/>
    <w:rsid w:val="009F25C6"/>
    <w:rsid w:val="009F3690"/>
    <w:rsid w:val="009F3699"/>
    <w:rsid w:val="009F5BB8"/>
    <w:rsid w:val="009F5EEB"/>
    <w:rsid w:val="009F6212"/>
    <w:rsid w:val="009F6244"/>
    <w:rsid w:val="009F6C8D"/>
    <w:rsid w:val="009F7716"/>
    <w:rsid w:val="00A0070E"/>
    <w:rsid w:val="00A016B4"/>
    <w:rsid w:val="00A01712"/>
    <w:rsid w:val="00A02913"/>
    <w:rsid w:val="00A02D85"/>
    <w:rsid w:val="00A0334C"/>
    <w:rsid w:val="00A0368F"/>
    <w:rsid w:val="00A043C7"/>
    <w:rsid w:val="00A0490C"/>
    <w:rsid w:val="00A04E76"/>
    <w:rsid w:val="00A051FD"/>
    <w:rsid w:val="00A05793"/>
    <w:rsid w:val="00A05A75"/>
    <w:rsid w:val="00A06090"/>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6D2F"/>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431"/>
    <w:rsid w:val="00A30580"/>
    <w:rsid w:val="00A315D1"/>
    <w:rsid w:val="00A316A3"/>
    <w:rsid w:val="00A32516"/>
    <w:rsid w:val="00A32CCB"/>
    <w:rsid w:val="00A32DB7"/>
    <w:rsid w:val="00A33D22"/>
    <w:rsid w:val="00A33DCB"/>
    <w:rsid w:val="00A34866"/>
    <w:rsid w:val="00A34C61"/>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4C"/>
    <w:rsid w:val="00A456FF"/>
    <w:rsid w:val="00A45A71"/>
    <w:rsid w:val="00A45C95"/>
    <w:rsid w:val="00A46CC1"/>
    <w:rsid w:val="00A46F65"/>
    <w:rsid w:val="00A4769E"/>
    <w:rsid w:val="00A47818"/>
    <w:rsid w:val="00A47C27"/>
    <w:rsid w:val="00A50A56"/>
    <w:rsid w:val="00A510DD"/>
    <w:rsid w:val="00A513E9"/>
    <w:rsid w:val="00A5160F"/>
    <w:rsid w:val="00A51886"/>
    <w:rsid w:val="00A51982"/>
    <w:rsid w:val="00A52B60"/>
    <w:rsid w:val="00A53A59"/>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6789B"/>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E3F"/>
    <w:rsid w:val="00A83659"/>
    <w:rsid w:val="00A83CA5"/>
    <w:rsid w:val="00A843C2"/>
    <w:rsid w:val="00A84D33"/>
    <w:rsid w:val="00A84E89"/>
    <w:rsid w:val="00A84F7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234"/>
    <w:rsid w:val="00A96597"/>
    <w:rsid w:val="00A97B32"/>
    <w:rsid w:val="00AA01A4"/>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5E5"/>
    <w:rsid w:val="00AB5901"/>
    <w:rsid w:val="00AB5A84"/>
    <w:rsid w:val="00AB5E05"/>
    <w:rsid w:val="00AB6521"/>
    <w:rsid w:val="00AB7012"/>
    <w:rsid w:val="00AB7343"/>
    <w:rsid w:val="00AB76ED"/>
    <w:rsid w:val="00AB7B31"/>
    <w:rsid w:val="00AB7EBF"/>
    <w:rsid w:val="00AC01E6"/>
    <w:rsid w:val="00AC020B"/>
    <w:rsid w:val="00AC1FAA"/>
    <w:rsid w:val="00AC24F2"/>
    <w:rsid w:val="00AC252D"/>
    <w:rsid w:val="00AC2EBD"/>
    <w:rsid w:val="00AC2F01"/>
    <w:rsid w:val="00AC3242"/>
    <w:rsid w:val="00AC32D4"/>
    <w:rsid w:val="00AC3A0D"/>
    <w:rsid w:val="00AC508B"/>
    <w:rsid w:val="00AC571E"/>
    <w:rsid w:val="00AC62FF"/>
    <w:rsid w:val="00AC63A7"/>
    <w:rsid w:val="00AC768C"/>
    <w:rsid w:val="00AC7C64"/>
    <w:rsid w:val="00AC7E33"/>
    <w:rsid w:val="00AD012F"/>
    <w:rsid w:val="00AD0582"/>
    <w:rsid w:val="00AD09DD"/>
    <w:rsid w:val="00AD1595"/>
    <w:rsid w:val="00AD1993"/>
    <w:rsid w:val="00AD20CD"/>
    <w:rsid w:val="00AD28BE"/>
    <w:rsid w:val="00AD308D"/>
    <w:rsid w:val="00AD3946"/>
    <w:rsid w:val="00AD49F3"/>
    <w:rsid w:val="00AD4F5E"/>
    <w:rsid w:val="00AD528F"/>
    <w:rsid w:val="00AD57CE"/>
    <w:rsid w:val="00AD5B3D"/>
    <w:rsid w:val="00AD5D31"/>
    <w:rsid w:val="00AD632A"/>
    <w:rsid w:val="00AD7520"/>
    <w:rsid w:val="00AE0333"/>
    <w:rsid w:val="00AE180C"/>
    <w:rsid w:val="00AE228A"/>
    <w:rsid w:val="00AE22E7"/>
    <w:rsid w:val="00AE356D"/>
    <w:rsid w:val="00AE42EF"/>
    <w:rsid w:val="00AE4F9B"/>
    <w:rsid w:val="00AE4FBF"/>
    <w:rsid w:val="00AE50B9"/>
    <w:rsid w:val="00AE582E"/>
    <w:rsid w:val="00AE6D60"/>
    <w:rsid w:val="00AE730B"/>
    <w:rsid w:val="00AE792F"/>
    <w:rsid w:val="00AF040C"/>
    <w:rsid w:val="00AF14BE"/>
    <w:rsid w:val="00AF16BB"/>
    <w:rsid w:val="00AF16E5"/>
    <w:rsid w:val="00AF1E5A"/>
    <w:rsid w:val="00AF227A"/>
    <w:rsid w:val="00AF26B4"/>
    <w:rsid w:val="00AF2904"/>
    <w:rsid w:val="00AF384C"/>
    <w:rsid w:val="00AF442A"/>
    <w:rsid w:val="00AF4BA2"/>
    <w:rsid w:val="00AF4EC2"/>
    <w:rsid w:val="00AF580D"/>
    <w:rsid w:val="00AF5DFF"/>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FC6"/>
    <w:rsid w:val="00B14314"/>
    <w:rsid w:val="00B1441B"/>
    <w:rsid w:val="00B1442B"/>
    <w:rsid w:val="00B144ED"/>
    <w:rsid w:val="00B14AEA"/>
    <w:rsid w:val="00B14B3D"/>
    <w:rsid w:val="00B151AC"/>
    <w:rsid w:val="00B1565B"/>
    <w:rsid w:val="00B15FC9"/>
    <w:rsid w:val="00B16EEC"/>
    <w:rsid w:val="00B16F7B"/>
    <w:rsid w:val="00B218A7"/>
    <w:rsid w:val="00B21EFE"/>
    <w:rsid w:val="00B227C7"/>
    <w:rsid w:val="00B22B6F"/>
    <w:rsid w:val="00B2391F"/>
    <w:rsid w:val="00B240CD"/>
    <w:rsid w:val="00B24854"/>
    <w:rsid w:val="00B24E28"/>
    <w:rsid w:val="00B254A3"/>
    <w:rsid w:val="00B2623F"/>
    <w:rsid w:val="00B267C9"/>
    <w:rsid w:val="00B26BAF"/>
    <w:rsid w:val="00B272D6"/>
    <w:rsid w:val="00B27731"/>
    <w:rsid w:val="00B30161"/>
    <w:rsid w:val="00B3195C"/>
    <w:rsid w:val="00B31C39"/>
    <w:rsid w:val="00B32205"/>
    <w:rsid w:val="00B329D9"/>
    <w:rsid w:val="00B3380F"/>
    <w:rsid w:val="00B33E1F"/>
    <w:rsid w:val="00B33F56"/>
    <w:rsid w:val="00B3405D"/>
    <w:rsid w:val="00B344AA"/>
    <w:rsid w:val="00B34C29"/>
    <w:rsid w:val="00B36E15"/>
    <w:rsid w:val="00B36EF3"/>
    <w:rsid w:val="00B37F7D"/>
    <w:rsid w:val="00B37FCF"/>
    <w:rsid w:val="00B40007"/>
    <w:rsid w:val="00B40237"/>
    <w:rsid w:val="00B415E9"/>
    <w:rsid w:val="00B4168A"/>
    <w:rsid w:val="00B41E4A"/>
    <w:rsid w:val="00B422B1"/>
    <w:rsid w:val="00B425C1"/>
    <w:rsid w:val="00B42744"/>
    <w:rsid w:val="00B42FC4"/>
    <w:rsid w:val="00B43111"/>
    <w:rsid w:val="00B43DBD"/>
    <w:rsid w:val="00B45165"/>
    <w:rsid w:val="00B454A6"/>
    <w:rsid w:val="00B456CB"/>
    <w:rsid w:val="00B47C12"/>
    <w:rsid w:val="00B50481"/>
    <w:rsid w:val="00B50A98"/>
    <w:rsid w:val="00B50F11"/>
    <w:rsid w:val="00B51567"/>
    <w:rsid w:val="00B522EF"/>
    <w:rsid w:val="00B525BB"/>
    <w:rsid w:val="00B5298E"/>
    <w:rsid w:val="00B5363F"/>
    <w:rsid w:val="00B53C3D"/>
    <w:rsid w:val="00B542FA"/>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0647"/>
    <w:rsid w:val="00B91083"/>
    <w:rsid w:val="00B91461"/>
    <w:rsid w:val="00B91F5D"/>
    <w:rsid w:val="00B92B29"/>
    <w:rsid w:val="00B92ED5"/>
    <w:rsid w:val="00B93205"/>
    <w:rsid w:val="00B93289"/>
    <w:rsid w:val="00B938B4"/>
    <w:rsid w:val="00B93AC5"/>
    <w:rsid w:val="00B94117"/>
    <w:rsid w:val="00B942DE"/>
    <w:rsid w:val="00B95850"/>
    <w:rsid w:val="00B96423"/>
    <w:rsid w:val="00BA08D7"/>
    <w:rsid w:val="00BA1953"/>
    <w:rsid w:val="00BA1AEE"/>
    <w:rsid w:val="00BA22B1"/>
    <w:rsid w:val="00BA3AA6"/>
    <w:rsid w:val="00BA442A"/>
    <w:rsid w:val="00BA4AFA"/>
    <w:rsid w:val="00BA4DDA"/>
    <w:rsid w:val="00BA526D"/>
    <w:rsid w:val="00BA5299"/>
    <w:rsid w:val="00BA5F7E"/>
    <w:rsid w:val="00BA6550"/>
    <w:rsid w:val="00BA67E9"/>
    <w:rsid w:val="00BA6926"/>
    <w:rsid w:val="00BA6AA2"/>
    <w:rsid w:val="00BA7471"/>
    <w:rsid w:val="00BA7A8F"/>
    <w:rsid w:val="00BB04BB"/>
    <w:rsid w:val="00BB1F50"/>
    <w:rsid w:val="00BB3166"/>
    <w:rsid w:val="00BB3497"/>
    <w:rsid w:val="00BB38E8"/>
    <w:rsid w:val="00BB3D70"/>
    <w:rsid w:val="00BB4BEA"/>
    <w:rsid w:val="00BB518F"/>
    <w:rsid w:val="00BB55B3"/>
    <w:rsid w:val="00BB594B"/>
    <w:rsid w:val="00BB707E"/>
    <w:rsid w:val="00BB7D13"/>
    <w:rsid w:val="00BC0803"/>
    <w:rsid w:val="00BC1EE7"/>
    <w:rsid w:val="00BC2AA7"/>
    <w:rsid w:val="00BC2F36"/>
    <w:rsid w:val="00BC32F2"/>
    <w:rsid w:val="00BC40A7"/>
    <w:rsid w:val="00BC41F8"/>
    <w:rsid w:val="00BC43B2"/>
    <w:rsid w:val="00BC4E92"/>
    <w:rsid w:val="00BC61E4"/>
    <w:rsid w:val="00BC64A6"/>
    <w:rsid w:val="00BC6AB8"/>
    <w:rsid w:val="00BC6FD0"/>
    <w:rsid w:val="00BC76C6"/>
    <w:rsid w:val="00BC7C4D"/>
    <w:rsid w:val="00BD0077"/>
    <w:rsid w:val="00BD0248"/>
    <w:rsid w:val="00BD095D"/>
    <w:rsid w:val="00BD0D65"/>
    <w:rsid w:val="00BD1350"/>
    <w:rsid w:val="00BD15CE"/>
    <w:rsid w:val="00BD176C"/>
    <w:rsid w:val="00BD1A82"/>
    <w:rsid w:val="00BD321A"/>
    <w:rsid w:val="00BD41C1"/>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1E93"/>
    <w:rsid w:val="00BE22E5"/>
    <w:rsid w:val="00BE263A"/>
    <w:rsid w:val="00BE29EA"/>
    <w:rsid w:val="00BE2A8B"/>
    <w:rsid w:val="00BE308E"/>
    <w:rsid w:val="00BE3373"/>
    <w:rsid w:val="00BE33BA"/>
    <w:rsid w:val="00BE3DAD"/>
    <w:rsid w:val="00BE402A"/>
    <w:rsid w:val="00BE5F6A"/>
    <w:rsid w:val="00BE722C"/>
    <w:rsid w:val="00BF0287"/>
    <w:rsid w:val="00BF02CF"/>
    <w:rsid w:val="00BF1E7E"/>
    <w:rsid w:val="00BF20D3"/>
    <w:rsid w:val="00BF2788"/>
    <w:rsid w:val="00BF2814"/>
    <w:rsid w:val="00BF2EEF"/>
    <w:rsid w:val="00BF307F"/>
    <w:rsid w:val="00BF32B8"/>
    <w:rsid w:val="00BF3C2F"/>
    <w:rsid w:val="00BF49AF"/>
    <w:rsid w:val="00BF4F84"/>
    <w:rsid w:val="00BF4FFF"/>
    <w:rsid w:val="00BF58D1"/>
    <w:rsid w:val="00BF64BC"/>
    <w:rsid w:val="00BF6FB2"/>
    <w:rsid w:val="00BF7249"/>
    <w:rsid w:val="00BF7349"/>
    <w:rsid w:val="00C009DF"/>
    <w:rsid w:val="00C00C26"/>
    <w:rsid w:val="00C00D91"/>
    <w:rsid w:val="00C046A9"/>
    <w:rsid w:val="00C0479F"/>
    <w:rsid w:val="00C047A2"/>
    <w:rsid w:val="00C04963"/>
    <w:rsid w:val="00C05509"/>
    <w:rsid w:val="00C05630"/>
    <w:rsid w:val="00C069A5"/>
    <w:rsid w:val="00C06D9C"/>
    <w:rsid w:val="00C06E91"/>
    <w:rsid w:val="00C0748C"/>
    <w:rsid w:val="00C10859"/>
    <w:rsid w:val="00C10C47"/>
    <w:rsid w:val="00C11466"/>
    <w:rsid w:val="00C117A0"/>
    <w:rsid w:val="00C11B74"/>
    <w:rsid w:val="00C12FC6"/>
    <w:rsid w:val="00C1367B"/>
    <w:rsid w:val="00C13CCA"/>
    <w:rsid w:val="00C153E0"/>
    <w:rsid w:val="00C17ACD"/>
    <w:rsid w:val="00C203FB"/>
    <w:rsid w:val="00C209A9"/>
    <w:rsid w:val="00C20A6A"/>
    <w:rsid w:val="00C20AB6"/>
    <w:rsid w:val="00C21A2C"/>
    <w:rsid w:val="00C21EF4"/>
    <w:rsid w:val="00C22C39"/>
    <w:rsid w:val="00C2355B"/>
    <w:rsid w:val="00C238E1"/>
    <w:rsid w:val="00C239F9"/>
    <w:rsid w:val="00C2490B"/>
    <w:rsid w:val="00C2564D"/>
    <w:rsid w:val="00C26FAD"/>
    <w:rsid w:val="00C27A60"/>
    <w:rsid w:val="00C30027"/>
    <w:rsid w:val="00C310C3"/>
    <w:rsid w:val="00C3152F"/>
    <w:rsid w:val="00C31E42"/>
    <w:rsid w:val="00C31FEE"/>
    <w:rsid w:val="00C331C5"/>
    <w:rsid w:val="00C33B0D"/>
    <w:rsid w:val="00C33B51"/>
    <w:rsid w:val="00C349E4"/>
    <w:rsid w:val="00C34BC7"/>
    <w:rsid w:val="00C356F2"/>
    <w:rsid w:val="00C35D74"/>
    <w:rsid w:val="00C3672D"/>
    <w:rsid w:val="00C36B82"/>
    <w:rsid w:val="00C372E2"/>
    <w:rsid w:val="00C373AD"/>
    <w:rsid w:val="00C37550"/>
    <w:rsid w:val="00C37807"/>
    <w:rsid w:val="00C37A27"/>
    <w:rsid w:val="00C40F63"/>
    <w:rsid w:val="00C427DF"/>
    <w:rsid w:val="00C428AC"/>
    <w:rsid w:val="00C42F03"/>
    <w:rsid w:val="00C43390"/>
    <w:rsid w:val="00C438A3"/>
    <w:rsid w:val="00C4480F"/>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2A32"/>
    <w:rsid w:val="00C531C4"/>
    <w:rsid w:val="00C533B1"/>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1F11"/>
    <w:rsid w:val="00C620A0"/>
    <w:rsid w:val="00C62A97"/>
    <w:rsid w:val="00C62B31"/>
    <w:rsid w:val="00C63738"/>
    <w:rsid w:val="00C649B0"/>
    <w:rsid w:val="00C64DA1"/>
    <w:rsid w:val="00C655FB"/>
    <w:rsid w:val="00C6665C"/>
    <w:rsid w:val="00C67AE7"/>
    <w:rsid w:val="00C70320"/>
    <w:rsid w:val="00C70B08"/>
    <w:rsid w:val="00C724AC"/>
    <w:rsid w:val="00C72ED5"/>
    <w:rsid w:val="00C73050"/>
    <w:rsid w:val="00C73BB3"/>
    <w:rsid w:val="00C73BD0"/>
    <w:rsid w:val="00C74239"/>
    <w:rsid w:val="00C745BC"/>
    <w:rsid w:val="00C748DD"/>
    <w:rsid w:val="00C759E3"/>
    <w:rsid w:val="00C76012"/>
    <w:rsid w:val="00C76580"/>
    <w:rsid w:val="00C7697B"/>
    <w:rsid w:val="00C77469"/>
    <w:rsid w:val="00C7796B"/>
    <w:rsid w:val="00C77A9C"/>
    <w:rsid w:val="00C80093"/>
    <w:rsid w:val="00C80B87"/>
    <w:rsid w:val="00C80D76"/>
    <w:rsid w:val="00C828FB"/>
    <w:rsid w:val="00C82936"/>
    <w:rsid w:val="00C82F1A"/>
    <w:rsid w:val="00C8312C"/>
    <w:rsid w:val="00C83FD0"/>
    <w:rsid w:val="00C847C1"/>
    <w:rsid w:val="00C84FBB"/>
    <w:rsid w:val="00C852BF"/>
    <w:rsid w:val="00C863B3"/>
    <w:rsid w:val="00C866AC"/>
    <w:rsid w:val="00C8774B"/>
    <w:rsid w:val="00C87FD9"/>
    <w:rsid w:val="00C9034C"/>
    <w:rsid w:val="00C90BB0"/>
    <w:rsid w:val="00C90D39"/>
    <w:rsid w:val="00C911C7"/>
    <w:rsid w:val="00C92041"/>
    <w:rsid w:val="00C92072"/>
    <w:rsid w:val="00C92937"/>
    <w:rsid w:val="00C94631"/>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4A8F"/>
    <w:rsid w:val="00CA53AA"/>
    <w:rsid w:val="00CA5B54"/>
    <w:rsid w:val="00CA5BF4"/>
    <w:rsid w:val="00CA7554"/>
    <w:rsid w:val="00CA7DF2"/>
    <w:rsid w:val="00CB1043"/>
    <w:rsid w:val="00CB32CE"/>
    <w:rsid w:val="00CB4443"/>
    <w:rsid w:val="00CB4FCA"/>
    <w:rsid w:val="00CB58BE"/>
    <w:rsid w:val="00CB6943"/>
    <w:rsid w:val="00CB7B86"/>
    <w:rsid w:val="00CB7FC4"/>
    <w:rsid w:val="00CC057F"/>
    <w:rsid w:val="00CC1807"/>
    <w:rsid w:val="00CC19DF"/>
    <w:rsid w:val="00CC292C"/>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2AD"/>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F99"/>
    <w:rsid w:val="00CF34F1"/>
    <w:rsid w:val="00CF36C5"/>
    <w:rsid w:val="00CF3C55"/>
    <w:rsid w:val="00CF3D0C"/>
    <w:rsid w:val="00CF4677"/>
    <w:rsid w:val="00CF4B94"/>
    <w:rsid w:val="00D0077C"/>
    <w:rsid w:val="00D01312"/>
    <w:rsid w:val="00D01704"/>
    <w:rsid w:val="00D01AA8"/>
    <w:rsid w:val="00D01B2B"/>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C2A"/>
    <w:rsid w:val="00D17736"/>
    <w:rsid w:val="00D17CC0"/>
    <w:rsid w:val="00D21531"/>
    <w:rsid w:val="00D22889"/>
    <w:rsid w:val="00D2400C"/>
    <w:rsid w:val="00D24CDA"/>
    <w:rsid w:val="00D26D5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64C"/>
    <w:rsid w:val="00D46C7F"/>
    <w:rsid w:val="00D46F98"/>
    <w:rsid w:val="00D47C6E"/>
    <w:rsid w:val="00D47DFE"/>
    <w:rsid w:val="00D5000E"/>
    <w:rsid w:val="00D503B8"/>
    <w:rsid w:val="00D507AC"/>
    <w:rsid w:val="00D50A88"/>
    <w:rsid w:val="00D52C91"/>
    <w:rsid w:val="00D5314D"/>
    <w:rsid w:val="00D539B1"/>
    <w:rsid w:val="00D5416F"/>
    <w:rsid w:val="00D5439D"/>
    <w:rsid w:val="00D550C3"/>
    <w:rsid w:val="00D56B2A"/>
    <w:rsid w:val="00D56C69"/>
    <w:rsid w:val="00D56F46"/>
    <w:rsid w:val="00D60990"/>
    <w:rsid w:val="00D60DC6"/>
    <w:rsid w:val="00D60F40"/>
    <w:rsid w:val="00D6278F"/>
    <w:rsid w:val="00D63051"/>
    <w:rsid w:val="00D630BD"/>
    <w:rsid w:val="00D6439A"/>
    <w:rsid w:val="00D64F9F"/>
    <w:rsid w:val="00D650F4"/>
    <w:rsid w:val="00D6531A"/>
    <w:rsid w:val="00D6553E"/>
    <w:rsid w:val="00D65634"/>
    <w:rsid w:val="00D666AE"/>
    <w:rsid w:val="00D67601"/>
    <w:rsid w:val="00D705D7"/>
    <w:rsid w:val="00D7142C"/>
    <w:rsid w:val="00D715C9"/>
    <w:rsid w:val="00D71B9A"/>
    <w:rsid w:val="00D71F30"/>
    <w:rsid w:val="00D72B14"/>
    <w:rsid w:val="00D72C1F"/>
    <w:rsid w:val="00D7464E"/>
    <w:rsid w:val="00D75281"/>
    <w:rsid w:val="00D76C73"/>
    <w:rsid w:val="00D771BE"/>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5B2"/>
    <w:rsid w:val="00D927E4"/>
    <w:rsid w:val="00D929AB"/>
    <w:rsid w:val="00D93587"/>
    <w:rsid w:val="00D9391C"/>
    <w:rsid w:val="00D93969"/>
    <w:rsid w:val="00D93C28"/>
    <w:rsid w:val="00D93FC8"/>
    <w:rsid w:val="00D940C0"/>
    <w:rsid w:val="00DA0EC3"/>
    <w:rsid w:val="00DA10F9"/>
    <w:rsid w:val="00DA2318"/>
    <w:rsid w:val="00DA2F05"/>
    <w:rsid w:val="00DA32A8"/>
    <w:rsid w:val="00DA3371"/>
    <w:rsid w:val="00DA352A"/>
    <w:rsid w:val="00DA353F"/>
    <w:rsid w:val="00DA4495"/>
    <w:rsid w:val="00DA5300"/>
    <w:rsid w:val="00DA625B"/>
    <w:rsid w:val="00DA70D6"/>
    <w:rsid w:val="00DA76BA"/>
    <w:rsid w:val="00DA7ABF"/>
    <w:rsid w:val="00DA7EDE"/>
    <w:rsid w:val="00DB0394"/>
    <w:rsid w:val="00DB0786"/>
    <w:rsid w:val="00DB079D"/>
    <w:rsid w:val="00DB14A2"/>
    <w:rsid w:val="00DB169D"/>
    <w:rsid w:val="00DB1AC3"/>
    <w:rsid w:val="00DB2D5A"/>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44EC"/>
    <w:rsid w:val="00DC5503"/>
    <w:rsid w:val="00DC56B8"/>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532"/>
    <w:rsid w:val="00DD7327"/>
    <w:rsid w:val="00DE09B4"/>
    <w:rsid w:val="00DE153F"/>
    <w:rsid w:val="00DE1593"/>
    <w:rsid w:val="00DE24E9"/>
    <w:rsid w:val="00DE322D"/>
    <w:rsid w:val="00DE39F4"/>
    <w:rsid w:val="00DE3D10"/>
    <w:rsid w:val="00DE3EE0"/>
    <w:rsid w:val="00DE3F62"/>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5B09"/>
    <w:rsid w:val="00E067F0"/>
    <w:rsid w:val="00E0797C"/>
    <w:rsid w:val="00E10423"/>
    <w:rsid w:val="00E11553"/>
    <w:rsid w:val="00E12207"/>
    <w:rsid w:val="00E129CA"/>
    <w:rsid w:val="00E13186"/>
    <w:rsid w:val="00E13448"/>
    <w:rsid w:val="00E13A19"/>
    <w:rsid w:val="00E15E22"/>
    <w:rsid w:val="00E16D49"/>
    <w:rsid w:val="00E17A6A"/>
    <w:rsid w:val="00E17CCB"/>
    <w:rsid w:val="00E20694"/>
    <w:rsid w:val="00E208D7"/>
    <w:rsid w:val="00E20F6B"/>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EDC"/>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804"/>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60D8"/>
    <w:rsid w:val="00E573F4"/>
    <w:rsid w:val="00E57EEA"/>
    <w:rsid w:val="00E6041F"/>
    <w:rsid w:val="00E61596"/>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774F7"/>
    <w:rsid w:val="00E77DE5"/>
    <w:rsid w:val="00E80B4C"/>
    <w:rsid w:val="00E81551"/>
    <w:rsid w:val="00E81754"/>
    <w:rsid w:val="00E824BF"/>
    <w:rsid w:val="00E8337B"/>
    <w:rsid w:val="00E8426F"/>
    <w:rsid w:val="00E853F8"/>
    <w:rsid w:val="00E8590B"/>
    <w:rsid w:val="00E85A4B"/>
    <w:rsid w:val="00E85B3F"/>
    <w:rsid w:val="00E865BF"/>
    <w:rsid w:val="00E86D4A"/>
    <w:rsid w:val="00E872FC"/>
    <w:rsid w:val="00E87730"/>
    <w:rsid w:val="00E905B4"/>
    <w:rsid w:val="00E9133E"/>
    <w:rsid w:val="00E92031"/>
    <w:rsid w:val="00E931B2"/>
    <w:rsid w:val="00E93429"/>
    <w:rsid w:val="00E93569"/>
    <w:rsid w:val="00E94D13"/>
    <w:rsid w:val="00E9571D"/>
    <w:rsid w:val="00E962F0"/>
    <w:rsid w:val="00E97111"/>
    <w:rsid w:val="00E97870"/>
    <w:rsid w:val="00E978BA"/>
    <w:rsid w:val="00EA01BE"/>
    <w:rsid w:val="00EA10A6"/>
    <w:rsid w:val="00EA1DE7"/>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3D9C"/>
    <w:rsid w:val="00EB4360"/>
    <w:rsid w:val="00EB44CD"/>
    <w:rsid w:val="00EB48B9"/>
    <w:rsid w:val="00EB5606"/>
    <w:rsid w:val="00EB6318"/>
    <w:rsid w:val="00EB63DF"/>
    <w:rsid w:val="00EB6606"/>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07"/>
    <w:rsid w:val="00EE0E10"/>
    <w:rsid w:val="00EE1211"/>
    <w:rsid w:val="00EE1C42"/>
    <w:rsid w:val="00EE2782"/>
    <w:rsid w:val="00EE31B6"/>
    <w:rsid w:val="00EE3AAF"/>
    <w:rsid w:val="00EE45A6"/>
    <w:rsid w:val="00EE49B6"/>
    <w:rsid w:val="00EE52CF"/>
    <w:rsid w:val="00EE600A"/>
    <w:rsid w:val="00EE6182"/>
    <w:rsid w:val="00EE701A"/>
    <w:rsid w:val="00EF00B1"/>
    <w:rsid w:val="00EF01F7"/>
    <w:rsid w:val="00EF0979"/>
    <w:rsid w:val="00EF160A"/>
    <w:rsid w:val="00EF19AC"/>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6E0"/>
    <w:rsid w:val="00F117D2"/>
    <w:rsid w:val="00F12281"/>
    <w:rsid w:val="00F12394"/>
    <w:rsid w:val="00F12492"/>
    <w:rsid w:val="00F12724"/>
    <w:rsid w:val="00F12931"/>
    <w:rsid w:val="00F13DF7"/>
    <w:rsid w:val="00F14030"/>
    <w:rsid w:val="00F147B6"/>
    <w:rsid w:val="00F15A5B"/>
    <w:rsid w:val="00F1692A"/>
    <w:rsid w:val="00F16A5A"/>
    <w:rsid w:val="00F16C7B"/>
    <w:rsid w:val="00F17966"/>
    <w:rsid w:val="00F2096F"/>
    <w:rsid w:val="00F21483"/>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24A"/>
    <w:rsid w:val="00F31692"/>
    <w:rsid w:val="00F318E7"/>
    <w:rsid w:val="00F320FC"/>
    <w:rsid w:val="00F3287D"/>
    <w:rsid w:val="00F33ABD"/>
    <w:rsid w:val="00F340ED"/>
    <w:rsid w:val="00F35470"/>
    <w:rsid w:val="00F35939"/>
    <w:rsid w:val="00F3657B"/>
    <w:rsid w:val="00F36D8D"/>
    <w:rsid w:val="00F37760"/>
    <w:rsid w:val="00F37D4F"/>
    <w:rsid w:val="00F37DEF"/>
    <w:rsid w:val="00F37F84"/>
    <w:rsid w:val="00F4050D"/>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24B1"/>
    <w:rsid w:val="00F6339C"/>
    <w:rsid w:val="00F63630"/>
    <w:rsid w:val="00F63A01"/>
    <w:rsid w:val="00F64EC1"/>
    <w:rsid w:val="00F651BF"/>
    <w:rsid w:val="00F659A0"/>
    <w:rsid w:val="00F66536"/>
    <w:rsid w:val="00F708DE"/>
    <w:rsid w:val="00F717A9"/>
    <w:rsid w:val="00F72426"/>
    <w:rsid w:val="00F7254F"/>
    <w:rsid w:val="00F7406D"/>
    <w:rsid w:val="00F743EA"/>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87351"/>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1A6F"/>
    <w:rsid w:val="00FA21B4"/>
    <w:rsid w:val="00FA279A"/>
    <w:rsid w:val="00FA3FDE"/>
    <w:rsid w:val="00FA4E4A"/>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B9A"/>
    <w:rsid w:val="00FB6E1E"/>
    <w:rsid w:val="00FC0DD0"/>
    <w:rsid w:val="00FC1451"/>
    <w:rsid w:val="00FC1A8F"/>
    <w:rsid w:val="00FC1EB7"/>
    <w:rsid w:val="00FC29E5"/>
    <w:rsid w:val="00FC32FE"/>
    <w:rsid w:val="00FC39C0"/>
    <w:rsid w:val="00FC410E"/>
    <w:rsid w:val="00FC43DA"/>
    <w:rsid w:val="00FC44CE"/>
    <w:rsid w:val="00FC4820"/>
    <w:rsid w:val="00FC60C5"/>
    <w:rsid w:val="00FC61F7"/>
    <w:rsid w:val="00FC7699"/>
    <w:rsid w:val="00FD0088"/>
    <w:rsid w:val="00FD13F0"/>
    <w:rsid w:val="00FD198E"/>
    <w:rsid w:val="00FD19EA"/>
    <w:rsid w:val="00FD2271"/>
    <w:rsid w:val="00FD3972"/>
    <w:rsid w:val="00FD3E13"/>
    <w:rsid w:val="00FD48F1"/>
    <w:rsid w:val="00FD59E9"/>
    <w:rsid w:val="00FD5D61"/>
    <w:rsid w:val="00FD6076"/>
    <w:rsid w:val="00FD6151"/>
    <w:rsid w:val="00FD6301"/>
    <w:rsid w:val="00FD679E"/>
    <w:rsid w:val="00FD6A6D"/>
    <w:rsid w:val="00FD6FFE"/>
    <w:rsid w:val="00FD76BE"/>
    <w:rsid w:val="00FE02C7"/>
    <w:rsid w:val="00FE072E"/>
    <w:rsid w:val="00FE078C"/>
    <w:rsid w:val="00FE0DBA"/>
    <w:rsid w:val="00FE1715"/>
    <w:rsid w:val="00FE1EEF"/>
    <w:rsid w:val="00FE1F52"/>
    <w:rsid w:val="00FE3114"/>
    <w:rsid w:val="00FE3D3C"/>
    <w:rsid w:val="00FE3E0C"/>
    <w:rsid w:val="00FE45AD"/>
    <w:rsid w:val="00FE4F80"/>
    <w:rsid w:val="00FE5B3C"/>
    <w:rsid w:val="00FE613B"/>
    <w:rsid w:val="00FE6B0A"/>
    <w:rsid w:val="00FE6F43"/>
    <w:rsid w:val="00FE75D3"/>
    <w:rsid w:val="00FE78BB"/>
    <w:rsid w:val="00FF04E5"/>
    <w:rsid w:val="00FF06EC"/>
    <w:rsid w:val="00FF1F72"/>
    <w:rsid w:val="00FF1FA0"/>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A4F60"/>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qFormat="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link w:val="afd"/>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e">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f">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0">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1">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paragraph" w:styleId="aff2">
    <w:name w:val="Body Text"/>
    <w:basedOn w:val="a0"/>
    <w:link w:val="aff3"/>
    <w:rsid w:val="00C620A0"/>
    <w:pPr>
      <w:suppressAutoHyphens/>
      <w:spacing w:after="140" w:line="276" w:lineRule="auto"/>
    </w:pPr>
    <w:rPr>
      <w:lang w:eastAsia="zh-CN"/>
    </w:rPr>
  </w:style>
  <w:style w:type="character" w:customStyle="1" w:styleId="aff3">
    <w:name w:val="Основний текст Знак"/>
    <w:basedOn w:val="a1"/>
    <w:link w:val="aff2"/>
    <w:rsid w:val="00C620A0"/>
    <w:rPr>
      <w:lang w:val="uk-UA" w:eastAsia="zh-CN"/>
    </w:rPr>
  </w:style>
  <w:style w:type="character" w:customStyle="1" w:styleId="afd">
    <w:name w:val="Без інтервалів Знак"/>
    <w:basedOn w:val="a1"/>
    <w:link w:val="afc"/>
    <w:uiPriority w:val="1"/>
    <w:locked/>
    <w:rsid w:val="003E0173"/>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77291952">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97877694">
      <w:bodyDiv w:val="1"/>
      <w:marLeft w:val="0"/>
      <w:marRight w:val="0"/>
      <w:marTop w:val="0"/>
      <w:marBottom w:val="0"/>
      <w:divBdr>
        <w:top w:val="none" w:sz="0" w:space="0" w:color="auto"/>
        <w:left w:val="none" w:sz="0" w:space="0" w:color="auto"/>
        <w:bottom w:val="none" w:sz="0" w:space="0" w:color="auto"/>
        <w:right w:val="none" w:sz="0" w:space="0" w:color="auto"/>
      </w:divBdr>
    </w:div>
    <w:div w:id="116143243">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161746316">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225530221">
      <w:bodyDiv w:val="1"/>
      <w:marLeft w:val="0"/>
      <w:marRight w:val="0"/>
      <w:marTop w:val="0"/>
      <w:marBottom w:val="0"/>
      <w:divBdr>
        <w:top w:val="none" w:sz="0" w:space="0" w:color="auto"/>
        <w:left w:val="none" w:sz="0" w:space="0" w:color="auto"/>
        <w:bottom w:val="none" w:sz="0" w:space="0" w:color="auto"/>
        <w:right w:val="none" w:sz="0" w:space="0" w:color="auto"/>
      </w:divBdr>
    </w:div>
    <w:div w:id="269749061">
      <w:bodyDiv w:val="1"/>
      <w:marLeft w:val="0"/>
      <w:marRight w:val="0"/>
      <w:marTop w:val="0"/>
      <w:marBottom w:val="0"/>
      <w:divBdr>
        <w:top w:val="none" w:sz="0" w:space="0" w:color="auto"/>
        <w:left w:val="none" w:sz="0" w:space="0" w:color="auto"/>
        <w:bottom w:val="none" w:sz="0" w:space="0" w:color="auto"/>
        <w:right w:val="none" w:sz="0" w:space="0" w:color="auto"/>
      </w:divBdr>
    </w:div>
    <w:div w:id="330720538">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476921615">
      <w:bodyDiv w:val="1"/>
      <w:marLeft w:val="0"/>
      <w:marRight w:val="0"/>
      <w:marTop w:val="0"/>
      <w:marBottom w:val="0"/>
      <w:divBdr>
        <w:top w:val="none" w:sz="0" w:space="0" w:color="auto"/>
        <w:left w:val="none" w:sz="0" w:space="0" w:color="auto"/>
        <w:bottom w:val="none" w:sz="0" w:space="0" w:color="auto"/>
        <w:right w:val="none" w:sz="0" w:space="0" w:color="auto"/>
      </w:divBdr>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557940081">
      <w:bodyDiv w:val="1"/>
      <w:marLeft w:val="0"/>
      <w:marRight w:val="0"/>
      <w:marTop w:val="0"/>
      <w:marBottom w:val="0"/>
      <w:divBdr>
        <w:top w:val="none" w:sz="0" w:space="0" w:color="auto"/>
        <w:left w:val="none" w:sz="0" w:space="0" w:color="auto"/>
        <w:bottom w:val="none" w:sz="0" w:space="0" w:color="auto"/>
        <w:right w:val="none" w:sz="0" w:space="0" w:color="auto"/>
      </w:divBdr>
    </w:div>
    <w:div w:id="589239443">
      <w:bodyDiv w:val="1"/>
      <w:marLeft w:val="0"/>
      <w:marRight w:val="0"/>
      <w:marTop w:val="0"/>
      <w:marBottom w:val="0"/>
      <w:divBdr>
        <w:top w:val="none" w:sz="0" w:space="0" w:color="auto"/>
        <w:left w:val="none" w:sz="0" w:space="0" w:color="auto"/>
        <w:bottom w:val="none" w:sz="0" w:space="0" w:color="auto"/>
        <w:right w:val="none" w:sz="0" w:space="0" w:color="auto"/>
      </w:divBdr>
    </w:div>
    <w:div w:id="595020760">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0516338">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768353480">
      <w:bodyDiv w:val="1"/>
      <w:marLeft w:val="0"/>
      <w:marRight w:val="0"/>
      <w:marTop w:val="0"/>
      <w:marBottom w:val="0"/>
      <w:divBdr>
        <w:top w:val="none" w:sz="0" w:space="0" w:color="auto"/>
        <w:left w:val="none" w:sz="0" w:space="0" w:color="auto"/>
        <w:bottom w:val="none" w:sz="0" w:space="0" w:color="auto"/>
        <w:right w:val="none" w:sz="0" w:space="0" w:color="auto"/>
      </w:divBdr>
    </w:div>
    <w:div w:id="774405734">
      <w:bodyDiv w:val="1"/>
      <w:marLeft w:val="0"/>
      <w:marRight w:val="0"/>
      <w:marTop w:val="0"/>
      <w:marBottom w:val="0"/>
      <w:divBdr>
        <w:top w:val="none" w:sz="0" w:space="0" w:color="auto"/>
        <w:left w:val="none" w:sz="0" w:space="0" w:color="auto"/>
        <w:bottom w:val="none" w:sz="0" w:space="0" w:color="auto"/>
        <w:right w:val="none" w:sz="0" w:space="0" w:color="auto"/>
      </w:divBdr>
    </w:div>
    <w:div w:id="813331201">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073704363">
      <w:bodyDiv w:val="1"/>
      <w:marLeft w:val="0"/>
      <w:marRight w:val="0"/>
      <w:marTop w:val="0"/>
      <w:marBottom w:val="0"/>
      <w:divBdr>
        <w:top w:val="none" w:sz="0" w:space="0" w:color="auto"/>
        <w:left w:val="none" w:sz="0" w:space="0" w:color="auto"/>
        <w:bottom w:val="none" w:sz="0" w:space="0" w:color="auto"/>
        <w:right w:val="none" w:sz="0" w:space="0" w:color="auto"/>
      </w:divBdr>
    </w:div>
    <w:div w:id="1093011481">
      <w:bodyDiv w:val="1"/>
      <w:marLeft w:val="0"/>
      <w:marRight w:val="0"/>
      <w:marTop w:val="0"/>
      <w:marBottom w:val="0"/>
      <w:divBdr>
        <w:top w:val="none" w:sz="0" w:space="0" w:color="auto"/>
        <w:left w:val="none" w:sz="0" w:space="0" w:color="auto"/>
        <w:bottom w:val="none" w:sz="0" w:space="0" w:color="auto"/>
        <w:right w:val="none" w:sz="0" w:space="0" w:color="auto"/>
      </w:divBdr>
    </w:div>
    <w:div w:id="1122384764">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6891605">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1915474">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17288746">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2974500">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499737203">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0648874">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74122017">
      <w:bodyDiv w:val="1"/>
      <w:marLeft w:val="0"/>
      <w:marRight w:val="0"/>
      <w:marTop w:val="0"/>
      <w:marBottom w:val="0"/>
      <w:divBdr>
        <w:top w:val="none" w:sz="0" w:space="0" w:color="auto"/>
        <w:left w:val="none" w:sz="0" w:space="0" w:color="auto"/>
        <w:bottom w:val="none" w:sz="0" w:space="0" w:color="auto"/>
        <w:right w:val="none" w:sz="0" w:space="0" w:color="auto"/>
      </w:divBdr>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56379029">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695417603">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11554828">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22464361">
      <w:bodyDiv w:val="1"/>
      <w:marLeft w:val="0"/>
      <w:marRight w:val="0"/>
      <w:marTop w:val="0"/>
      <w:marBottom w:val="0"/>
      <w:divBdr>
        <w:top w:val="none" w:sz="0" w:space="0" w:color="auto"/>
        <w:left w:val="none" w:sz="0" w:space="0" w:color="auto"/>
        <w:bottom w:val="none" w:sz="0" w:space="0" w:color="auto"/>
        <w:right w:val="none" w:sz="0" w:space="0" w:color="auto"/>
      </w:divBdr>
    </w:div>
    <w:div w:id="2056273132">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 w:id="21043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6B3ED-1A9A-4A35-97EE-31669CA1B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18849</Words>
  <Characters>10744</Characters>
  <Application>Microsoft Office Word</Application>
  <DocSecurity>0</DocSecurity>
  <Lines>89</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29534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Вікторія Грабовецька</cp:lastModifiedBy>
  <cp:revision>15</cp:revision>
  <cp:lastPrinted>2020-06-17T14:01:00Z</cp:lastPrinted>
  <dcterms:created xsi:type="dcterms:W3CDTF">2025-05-29T06:43:00Z</dcterms:created>
  <dcterms:modified xsi:type="dcterms:W3CDTF">2025-05-29T10:14:00Z</dcterms:modified>
</cp:coreProperties>
</file>