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409B21" w14:textId="77777777" w:rsidR="00A21622" w:rsidRPr="00D159D0" w:rsidRDefault="00A21622" w:rsidP="00A21622">
      <w:pPr>
        <w:jc w:val="center"/>
        <w:rPr>
          <w:b/>
          <w:bCs/>
          <w:sz w:val="28"/>
          <w:szCs w:val="28"/>
          <w:lang w:val="uk-UA"/>
        </w:rPr>
      </w:pPr>
      <w:r w:rsidRPr="00D159D0">
        <w:rPr>
          <w:b/>
          <w:bCs/>
          <w:sz w:val="28"/>
          <w:szCs w:val="28"/>
          <w:lang w:val="uk-UA"/>
        </w:rPr>
        <w:t xml:space="preserve">Узагальнені зауваження та пропозиції до проєкту рішення НКРЕКП, що має ознаки регуляторного </w:t>
      </w:r>
      <w:proofErr w:type="spellStart"/>
      <w:r w:rsidRPr="00D159D0">
        <w:rPr>
          <w:b/>
          <w:bCs/>
          <w:sz w:val="28"/>
          <w:szCs w:val="28"/>
          <w:lang w:val="uk-UA"/>
        </w:rPr>
        <w:t>акта</w:t>
      </w:r>
      <w:proofErr w:type="spellEnd"/>
      <w:r w:rsidRPr="00D159D0">
        <w:rPr>
          <w:b/>
          <w:bCs/>
          <w:sz w:val="28"/>
          <w:szCs w:val="28"/>
          <w:lang w:val="uk-UA"/>
        </w:rPr>
        <w:t>, –</w:t>
      </w:r>
    </w:p>
    <w:p w14:paraId="338C3F18" w14:textId="77777777" w:rsidR="00A21622" w:rsidRPr="00D159D0" w:rsidRDefault="00A21622" w:rsidP="00A21622">
      <w:pPr>
        <w:jc w:val="center"/>
        <w:rPr>
          <w:b/>
          <w:bCs/>
          <w:sz w:val="28"/>
          <w:szCs w:val="28"/>
          <w:lang w:val="uk-UA"/>
        </w:rPr>
      </w:pPr>
      <w:r w:rsidRPr="00D159D0">
        <w:rPr>
          <w:b/>
          <w:bCs/>
          <w:sz w:val="28"/>
          <w:szCs w:val="28"/>
          <w:lang w:val="uk-UA"/>
        </w:rPr>
        <w:t>проєкту постанови НКРЕКП «Про затвердження Змін до деяких постанов НКРЕ та НКРЕКП»</w:t>
      </w:r>
    </w:p>
    <w:p w14:paraId="265D4A2C" w14:textId="77777777" w:rsidR="00A21622" w:rsidRPr="00D159D0" w:rsidRDefault="00A21622" w:rsidP="00A21622">
      <w:pPr>
        <w:jc w:val="center"/>
        <w:rPr>
          <w:b/>
          <w:bCs/>
          <w:sz w:val="28"/>
          <w:szCs w:val="28"/>
          <w:lang w:val="uk-UA"/>
        </w:rPr>
      </w:pPr>
    </w:p>
    <w:tbl>
      <w:tblPr>
        <w:tblStyle w:val="a8"/>
        <w:tblW w:w="15163" w:type="dxa"/>
        <w:tblLayout w:type="fixed"/>
        <w:tblLook w:val="04A0" w:firstRow="1" w:lastRow="0" w:firstColumn="1" w:lastColumn="0" w:noHBand="0" w:noVBand="1"/>
      </w:tblPr>
      <w:tblGrid>
        <w:gridCol w:w="5665"/>
        <w:gridCol w:w="5954"/>
        <w:gridCol w:w="3544"/>
      </w:tblGrid>
      <w:tr w:rsidR="00D159D0" w:rsidRPr="00F84FFC" w14:paraId="6613749C" w14:textId="77777777" w:rsidTr="00EE26FC">
        <w:tc>
          <w:tcPr>
            <w:tcW w:w="5665" w:type="dxa"/>
            <w:vAlign w:val="center"/>
          </w:tcPr>
          <w:p w14:paraId="63F33447" w14:textId="77777777" w:rsidR="00A21622" w:rsidRPr="00D159D0" w:rsidRDefault="00A21622" w:rsidP="004976F9">
            <w:pPr>
              <w:jc w:val="center"/>
              <w:rPr>
                <w:b/>
                <w:bCs/>
                <w:lang w:val="uk-UA"/>
              </w:rPr>
            </w:pPr>
            <w:r w:rsidRPr="00D159D0">
              <w:rPr>
                <w:b/>
                <w:lang w:val="uk-UA"/>
              </w:rPr>
              <w:t xml:space="preserve">Редакція </w:t>
            </w:r>
            <w:proofErr w:type="spellStart"/>
            <w:r w:rsidRPr="00D159D0">
              <w:rPr>
                <w:b/>
                <w:lang w:val="uk-UA"/>
              </w:rPr>
              <w:t>проєкту</w:t>
            </w:r>
            <w:proofErr w:type="spellEnd"/>
            <w:r w:rsidRPr="00D159D0">
              <w:rPr>
                <w:b/>
                <w:lang w:val="uk-UA"/>
              </w:rPr>
              <w:t xml:space="preserve"> рішення НКРЕКП</w:t>
            </w:r>
          </w:p>
        </w:tc>
        <w:tc>
          <w:tcPr>
            <w:tcW w:w="5954" w:type="dxa"/>
            <w:vAlign w:val="center"/>
          </w:tcPr>
          <w:p w14:paraId="04296DC6" w14:textId="77777777" w:rsidR="00A21622" w:rsidRPr="00D159D0" w:rsidRDefault="00A21622" w:rsidP="004976F9">
            <w:pPr>
              <w:jc w:val="center"/>
              <w:rPr>
                <w:b/>
                <w:lang w:val="uk-UA"/>
              </w:rPr>
            </w:pPr>
            <w:r w:rsidRPr="00D159D0">
              <w:rPr>
                <w:b/>
                <w:lang w:val="uk-UA"/>
              </w:rPr>
              <w:t>Зауваження та пропозиції</w:t>
            </w:r>
          </w:p>
          <w:p w14:paraId="44650093" w14:textId="77777777" w:rsidR="00A21622" w:rsidRPr="00D159D0" w:rsidRDefault="00A21622" w:rsidP="004976F9">
            <w:pPr>
              <w:jc w:val="center"/>
              <w:rPr>
                <w:b/>
                <w:bCs/>
                <w:lang w:val="uk-UA"/>
              </w:rPr>
            </w:pPr>
            <w:r w:rsidRPr="00D159D0">
              <w:rPr>
                <w:b/>
                <w:lang w:val="uk-UA"/>
              </w:rPr>
              <w:t xml:space="preserve">до </w:t>
            </w:r>
            <w:proofErr w:type="spellStart"/>
            <w:r w:rsidRPr="00D159D0">
              <w:rPr>
                <w:b/>
                <w:lang w:val="uk-UA"/>
              </w:rPr>
              <w:t>проєкту</w:t>
            </w:r>
            <w:proofErr w:type="spellEnd"/>
            <w:r w:rsidRPr="00D159D0">
              <w:rPr>
                <w:b/>
                <w:lang w:val="uk-UA"/>
              </w:rPr>
              <w:t xml:space="preserve"> рішення НКРЕКП</w:t>
            </w:r>
          </w:p>
        </w:tc>
        <w:tc>
          <w:tcPr>
            <w:tcW w:w="3544" w:type="dxa"/>
            <w:vAlign w:val="center"/>
          </w:tcPr>
          <w:p w14:paraId="71D3D15B" w14:textId="77777777" w:rsidR="00A21622" w:rsidRPr="00D159D0" w:rsidRDefault="00A21622" w:rsidP="004976F9">
            <w:pPr>
              <w:jc w:val="center"/>
              <w:rPr>
                <w:b/>
                <w:bCs/>
                <w:lang w:val="uk-UA"/>
              </w:rPr>
            </w:pPr>
            <w:r w:rsidRPr="00D159D0">
              <w:rPr>
                <w:b/>
                <w:lang w:val="uk-UA"/>
              </w:rPr>
              <w:t>Попередня позиція НКРЕКП щодо наданих зауважень та пропозицій з обґрунтуваннями щодо прийняття або відхилення</w:t>
            </w:r>
          </w:p>
        </w:tc>
      </w:tr>
      <w:tr w:rsidR="00D159D0" w:rsidRPr="00D159D0" w14:paraId="6A366690" w14:textId="77777777" w:rsidTr="00EE26FC">
        <w:tc>
          <w:tcPr>
            <w:tcW w:w="15163" w:type="dxa"/>
            <w:gridSpan w:val="3"/>
          </w:tcPr>
          <w:p w14:paraId="136D7BE3" w14:textId="77777777" w:rsidR="00AD2A16" w:rsidRPr="00D159D0" w:rsidRDefault="00AD2A16" w:rsidP="004976F9">
            <w:pPr>
              <w:jc w:val="center"/>
              <w:rPr>
                <w:b/>
                <w:bCs/>
                <w:lang w:val="uk-UA"/>
              </w:rPr>
            </w:pPr>
            <w:r w:rsidRPr="00D159D0">
              <w:rPr>
                <w:b/>
                <w:i/>
                <w:lang w:val="uk-UA"/>
              </w:rPr>
              <w:t>постанова НКРЕ від 11.07.2013 № 899 «Про затвердження Порядку визначення регуляторної бази активів суб’єктів природних монополій у сфері електроенергетики»</w:t>
            </w:r>
          </w:p>
        </w:tc>
      </w:tr>
      <w:tr w:rsidR="00D159D0" w:rsidRPr="00F84FFC" w14:paraId="05B4B3F0" w14:textId="77777777" w:rsidTr="00EE26FC">
        <w:tc>
          <w:tcPr>
            <w:tcW w:w="5665" w:type="dxa"/>
          </w:tcPr>
          <w:p w14:paraId="44099DDF" w14:textId="77777777" w:rsidR="00AD2A16" w:rsidRPr="00D159D0" w:rsidRDefault="00AD2A16" w:rsidP="004976F9">
            <w:pPr>
              <w:ind w:firstLine="284"/>
              <w:jc w:val="both"/>
              <w:rPr>
                <w:b/>
                <w:bCs/>
                <w:shd w:val="clear" w:color="auto" w:fill="FFFFFF"/>
                <w:lang w:val="uk-UA"/>
              </w:rPr>
            </w:pPr>
            <w:r w:rsidRPr="00D159D0">
              <w:rPr>
                <w:b/>
                <w:bCs/>
                <w:shd w:val="clear" w:color="auto" w:fill="FFFFFF"/>
                <w:lang w:val="uk-UA"/>
              </w:rPr>
              <w:t>І. Загальні положення</w:t>
            </w:r>
          </w:p>
          <w:p w14:paraId="3FFA3BA5" w14:textId="77777777" w:rsidR="00AD2A16" w:rsidRPr="00D159D0" w:rsidRDefault="00AD2A16" w:rsidP="004976F9">
            <w:pPr>
              <w:ind w:firstLine="284"/>
              <w:jc w:val="both"/>
              <w:rPr>
                <w:shd w:val="clear" w:color="auto" w:fill="FFFFFF"/>
                <w:lang w:val="uk-UA"/>
              </w:rPr>
            </w:pPr>
            <w:r w:rsidRPr="00D159D0">
              <w:rPr>
                <w:shd w:val="clear" w:color="auto" w:fill="FFFFFF"/>
                <w:lang w:val="uk-UA"/>
              </w:rPr>
              <w:t>1.5. У цьому Порядку терміни вживаються у таких значеннях:</w:t>
            </w:r>
          </w:p>
          <w:p w14:paraId="7DCEF54A" w14:textId="77777777" w:rsidR="00AD2A16" w:rsidRPr="00D159D0" w:rsidRDefault="00AD2A16" w:rsidP="004976F9">
            <w:pPr>
              <w:ind w:firstLine="284"/>
              <w:jc w:val="both"/>
              <w:rPr>
                <w:lang w:val="uk-UA"/>
              </w:rPr>
            </w:pPr>
            <w:r w:rsidRPr="00D159D0">
              <w:rPr>
                <w:lang w:val="uk-UA"/>
              </w:rPr>
              <w:t>…</w:t>
            </w:r>
          </w:p>
          <w:p w14:paraId="07A51B9C" w14:textId="77777777" w:rsidR="00A21622" w:rsidRPr="00D159D0" w:rsidRDefault="00AD2A16" w:rsidP="004976F9">
            <w:pPr>
              <w:jc w:val="both"/>
              <w:rPr>
                <w:b/>
                <w:bCs/>
                <w:lang w:val="uk-UA"/>
              </w:rPr>
            </w:pPr>
            <w:r w:rsidRPr="00D159D0">
              <w:rPr>
                <w:shd w:val="clear" w:color="auto" w:fill="FFFFFF"/>
                <w:lang w:val="uk-UA"/>
              </w:rPr>
              <w:t xml:space="preserve">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 </w:t>
            </w:r>
            <w:r w:rsidRPr="00D159D0">
              <w:rPr>
                <w:b/>
                <w:shd w:val="clear" w:color="auto" w:fill="FFFFFF"/>
                <w:lang w:val="uk-UA"/>
              </w:rPr>
              <w:t xml:space="preserve">введенні </w:t>
            </w:r>
            <w:r w:rsidRPr="00D159D0">
              <w:rPr>
                <w:b/>
                <w:lang w:val="uk-UA"/>
              </w:rPr>
              <w:t xml:space="preserve">в експлуатацію </w:t>
            </w:r>
            <w:r w:rsidRPr="00D159D0">
              <w:rPr>
                <w:b/>
                <w:bCs/>
                <w:lang w:val="uk-UA"/>
              </w:rPr>
              <w:t>на підставі документів, що підтверджують факт та дату прийняття (встановлення) на баланс;</w:t>
            </w:r>
          </w:p>
        </w:tc>
        <w:tc>
          <w:tcPr>
            <w:tcW w:w="5954" w:type="dxa"/>
          </w:tcPr>
          <w:p w14:paraId="6420EFBC" w14:textId="77777777" w:rsidR="00A21622" w:rsidRPr="00D159D0" w:rsidRDefault="00040AF2" w:rsidP="004976F9">
            <w:pPr>
              <w:jc w:val="both"/>
              <w:rPr>
                <w:b/>
                <w:lang w:val="uk-UA"/>
              </w:rPr>
            </w:pPr>
            <w:r w:rsidRPr="00D159D0">
              <w:rPr>
                <w:b/>
                <w:lang w:val="uk-UA"/>
              </w:rPr>
              <w:t xml:space="preserve">ТОВ «ДТЕК ВИСОКОВОЛЬТНІ МЕРЕЖІ» лист від </w:t>
            </w:r>
            <w:r w:rsidR="007434FA" w:rsidRPr="00D159D0">
              <w:rPr>
                <w:b/>
                <w:lang w:val="uk-UA"/>
              </w:rPr>
              <w:t>17.07.2024 № 08-61/935</w:t>
            </w:r>
          </w:p>
          <w:p w14:paraId="5E99E4C0" w14:textId="77777777" w:rsidR="007434FA" w:rsidRPr="00D159D0" w:rsidRDefault="007434FA" w:rsidP="004976F9">
            <w:pPr>
              <w:jc w:val="both"/>
              <w:rPr>
                <w:b/>
                <w:lang w:val="uk-UA"/>
              </w:rPr>
            </w:pPr>
            <w:r w:rsidRPr="00D159D0">
              <w:rPr>
                <w:b/>
                <w:lang w:val="uk-UA"/>
              </w:rPr>
              <w:t>АТ «ДТЕК ДОНЕЦЬКІ ЕЛЕКТРОМЕРЕЖІ» лист від 17.07.2024 № 06/9956</w:t>
            </w:r>
          </w:p>
          <w:p w14:paraId="50E97157" w14:textId="77777777" w:rsidR="007434FA" w:rsidRPr="00D159D0" w:rsidRDefault="00127FBA" w:rsidP="004976F9">
            <w:pPr>
              <w:jc w:val="both"/>
              <w:rPr>
                <w:b/>
                <w:lang w:val="uk-UA"/>
              </w:rPr>
            </w:pPr>
            <w:r w:rsidRPr="00D159D0">
              <w:rPr>
                <w:b/>
                <w:lang w:val="uk-UA"/>
              </w:rPr>
              <w:t>ГC «Розумні електромережі лист від 17.07.2024 № 17-07/1</w:t>
            </w:r>
          </w:p>
          <w:p w14:paraId="5B38A9C6" w14:textId="77777777" w:rsidR="00C96D88" w:rsidRPr="00D159D0" w:rsidRDefault="00C96D88" w:rsidP="004976F9">
            <w:pPr>
              <w:jc w:val="both"/>
              <w:rPr>
                <w:b/>
                <w:lang w:val="uk-UA"/>
              </w:rPr>
            </w:pPr>
          </w:p>
          <w:p w14:paraId="26ADFD69" w14:textId="77777777" w:rsidR="00C60179" w:rsidRPr="00D159D0" w:rsidRDefault="00C60179" w:rsidP="00C60179">
            <w:pPr>
              <w:jc w:val="both"/>
              <w:rPr>
                <w:b/>
                <w:lang w:val="uk-UA"/>
              </w:rPr>
            </w:pPr>
            <w:r w:rsidRPr="00D159D0">
              <w:rPr>
                <w:b/>
                <w:lang w:val="uk-UA"/>
              </w:rPr>
              <w:t xml:space="preserve">Пропонується перенести абзац з п.2.13 в п.1.5 з уточненням. </w:t>
            </w:r>
          </w:p>
          <w:p w14:paraId="7BDF60B6" w14:textId="77777777" w:rsidR="007434FA" w:rsidRPr="00D159D0" w:rsidRDefault="007434FA" w:rsidP="004976F9">
            <w:pPr>
              <w:ind w:firstLine="284"/>
              <w:jc w:val="both"/>
              <w:rPr>
                <w:b/>
                <w:bCs/>
                <w:shd w:val="clear" w:color="auto" w:fill="FFFFFF"/>
                <w:lang w:val="uk-UA"/>
              </w:rPr>
            </w:pPr>
            <w:r w:rsidRPr="00D159D0">
              <w:rPr>
                <w:b/>
                <w:bCs/>
                <w:shd w:val="clear" w:color="auto" w:fill="FFFFFF"/>
                <w:lang w:val="uk-UA"/>
              </w:rPr>
              <w:t>І. Загальні положення</w:t>
            </w:r>
          </w:p>
          <w:p w14:paraId="438E0F77" w14:textId="77777777" w:rsidR="007434FA" w:rsidRPr="00D159D0" w:rsidRDefault="007434FA" w:rsidP="004976F9">
            <w:pPr>
              <w:ind w:firstLine="284"/>
              <w:jc w:val="both"/>
              <w:rPr>
                <w:shd w:val="clear" w:color="auto" w:fill="FFFFFF"/>
                <w:lang w:val="uk-UA"/>
              </w:rPr>
            </w:pPr>
            <w:r w:rsidRPr="00D159D0">
              <w:rPr>
                <w:shd w:val="clear" w:color="auto" w:fill="FFFFFF"/>
                <w:lang w:val="uk-UA"/>
              </w:rPr>
              <w:t>1.5. У цьому Порядку терміни вживаються у таких значеннях:</w:t>
            </w:r>
          </w:p>
          <w:p w14:paraId="3BF4310E" w14:textId="77777777" w:rsidR="007434FA" w:rsidRPr="00D159D0" w:rsidRDefault="007434FA" w:rsidP="004976F9">
            <w:pPr>
              <w:ind w:firstLine="284"/>
              <w:jc w:val="both"/>
              <w:rPr>
                <w:b/>
                <w:bCs/>
                <w:lang w:val="uk-UA"/>
              </w:rPr>
            </w:pPr>
            <w:r w:rsidRPr="00D159D0">
              <w:rPr>
                <w:b/>
                <w:bCs/>
                <w:lang w:val="uk-UA"/>
              </w:rPr>
              <w:t>…</w:t>
            </w:r>
          </w:p>
          <w:p w14:paraId="220AC459" w14:textId="77777777" w:rsidR="007434FA" w:rsidRPr="00D159D0" w:rsidRDefault="007434FA" w:rsidP="004976F9">
            <w:pPr>
              <w:ind w:firstLine="284"/>
              <w:jc w:val="both"/>
              <w:rPr>
                <w:b/>
                <w:bCs/>
                <w:lang w:val="uk-UA"/>
              </w:rPr>
            </w:pPr>
            <w:r w:rsidRPr="00D159D0">
              <w:rPr>
                <w:shd w:val="clear" w:color="auto" w:fill="FFFFFF"/>
                <w:lang w:val="uk-UA"/>
              </w:rPr>
              <w:t xml:space="preserve">створення активів – придбання, безоплатне отримання, нове будівництво, реконструкція, модернізація, добудова, технічне переобладнання, технічне переоснащення, дообладнання активів, які безпосередньо використовуються для провадження ліцензованої діяльності з розподілу електричної енергії, </w:t>
            </w:r>
            <w:r w:rsidRPr="00D159D0">
              <w:rPr>
                <w:b/>
                <w:shd w:val="clear" w:color="auto" w:fill="FFFFFF"/>
                <w:lang w:val="uk-UA"/>
              </w:rPr>
              <w:t xml:space="preserve">введенні </w:t>
            </w:r>
            <w:r w:rsidRPr="00D159D0">
              <w:rPr>
                <w:b/>
                <w:lang w:val="uk-UA"/>
              </w:rPr>
              <w:t xml:space="preserve">в експлуатацію </w:t>
            </w:r>
            <w:r w:rsidRPr="00D159D0">
              <w:rPr>
                <w:b/>
                <w:bCs/>
                <w:lang w:val="uk-UA"/>
              </w:rPr>
              <w:t>на підставі документів, що підтверджують факт та дату прийняття (встановлення) на баланс;</w:t>
            </w:r>
          </w:p>
          <w:p w14:paraId="121B5124" w14:textId="77777777" w:rsidR="007434FA" w:rsidRPr="00D159D0" w:rsidRDefault="007434FA" w:rsidP="004976F9">
            <w:pPr>
              <w:ind w:firstLine="284"/>
              <w:jc w:val="both"/>
              <w:rPr>
                <w:b/>
                <w:bCs/>
                <w:lang w:val="uk-UA"/>
              </w:rPr>
            </w:pPr>
          </w:p>
          <w:p w14:paraId="3D049E81" w14:textId="77777777" w:rsidR="007434FA" w:rsidRPr="00D159D0" w:rsidRDefault="007434FA" w:rsidP="004976F9">
            <w:pPr>
              <w:jc w:val="both"/>
              <w:rPr>
                <w:b/>
                <w:bCs/>
                <w:lang w:val="uk-UA"/>
              </w:rPr>
            </w:pPr>
            <w:r w:rsidRPr="00D159D0">
              <w:rPr>
                <w:b/>
                <w:bCs/>
                <w:lang w:val="uk-UA"/>
              </w:rPr>
              <w:t>Вартість створених активів (елементів активу)</w:t>
            </w:r>
            <w:r w:rsidRPr="00D159D0">
              <w:rPr>
                <w:lang w:val="uk-UA"/>
              </w:rPr>
              <w:t xml:space="preserve"> </w:t>
            </w:r>
            <w:r w:rsidRPr="00D159D0">
              <w:rPr>
                <w:b/>
                <w:bCs/>
                <w:lang w:val="uk-UA"/>
              </w:rPr>
              <w:t>отриманих на</w:t>
            </w:r>
            <w:r w:rsidRPr="00D159D0">
              <w:rPr>
                <w:lang w:val="uk-UA"/>
              </w:rPr>
              <w:t xml:space="preserve"> </w:t>
            </w:r>
            <w:r w:rsidRPr="00D159D0">
              <w:rPr>
                <w:b/>
                <w:bCs/>
                <w:lang w:val="uk-UA"/>
              </w:rPr>
              <w:t xml:space="preserve">безоплатній (безповоротній) основі (у </w:t>
            </w:r>
            <w:r w:rsidRPr="00D159D0">
              <w:rPr>
                <w:b/>
                <w:bCs/>
                <w:lang w:val="uk-UA"/>
              </w:rPr>
              <w:lastRenderedPageBreak/>
              <w:t>тому числі у рамках гуманітарної допомоги), визначається відповідно до первинної документації на дату її отримання або на підставі справедливої вартості відповідно до положень (стандартів) бухгалтерського обліку.</w:t>
            </w:r>
          </w:p>
          <w:p w14:paraId="75419F30" w14:textId="77777777" w:rsidR="007434FA" w:rsidRPr="00D159D0" w:rsidRDefault="007434FA" w:rsidP="004976F9">
            <w:pPr>
              <w:jc w:val="both"/>
              <w:rPr>
                <w:b/>
                <w:bCs/>
                <w:lang w:val="uk-UA"/>
              </w:rPr>
            </w:pPr>
          </w:p>
          <w:p w14:paraId="7184FCF4" w14:textId="77777777" w:rsidR="007434FA" w:rsidRPr="00D159D0" w:rsidRDefault="007434FA" w:rsidP="004976F9">
            <w:pPr>
              <w:jc w:val="both"/>
              <w:rPr>
                <w:i/>
                <w:iCs/>
                <w:shd w:val="clear" w:color="auto" w:fill="FFFFFF"/>
                <w:lang w:val="uk-UA"/>
              </w:rPr>
            </w:pPr>
            <w:r w:rsidRPr="00D159D0">
              <w:rPr>
                <w:i/>
                <w:iCs/>
                <w:shd w:val="clear" w:color="auto" w:fill="FFFFFF"/>
                <w:lang w:val="uk-UA"/>
              </w:rPr>
              <w:t xml:space="preserve">При цьому, вбачаємо за необхідне обмежитись вимогою достатності та необхідності щодо визначення вартості створених активів (елементів), що отримані на безоплатній основі відповідно до бухгалтерського обліку відповідно до положень чинного законодавства. </w:t>
            </w:r>
          </w:p>
          <w:p w14:paraId="2ABF5F52" w14:textId="77777777" w:rsidR="007434FA" w:rsidRPr="00D159D0" w:rsidRDefault="007434FA" w:rsidP="004976F9">
            <w:pPr>
              <w:jc w:val="both"/>
              <w:rPr>
                <w:b/>
                <w:bCs/>
                <w:lang w:val="uk-UA"/>
              </w:rPr>
            </w:pPr>
            <w:r w:rsidRPr="00D159D0">
              <w:rPr>
                <w:i/>
                <w:iCs/>
                <w:shd w:val="clear" w:color="auto" w:fill="FFFFFF"/>
                <w:lang w:val="uk-UA"/>
              </w:rPr>
              <w:t>Затвердження цієї вартості технічною комісією вбачається недоцільною.</w:t>
            </w:r>
          </w:p>
        </w:tc>
        <w:tc>
          <w:tcPr>
            <w:tcW w:w="3544" w:type="dxa"/>
          </w:tcPr>
          <w:p w14:paraId="0AB89CF7" w14:textId="77777777" w:rsidR="00A21622" w:rsidRPr="00D159D0" w:rsidRDefault="00CE111F" w:rsidP="004976F9">
            <w:pPr>
              <w:jc w:val="both"/>
              <w:rPr>
                <w:b/>
                <w:bCs/>
                <w:lang w:val="uk-UA"/>
              </w:rPr>
            </w:pPr>
            <w:r w:rsidRPr="00D159D0">
              <w:rPr>
                <w:b/>
                <w:bCs/>
                <w:lang w:val="uk-UA"/>
              </w:rPr>
              <w:lastRenderedPageBreak/>
              <w:t>Враховано</w:t>
            </w:r>
            <w:r w:rsidR="00AD0D78" w:rsidRPr="00D159D0">
              <w:rPr>
                <w:b/>
                <w:bCs/>
                <w:lang w:val="uk-UA"/>
              </w:rPr>
              <w:t xml:space="preserve"> частково</w:t>
            </w:r>
          </w:p>
          <w:p w14:paraId="676A70D7" w14:textId="03895D01" w:rsidR="00AD0D78" w:rsidRPr="00D159D0" w:rsidRDefault="00AD0D78" w:rsidP="004976F9">
            <w:pPr>
              <w:jc w:val="both"/>
              <w:rPr>
                <w:b/>
                <w:bCs/>
                <w:lang w:val="uk-UA"/>
              </w:rPr>
            </w:pPr>
            <w:r w:rsidRPr="00D159D0">
              <w:rPr>
                <w:b/>
                <w:bCs/>
                <w:lang w:val="uk-UA"/>
              </w:rPr>
              <w:t xml:space="preserve">Пропонується </w:t>
            </w:r>
            <w:r w:rsidR="00517DAF" w:rsidRPr="00D159D0">
              <w:rPr>
                <w:b/>
                <w:bCs/>
                <w:lang w:val="uk-UA"/>
              </w:rPr>
              <w:t>абзац</w:t>
            </w:r>
            <w:r w:rsidR="006B3AFE" w:rsidRPr="00D159D0">
              <w:rPr>
                <w:b/>
                <w:bCs/>
                <w:lang w:val="uk-UA"/>
              </w:rPr>
              <w:t>,</w:t>
            </w:r>
            <w:r w:rsidR="00517DAF" w:rsidRPr="00D159D0">
              <w:rPr>
                <w:b/>
                <w:bCs/>
                <w:lang w:val="uk-UA"/>
              </w:rPr>
              <w:t xml:space="preserve"> </w:t>
            </w:r>
            <w:r w:rsidRPr="00D159D0">
              <w:rPr>
                <w:b/>
                <w:bCs/>
                <w:lang w:val="uk-UA"/>
              </w:rPr>
              <w:t xml:space="preserve">перенесений </w:t>
            </w:r>
            <w:r w:rsidRPr="00D159D0">
              <w:rPr>
                <w:b/>
                <w:lang w:val="uk-UA"/>
              </w:rPr>
              <w:t>з п.2.13 в п.1.5</w:t>
            </w:r>
            <w:r w:rsidR="006B3AFE" w:rsidRPr="00D159D0">
              <w:rPr>
                <w:b/>
                <w:lang w:val="uk-UA"/>
              </w:rPr>
              <w:t>,</w:t>
            </w:r>
            <w:r w:rsidRPr="00D159D0">
              <w:rPr>
                <w:b/>
                <w:bCs/>
                <w:lang w:val="uk-UA"/>
              </w:rPr>
              <w:t xml:space="preserve"> залишити у редакції схваленого </w:t>
            </w:r>
            <w:proofErr w:type="spellStart"/>
            <w:r w:rsidR="00624A50" w:rsidRPr="00D159D0">
              <w:rPr>
                <w:b/>
                <w:bCs/>
                <w:lang w:val="uk-UA"/>
              </w:rPr>
              <w:t>П</w:t>
            </w:r>
            <w:r w:rsidRPr="00D159D0">
              <w:rPr>
                <w:b/>
                <w:bCs/>
                <w:lang w:val="uk-UA"/>
              </w:rPr>
              <w:t>роєкту</w:t>
            </w:r>
            <w:proofErr w:type="spellEnd"/>
            <w:r w:rsidR="00624A50" w:rsidRPr="00D159D0">
              <w:rPr>
                <w:b/>
                <w:bCs/>
                <w:lang w:val="uk-UA"/>
              </w:rPr>
              <w:t xml:space="preserve"> рішення</w:t>
            </w:r>
            <w:r w:rsidRPr="00D159D0">
              <w:rPr>
                <w:b/>
                <w:bCs/>
                <w:lang w:val="uk-UA"/>
              </w:rPr>
              <w:t>.</w:t>
            </w:r>
          </w:p>
          <w:p w14:paraId="0734DA97" w14:textId="77777777" w:rsidR="00AD0D78" w:rsidRPr="00D159D0" w:rsidRDefault="00AD0D78" w:rsidP="00AD0D78">
            <w:pPr>
              <w:pStyle w:val="tj"/>
              <w:spacing w:before="0" w:beforeAutospacing="0" w:after="0" w:afterAutospacing="0"/>
              <w:jc w:val="both"/>
              <w:rPr>
                <w:lang w:eastAsia="ru-RU"/>
              </w:rPr>
            </w:pPr>
            <w:r w:rsidRPr="00D159D0">
              <w:rPr>
                <w:lang w:eastAsia="ru-RU"/>
              </w:rPr>
              <w:t>«Вартість створених активів (елементів активу)</w:t>
            </w:r>
            <w:r w:rsidRPr="00D159D0">
              <w:t xml:space="preserve"> отриманих на </w:t>
            </w:r>
            <w:r w:rsidRPr="00D159D0">
              <w:rPr>
                <w:lang w:eastAsia="ru-RU"/>
              </w:rPr>
              <w:t xml:space="preserve">безоплатній (безповоротній) основі (у тому числі у рамках гуманітарної допомоги), визначається відповідно до первинної документації на дату її отримання або на підставі справедливої вартості відповідно до положень (стандартів) бухгалтерського обліку </w:t>
            </w:r>
            <w:r w:rsidRPr="00D159D0">
              <w:rPr>
                <w:u w:val="single"/>
                <w:lang w:eastAsia="ru-RU"/>
              </w:rPr>
              <w:t>та затверджується технічною комісією</w:t>
            </w:r>
            <w:r w:rsidRPr="00D159D0">
              <w:rPr>
                <w:lang w:eastAsia="ru-RU"/>
              </w:rPr>
              <w:t>.».</w:t>
            </w:r>
          </w:p>
          <w:p w14:paraId="11B2989E" w14:textId="77777777" w:rsidR="00AD0D78" w:rsidRPr="00D159D0" w:rsidRDefault="00AD0D78" w:rsidP="004976F9">
            <w:pPr>
              <w:jc w:val="both"/>
              <w:rPr>
                <w:lang w:val="uk-UA"/>
              </w:rPr>
            </w:pPr>
          </w:p>
          <w:p w14:paraId="0B959D00" w14:textId="77777777" w:rsidR="00AD0D78" w:rsidRPr="00D159D0" w:rsidRDefault="00AD0D78" w:rsidP="004976F9">
            <w:pPr>
              <w:jc w:val="both"/>
              <w:rPr>
                <w:b/>
                <w:bCs/>
                <w:lang w:val="uk-UA"/>
              </w:rPr>
            </w:pPr>
          </w:p>
        </w:tc>
      </w:tr>
      <w:tr w:rsidR="00D159D0" w:rsidRPr="00D159D0" w14:paraId="58A39751" w14:textId="77777777" w:rsidTr="00EE26FC">
        <w:tc>
          <w:tcPr>
            <w:tcW w:w="5665" w:type="dxa"/>
          </w:tcPr>
          <w:p w14:paraId="0067B4BD" w14:textId="77777777" w:rsidR="00EF2B55" w:rsidRPr="00D159D0" w:rsidRDefault="00EF2B55" w:rsidP="004976F9">
            <w:pPr>
              <w:pStyle w:val="Default"/>
              <w:jc w:val="both"/>
              <w:rPr>
                <w:b/>
                <w:color w:val="auto"/>
              </w:rPr>
            </w:pPr>
            <w:r w:rsidRPr="00D159D0">
              <w:rPr>
                <w:b/>
                <w:color w:val="auto"/>
              </w:rPr>
              <w:t>Зміни не пропонувались</w:t>
            </w:r>
          </w:p>
          <w:p w14:paraId="258D7321" w14:textId="77777777" w:rsidR="00EF2B55" w:rsidRPr="00D159D0" w:rsidRDefault="00EF2B55" w:rsidP="004976F9">
            <w:pPr>
              <w:pStyle w:val="Default"/>
              <w:jc w:val="both"/>
              <w:rPr>
                <w:color w:val="auto"/>
              </w:rPr>
            </w:pPr>
          </w:p>
          <w:p w14:paraId="3E8682DF" w14:textId="77777777" w:rsidR="00EF2B55" w:rsidRPr="00D159D0" w:rsidRDefault="00EF2B55" w:rsidP="004976F9">
            <w:pPr>
              <w:pStyle w:val="Default"/>
              <w:jc w:val="both"/>
              <w:rPr>
                <w:color w:val="auto"/>
              </w:rPr>
            </w:pPr>
          </w:p>
          <w:p w14:paraId="49576A9F" w14:textId="77777777" w:rsidR="00EF2B55" w:rsidRPr="00D159D0" w:rsidRDefault="00EF2B55" w:rsidP="004976F9">
            <w:pPr>
              <w:pStyle w:val="Default"/>
              <w:jc w:val="both"/>
              <w:rPr>
                <w:color w:val="auto"/>
              </w:rPr>
            </w:pPr>
          </w:p>
          <w:p w14:paraId="39A225C9" w14:textId="77777777" w:rsidR="00EF2B55" w:rsidRPr="00D159D0" w:rsidRDefault="00EF2B55" w:rsidP="004976F9">
            <w:pPr>
              <w:pStyle w:val="Default"/>
              <w:jc w:val="both"/>
              <w:rPr>
                <w:color w:val="auto"/>
              </w:rPr>
            </w:pPr>
          </w:p>
          <w:p w14:paraId="1C906990" w14:textId="77777777" w:rsidR="00127FBA" w:rsidRPr="00D159D0" w:rsidRDefault="00127FBA" w:rsidP="004976F9">
            <w:pPr>
              <w:pStyle w:val="Default"/>
              <w:jc w:val="both"/>
              <w:rPr>
                <w:color w:val="auto"/>
              </w:rPr>
            </w:pPr>
          </w:p>
          <w:p w14:paraId="6B2E6F1C" w14:textId="77777777" w:rsidR="00127FBA" w:rsidRPr="00D159D0" w:rsidRDefault="00127FBA" w:rsidP="004976F9">
            <w:pPr>
              <w:pStyle w:val="Default"/>
              <w:jc w:val="both"/>
              <w:rPr>
                <w:color w:val="auto"/>
              </w:rPr>
            </w:pPr>
          </w:p>
          <w:p w14:paraId="6F696F0B" w14:textId="77777777" w:rsidR="00EF2B55" w:rsidRPr="00D159D0" w:rsidRDefault="00EF2B55" w:rsidP="004976F9">
            <w:pPr>
              <w:pStyle w:val="Default"/>
              <w:jc w:val="both"/>
              <w:rPr>
                <w:color w:val="auto"/>
              </w:rPr>
            </w:pPr>
            <w:r w:rsidRPr="00D159D0">
              <w:rPr>
                <w:color w:val="auto"/>
              </w:rPr>
              <w:t xml:space="preserve">2.4. Не включаються до складу регуляторної бази активів, яка створена на дату переходу до стимулюючого регулювання: </w:t>
            </w:r>
          </w:p>
          <w:p w14:paraId="3AD5EC29" w14:textId="77777777" w:rsidR="00EF2B55" w:rsidRPr="00D159D0" w:rsidRDefault="00EF2B55" w:rsidP="004976F9">
            <w:pPr>
              <w:pStyle w:val="Default"/>
              <w:jc w:val="both"/>
              <w:rPr>
                <w:color w:val="auto"/>
              </w:rPr>
            </w:pPr>
            <w:r w:rsidRPr="00D159D0">
              <w:rPr>
                <w:color w:val="auto"/>
              </w:rPr>
              <w:t xml:space="preserve">земельні ділянки та речові права на них; </w:t>
            </w:r>
          </w:p>
          <w:p w14:paraId="3BD1C1C7" w14:textId="77777777" w:rsidR="00EF2B55" w:rsidRPr="00D159D0" w:rsidRDefault="00EF2B55" w:rsidP="004976F9">
            <w:pPr>
              <w:pStyle w:val="Default"/>
              <w:jc w:val="both"/>
              <w:rPr>
                <w:color w:val="auto"/>
              </w:rPr>
            </w:pPr>
            <w:r w:rsidRPr="00D159D0">
              <w:rPr>
                <w:color w:val="auto"/>
              </w:rPr>
              <w:t xml:space="preserve">невиробничі об'єкти необоротних активів (у тому числі об'єкти соціально-культурного призначення); </w:t>
            </w:r>
          </w:p>
          <w:p w14:paraId="7903C3CF" w14:textId="77777777" w:rsidR="00EF2B55" w:rsidRPr="00D159D0" w:rsidRDefault="00EF2B55" w:rsidP="004976F9">
            <w:pPr>
              <w:pStyle w:val="Default"/>
              <w:jc w:val="both"/>
              <w:rPr>
                <w:color w:val="auto"/>
              </w:rPr>
            </w:pPr>
            <w:r w:rsidRPr="00D159D0">
              <w:rPr>
                <w:color w:val="auto"/>
              </w:rPr>
              <w:t xml:space="preserve">об'єкти незавершених капітальних інвестицій; </w:t>
            </w:r>
          </w:p>
          <w:p w14:paraId="207BD835" w14:textId="77777777" w:rsidR="00EF2B55" w:rsidRPr="00D159D0" w:rsidRDefault="00EF2B55" w:rsidP="004976F9">
            <w:pPr>
              <w:pStyle w:val="Default"/>
              <w:jc w:val="both"/>
              <w:rPr>
                <w:color w:val="auto"/>
              </w:rPr>
            </w:pPr>
            <w:r w:rsidRPr="00D159D0">
              <w:rPr>
                <w:color w:val="auto"/>
              </w:rPr>
              <w:t xml:space="preserve">довгострокові фінансові інвестиції; </w:t>
            </w:r>
          </w:p>
          <w:p w14:paraId="4A223468" w14:textId="77777777" w:rsidR="00EF2B55" w:rsidRPr="00D159D0" w:rsidRDefault="00EF2B55" w:rsidP="004976F9">
            <w:pPr>
              <w:pStyle w:val="Default"/>
              <w:jc w:val="both"/>
              <w:rPr>
                <w:color w:val="auto"/>
              </w:rPr>
            </w:pPr>
            <w:r w:rsidRPr="00D159D0">
              <w:rPr>
                <w:color w:val="auto"/>
              </w:rPr>
              <w:t xml:space="preserve">довгострокові біологічні активи; </w:t>
            </w:r>
          </w:p>
          <w:p w14:paraId="1D415ABE" w14:textId="77777777" w:rsidR="00EF2B55" w:rsidRPr="00D159D0" w:rsidRDefault="00EF2B55" w:rsidP="004976F9">
            <w:pPr>
              <w:pStyle w:val="Default"/>
              <w:jc w:val="both"/>
              <w:rPr>
                <w:color w:val="auto"/>
              </w:rPr>
            </w:pPr>
            <w:r w:rsidRPr="00D159D0">
              <w:rPr>
                <w:color w:val="auto"/>
              </w:rPr>
              <w:t xml:space="preserve">довгострокова дебіторська заборгованість; </w:t>
            </w:r>
          </w:p>
          <w:p w14:paraId="6F42E025" w14:textId="77777777" w:rsidR="00EF2B55" w:rsidRPr="00D159D0" w:rsidRDefault="00EF2B55" w:rsidP="004976F9">
            <w:pPr>
              <w:pStyle w:val="Default"/>
              <w:jc w:val="both"/>
              <w:rPr>
                <w:color w:val="auto"/>
              </w:rPr>
            </w:pPr>
            <w:r w:rsidRPr="00D159D0">
              <w:rPr>
                <w:color w:val="auto"/>
              </w:rPr>
              <w:t xml:space="preserve">відстрочені податкові активи; </w:t>
            </w:r>
          </w:p>
          <w:p w14:paraId="739DE353" w14:textId="77777777" w:rsidR="00EF2B55" w:rsidRPr="00D159D0" w:rsidRDefault="00EF2B55" w:rsidP="004976F9">
            <w:pPr>
              <w:pStyle w:val="Default"/>
              <w:jc w:val="both"/>
              <w:rPr>
                <w:color w:val="auto"/>
              </w:rPr>
            </w:pPr>
            <w:r w:rsidRPr="00D159D0">
              <w:rPr>
                <w:color w:val="auto"/>
              </w:rPr>
              <w:t xml:space="preserve">інші необоротні активи; </w:t>
            </w:r>
          </w:p>
          <w:p w14:paraId="0B26D8F9" w14:textId="77777777" w:rsidR="00EF2B55" w:rsidRPr="00D159D0" w:rsidRDefault="00EF2B55" w:rsidP="004976F9">
            <w:pPr>
              <w:pStyle w:val="Default"/>
              <w:pageBreakBefore/>
              <w:jc w:val="both"/>
              <w:rPr>
                <w:color w:val="auto"/>
              </w:rPr>
            </w:pPr>
            <w:r w:rsidRPr="00D159D0">
              <w:rPr>
                <w:color w:val="auto"/>
              </w:rPr>
              <w:t xml:space="preserve">оборотні активи; </w:t>
            </w:r>
          </w:p>
          <w:p w14:paraId="6C5E78A2" w14:textId="77777777" w:rsidR="00EF2B55" w:rsidRPr="00D159D0" w:rsidRDefault="00EF2B55" w:rsidP="004976F9">
            <w:pPr>
              <w:jc w:val="both"/>
              <w:rPr>
                <w:lang w:val="uk-UA"/>
              </w:rPr>
            </w:pPr>
            <w:r w:rsidRPr="00D159D0">
              <w:rPr>
                <w:lang w:val="uk-UA"/>
              </w:rPr>
              <w:t>витрати майбутніх періодів.</w:t>
            </w:r>
          </w:p>
        </w:tc>
        <w:tc>
          <w:tcPr>
            <w:tcW w:w="5954" w:type="dxa"/>
          </w:tcPr>
          <w:p w14:paraId="7F46D72F" w14:textId="77777777" w:rsidR="00EF2B55" w:rsidRPr="00D159D0" w:rsidRDefault="00EF2B55" w:rsidP="004976F9">
            <w:pPr>
              <w:jc w:val="both"/>
              <w:rPr>
                <w:b/>
                <w:lang w:val="uk-UA"/>
              </w:rPr>
            </w:pPr>
            <w:r w:rsidRPr="00D159D0">
              <w:rPr>
                <w:b/>
                <w:lang w:val="uk-UA"/>
              </w:rPr>
              <w:t>ТОВ «ДТЕК ВИСОКОВОЛЬТНІ МЕРЕЖІ» лист від 17.07.2024 № 08-61/935</w:t>
            </w:r>
          </w:p>
          <w:p w14:paraId="5BBA1B7C" w14:textId="77777777" w:rsidR="00EF2B55" w:rsidRPr="00D159D0" w:rsidRDefault="00EF2B55" w:rsidP="004976F9">
            <w:pPr>
              <w:jc w:val="both"/>
              <w:rPr>
                <w:b/>
                <w:lang w:val="uk-UA"/>
              </w:rPr>
            </w:pPr>
            <w:r w:rsidRPr="00D159D0">
              <w:rPr>
                <w:b/>
                <w:lang w:val="uk-UA"/>
              </w:rPr>
              <w:t>АТ «ДТЕК ДОНЕЦЬКІ ЕЛЕКТРОМЕРЕЖІ» лист від 17.07.2024 № 06/9956</w:t>
            </w:r>
          </w:p>
          <w:p w14:paraId="0DBD562B" w14:textId="77777777" w:rsidR="00127FBA" w:rsidRPr="00D159D0" w:rsidRDefault="00127FBA" w:rsidP="00127FBA">
            <w:pPr>
              <w:jc w:val="both"/>
              <w:rPr>
                <w:b/>
                <w:lang w:val="uk-UA"/>
              </w:rPr>
            </w:pPr>
            <w:r w:rsidRPr="00D159D0">
              <w:rPr>
                <w:b/>
                <w:lang w:val="uk-UA"/>
              </w:rPr>
              <w:t>ГC «Розумні електромережі лист від 17.07.2024 № 17-07/1</w:t>
            </w:r>
          </w:p>
          <w:p w14:paraId="339F553C" w14:textId="77777777" w:rsidR="00EF2B55" w:rsidRPr="00D159D0" w:rsidRDefault="00EF2B55" w:rsidP="004976F9">
            <w:pPr>
              <w:jc w:val="both"/>
              <w:rPr>
                <w:b/>
                <w:bCs/>
                <w:lang w:val="uk-UA"/>
              </w:rPr>
            </w:pPr>
          </w:p>
          <w:p w14:paraId="0295BFAF" w14:textId="77777777" w:rsidR="00EF2B55" w:rsidRPr="00D159D0" w:rsidRDefault="00EF2B55" w:rsidP="004976F9">
            <w:pPr>
              <w:pStyle w:val="Default"/>
              <w:jc w:val="both"/>
              <w:rPr>
                <w:color w:val="auto"/>
              </w:rPr>
            </w:pPr>
            <w:r w:rsidRPr="00D159D0">
              <w:rPr>
                <w:color w:val="auto"/>
              </w:rPr>
              <w:t xml:space="preserve">2.4. Не включаються до складу регуляторної бази активів, яка створена на дату переходу до стимулюючого регулювання: </w:t>
            </w:r>
          </w:p>
          <w:p w14:paraId="45E74ABB" w14:textId="77777777" w:rsidR="00EF2B55" w:rsidRPr="00D159D0" w:rsidRDefault="00EF2B55" w:rsidP="004976F9">
            <w:pPr>
              <w:pStyle w:val="Default"/>
              <w:jc w:val="both"/>
              <w:rPr>
                <w:color w:val="auto"/>
              </w:rPr>
            </w:pPr>
            <w:r w:rsidRPr="00D159D0">
              <w:rPr>
                <w:color w:val="auto"/>
              </w:rPr>
              <w:t xml:space="preserve">земельні ділянки та речові права на них; </w:t>
            </w:r>
          </w:p>
          <w:p w14:paraId="552ABD94" w14:textId="77777777" w:rsidR="00EF2B55" w:rsidRPr="00D159D0" w:rsidRDefault="00EF2B55" w:rsidP="004976F9">
            <w:pPr>
              <w:pStyle w:val="Default"/>
              <w:jc w:val="both"/>
              <w:rPr>
                <w:color w:val="auto"/>
              </w:rPr>
            </w:pPr>
            <w:r w:rsidRPr="00D159D0">
              <w:rPr>
                <w:color w:val="auto"/>
              </w:rPr>
              <w:t xml:space="preserve">невиробничі об'єкти необоротних активів (у тому числі об'єкти соціально-культурного призначення); </w:t>
            </w:r>
          </w:p>
          <w:p w14:paraId="63B7B8D8" w14:textId="77777777" w:rsidR="00EF2B55" w:rsidRPr="00D159D0" w:rsidRDefault="00EF2B55" w:rsidP="004976F9">
            <w:pPr>
              <w:pStyle w:val="Default"/>
              <w:jc w:val="both"/>
              <w:rPr>
                <w:color w:val="auto"/>
              </w:rPr>
            </w:pPr>
            <w:r w:rsidRPr="00D159D0">
              <w:rPr>
                <w:color w:val="auto"/>
              </w:rPr>
              <w:t xml:space="preserve">об'єкти незавершених капітальних інвестицій; </w:t>
            </w:r>
          </w:p>
          <w:p w14:paraId="1A3B2DC2" w14:textId="77777777" w:rsidR="00EF2B55" w:rsidRPr="00D159D0" w:rsidRDefault="00EF2B55" w:rsidP="004976F9">
            <w:pPr>
              <w:pStyle w:val="Default"/>
              <w:jc w:val="both"/>
              <w:rPr>
                <w:color w:val="auto"/>
              </w:rPr>
            </w:pPr>
            <w:r w:rsidRPr="00D159D0">
              <w:rPr>
                <w:color w:val="auto"/>
              </w:rPr>
              <w:t xml:space="preserve">довгострокові фінансові інвестиції; </w:t>
            </w:r>
          </w:p>
          <w:p w14:paraId="6B57258B" w14:textId="77777777" w:rsidR="00EF2B55" w:rsidRPr="00D159D0" w:rsidRDefault="00EF2B55" w:rsidP="004976F9">
            <w:pPr>
              <w:pStyle w:val="Default"/>
              <w:jc w:val="both"/>
              <w:rPr>
                <w:color w:val="auto"/>
              </w:rPr>
            </w:pPr>
            <w:r w:rsidRPr="00D159D0">
              <w:rPr>
                <w:color w:val="auto"/>
              </w:rPr>
              <w:t xml:space="preserve">довгострокові біологічні активи; </w:t>
            </w:r>
          </w:p>
          <w:p w14:paraId="09483CEF" w14:textId="77777777" w:rsidR="00EF2B55" w:rsidRPr="00D159D0" w:rsidRDefault="00EF2B55" w:rsidP="004976F9">
            <w:pPr>
              <w:pStyle w:val="Default"/>
              <w:jc w:val="both"/>
              <w:rPr>
                <w:color w:val="auto"/>
              </w:rPr>
            </w:pPr>
            <w:r w:rsidRPr="00D159D0">
              <w:rPr>
                <w:color w:val="auto"/>
              </w:rPr>
              <w:t xml:space="preserve">довгострокова дебіторська заборгованість; </w:t>
            </w:r>
          </w:p>
          <w:p w14:paraId="335664FB" w14:textId="77777777" w:rsidR="00EF2B55" w:rsidRPr="00D159D0" w:rsidRDefault="00EF2B55" w:rsidP="004976F9">
            <w:pPr>
              <w:pStyle w:val="Default"/>
              <w:jc w:val="both"/>
              <w:rPr>
                <w:color w:val="auto"/>
              </w:rPr>
            </w:pPr>
            <w:r w:rsidRPr="00D159D0">
              <w:rPr>
                <w:color w:val="auto"/>
              </w:rPr>
              <w:t xml:space="preserve">відстрочені податкові активи; </w:t>
            </w:r>
          </w:p>
          <w:p w14:paraId="146CC7F4" w14:textId="77777777" w:rsidR="00EF2B55" w:rsidRPr="00D159D0" w:rsidRDefault="00EF2B55" w:rsidP="004976F9">
            <w:pPr>
              <w:pStyle w:val="Default"/>
              <w:jc w:val="both"/>
              <w:rPr>
                <w:color w:val="auto"/>
              </w:rPr>
            </w:pPr>
            <w:r w:rsidRPr="00D159D0">
              <w:rPr>
                <w:color w:val="auto"/>
              </w:rPr>
              <w:t xml:space="preserve">інші необоротні активи; </w:t>
            </w:r>
          </w:p>
          <w:p w14:paraId="2C3F9C28" w14:textId="77777777" w:rsidR="00EF2B55" w:rsidRPr="00D159D0" w:rsidRDefault="00EF2B55" w:rsidP="004976F9">
            <w:pPr>
              <w:pStyle w:val="Default"/>
              <w:pageBreakBefore/>
              <w:jc w:val="both"/>
              <w:rPr>
                <w:color w:val="auto"/>
              </w:rPr>
            </w:pPr>
            <w:r w:rsidRPr="00D159D0">
              <w:rPr>
                <w:color w:val="auto"/>
              </w:rPr>
              <w:t xml:space="preserve">оборотні активи; </w:t>
            </w:r>
          </w:p>
          <w:p w14:paraId="1F566D12" w14:textId="77777777" w:rsidR="00EF2B55" w:rsidRPr="00D159D0" w:rsidRDefault="00EF2B55" w:rsidP="004976F9">
            <w:pPr>
              <w:jc w:val="both"/>
              <w:rPr>
                <w:lang w:val="uk-UA"/>
              </w:rPr>
            </w:pPr>
            <w:r w:rsidRPr="00D159D0">
              <w:rPr>
                <w:lang w:val="uk-UA"/>
              </w:rPr>
              <w:t>витрати майбутніх періодів;</w:t>
            </w:r>
          </w:p>
          <w:p w14:paraId="51A30A67" w14:textId="77777777" w:rsidR="00EF2B55" w:rsidRPr="00D159D0" w:rsidRDefault="00EF2B55" w:rsidP="004976F9">
            <w:pPr>
              <w:jc w:val="both"/>
              <w:rPr>
                <w:lang w:val="uk-UA"/>
              </w:rPr>
            </w:pPr>
            <w:r w:rsidRPr="00D159D0">
              <w:rPr>
                <w:b/>
                <w:bCs/>
                <w:lang w:val="uk-UA"/>
              </w:rPr>
              <w:lastRenderedPageBreak/>
              <w:t>активи, що розташовані на тимчасово окупованих територіях України</w:t>
            </w:r>
            <w:r w:rsidRPr="00D159D0">
              <w:rPr>
                <w:lang w:val="uk-UA"/>
              </w:rPr>
              <w:t>.</w:t>
            </w:r>
          </w:p>
          <w:p w14:paraId="76D2FA77" w14:textId="77777777" w:rsidR="00EF2B55" w:rsidRPr="00D159D0" w:rsidRDefault="00EF2B55" w:rsidP="004976F9">
            <w:pPr>
              <w:jc w:val="both"/>
              <w:rPr>
                <w:b/>
                <w:bCs/>
                <w:i/>
                <w:iCs/>
                <w:lang w:val="uk-UA"/>
              </w:rPr>
            </w:pPr>
          </w:p>
          <w:p w14:paraId="16DF9A66" w14:textId="77777777" w:rsidR="00EF2B55" w:rsidRPr="00D159D0" w:rsidRDefault="00EF2B55" w:rsidP="004976F9">
            <w:pPr>
              <w:jc w:val="both"/>
              <w:rPr>
                <w:b/>
                <w:bCs/>
                <w:lang w:val="uk-UA"/>
              </w:rPr>
            </w:pPr>
            <w:r w:rsidRPr="00D159D0">
              <w:rPr>
                <w:i/>
                <w:iCs/>
                <w:shd w:val="clear" w:color="auto" w:fill="FFFFFF"/>
                <w:lang w:val="uk-UA"/>
              </w:rPr>
              <w:t xml:space="preserve">Для операторів систем розподілу, над частиною територій діяльності яких тимчасово втрачено контроль, пропонується розглянути підхід щодо виключення з РБА таких ОСР </w:t>
            </w:r>
            <w:r w:rsidRPr="00D159D0">
              <w:rPr>
                <w:i/>
                <w:iCs/>
                <w:lang w:val="uk-UA"/>
              </w:rPr>
              <w:t>активів, що розташовані на території тимчасової втрати контролю, за умови застосування до таких ОСР загальних підходів під час перегляду тарифів (застосування актуальних обсягів розподілу, розрахунку ЕКПТВЕ на базі реальних обсягів розподілу, підходів щодо повернення в тариф недоотриманого доходу тощо).</w:t>
            </w:r>
          </w:p>
        </w:tc>
        <w:tc>
          <w:tcPr>
            <w:tcW w:w="3544" w:type="dxa"/>
          </w:tcPr>
          <w:p w14:paraId="7D63A09F" w14:textId="77777777" w:rsidR="007269D1" w:rsidRPr="00D159D0" w:rsidRDefault="007269D1" w:rsidP="007269D1">
            <w:pPr>
              <w:widowControl w:val="0"/>
              <w:suppressAutoHyphens/>
              <w:contextualSpacing/>
              <w:jc w:val="both"/>
              <w:rPr>
                <w:b/>
                <w:bCs/>
                <w:lang w:val="uk-UA"/>
              </w:rPr>
            </w:pPr>
            <w:r w:rsidRPr="00D159D0">
              <w:rPr>
                <w:b/>
                <w:bCs/>
                <w:lang w:val="uk-UA"/>
              </w:rPr>
              <w:lastRenderedPageBreak/>
              <w:t>Не враховується</w:t>
            </w:r>
          </w:p>
          <w:p w14:paraId="7215FC0E" w14:textId="21969D04" w:rsidR="007269D1" w:rsidRPr="00D159D0" w:rsidRDefault="007269D1" w:rsidP="007269D1">
            <w:pPr>
              <w:jc w:val="both"/>
              <w:rPr>
                <w:b/>
                <w:lang w:val="uk-UA"/>
              </w:rPr>
            </w:pPr>
            <w:r w:rsidRPr="00D159D0">
              <w:rPr>
                <w:b/>
                <w:lang w:val="uk-UA"/>
              </w:rPr>
              <w:t xml:space="preserve">Зміни </w:t>
            </w:r>
            <w:r w:rsidR="00624A50" w:rsidRPr="00D159D0">
              <w:rPr>
                <w:b/>
                <w:lang w:val="uk-UA"/>
              </w:rPr>
              <w:t xml:space="preserve">до пункту 2.4 </w:t>
            </w:r>
            <w:proofErr w:type="spellStart"/>
            <w:r w:rsidRPr="00D159D0">
              <w:rPr>
                <w:b/>
                <w:lang w:val="uk-UA"/>
              </w:rPr>
              <w:t>Проєкт</w:t>
            </w:r>
            <w:r w:rsidR="00624A50" w:rsidRPr="00D159D0">
              <w:rPr>
                <w:b/>
                <w:lang w:val="uk-UA"/>
              </w:rPr>
              <w:t>у</w:t>
            </w:r>
            <w:proofErr w:type="spellEnd"/>
            <w:r w:rsidRPr="00D159D0">
              <w:rPr>
                <w:b/>
                <w:lang w:val="uk-UA"/>
              </w:rPr>
              <w:t xml:space="preserve"> постанови не передбачались</w:t>
            </w:r>
          </w:p>
          <w:p w14:paraId="43B506DC" w14:textId="77777777" w:rsidR="00621C5E" w:rsidRPr="00D159D0" w:rsidRDefault="007269D1" w:rsidP="007269D1">
            <w:pPr>
              <w:jc w:val="both"/>
              <w:rPr>
                <w:lang w:val="uk-UA"/>
              </w:rPr>
            </w:pPr>
            <w:r w:rsidRPr="00D159D0">
              <w:rPr>
                <w:b/>
                <w:lang w:val="uk-UA"/>
              </w:rPr>
              <w:t xml:space="preserve">Пропонується </w:t>
            </w:r>
            <w:r w:rsidRPr="00D159D0">
              <w:rPr>
                <w:lang w:val="uk-UA"/>
              </w:rPr>
              <w:t xml:space="preserve">розглянути запропоновані пропозиції під </w:t>
            </w:r>
          </w:p>
          <w:p w14:paraId="30731140" w14:textId="0A850590" w:rsidR="007269D1" w:rsidRPr="00D159D0" w:rsidRDefault="00621C5E" w:rsidP="007269D1">
            <w:pPr>
              <w:jc w:val="both"/>
              <w:rPr>
                <w:lang w:val="uk-UA"/>
              </w:rPr>
            </w:pPr>
            <w:r w:rsidRPr="00D159D0">
              <w:rPr>
                <w:lang w:val="uk-UA"/>
              </w:rPr>
              <w:t xml:space="preserve">час формування окремого блоку чергових змін </w:t>
            </w:r>
            <w:r w:rsidR="007269D1" w:rsidRPr="00D159D0">
              <w:rPr>
                <w:lang w:val="uk-UA"/>
              </w:rPr>
              <w:t>до Порядку</w:t>
            </w:r>
            <w:r w:rsidRPr="00D159D0">
              <w:rPr>
                <w:lang w:val="uk-UA"/>
              </w:rPr>
              <w:t>.</w:t>
            </w:r>
          </w:p>
          <w:p w14:paraId="708A1C11" w14:textId="77777777" w:rsidR="007269D1" w:rsidRPr="00D159D0" w:rsidRDefault="007269D1" w:rsidP="0020724C">
            <w:pPr>
              <w:jc w:val="both"/>
              <w:rPr>
                <w:bCs/>
                <w:lang w:val="uk-UA"/>
              </w:rPr>
            </w:pPr>
          </w:p>
          <w:p w14:paraId="683F1F60" w14:textId="77777777" w:rsidR="00EF2B55" w:rsidRPr="00D159D0" w:rsidRDefault="00EF2B55" w:rsidP="004976F9">
            <w:pPr>
              <w:jc w:val="both"/>
              <w:rPr>
                <w:b/>
                <w:bCs/>
                <w:lang w:val="uk-UA"/>
              </w:rPr>
            </w:pPr>
          </w:p>
        </w:tc>
      </w:tr>
      <w:tr w:rsidR="00D159D0" w:rsidRPr="00D159D0" w14:paraId="4C2AA1C5" w14:textId="77777777" w:rsidTr="00EE26FC">
        <w:tc>
          <w:tcPr>
            <w:tcW w:w="5665" w:type="dxa"/>
          </w:tcPr>
          <w:p w14:paraId="16F0D86B" w14:textId="77777777" w:rsidR="00127FBA" w:rsidRPr="00D159D0" w:rsidRDefault="00127FBA" w:rsidP="004976F9">
            <w:pPr>
              <w:pStyle w:val="tj"/>
              <w:spacing w:before="0" w:beforeAutospacing="0" w:after="0" w:afterAutospacing="0"/>
              <w:jc w:val="both"/>
              <w:rPr>
                <w:lang w:eastAsia="ru-RU"/>
              </w:rPr>
            </w:pPr>
            <w:r w:rsidRPr="00D159D0">
              <w:t xml:space="preserve">2.5. Об'єкти незавершених капітальних </w:t>
            </w:r>
            <w:r w:rsidRPr="00D159D0">
              <w:rPr>
                <w:b/>
              </w:rPr>
              <w:t>інвестицій</w:t>
            </w:r>
            <w:r w:rsidRPr="00D159D0">
              <w:rPr>
                <w:b/>
                <w:bCs/>
              </w:rPr>
              <w:t xml:space="preserve"> (що враховують зокрема </w:t>
            </w:r>
            <w:proofErr w:type="spellStart"/>
            <w:r w:rsidRPr="00D159D0">
              <w:rPr>
                <w:b/>
                <w:bCs/>
              </w:rPr>
              <w:t>проєктно</w:t>
            </w:r>
            <w:proofErr w:type="spellEnd"/>
            <w:r w:rsidRPr="00D159D0">
              <w:rPr>
                <w:b/>
                <w:bCs/>
              </w:rPr>
              <w:t xml:space="preserve">-кошторисну документацію з виконання відповідних робіт та </w:t>
            </w:r>
            <w:proofErr w:type="spellStart"/>
            <w:r w:rsidRPr="00D159D0">
              <w:rPr>
                <w:b/>
                <w:bCs/>
              </w:rPr>
              <w:t>проєктно</w:t>
            </w:r>
            <w:proofErr w:type="spellEnd"/>
            <w:r w:rsidRPr="00D159D0">
              <w:rPr>
                <w:b/>
                <w:bCs/>
              </w:rPr>
              <w:t xml:space="preserve">-вишукувальні роботи), вартість </w:t>
            </w:r>
            <w:r w:rsidRPr="00D159D0">
              <w:t xml:space="preserve">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w:t>
            </w:r>
            <w:r w:rsidRPr="00D159D0">
              <w:rPr>
                <w:b/>
              </w:rPr>
              <w:t>у</w:t>
            </w:r>
            <w:r w:rsidRPr="00D159D0">
              <w:t xml:space="preserve"> році, що передував року впровадження стимулюючого регулювання, але при цьому не були включені в цьому самому році до складу регуляторної бази активів, яка створена на дату переходу до стимулюючого регулювання, можуть бути включені до неї (</w:t>
            </w:r>
            <w:r w:rsidRPr="00D159D0">
              <w:rPr>
                <w:b/>
              </w:rPr>
              <w:t>у рамках</w:t>
            </w:r>
            <w:r w:rsidRPr="00D159D0">
              <w:t xml:space="preserve"> </w:t>
            </w:r>
            <w:r w:rsidRPr="00D159D0">
              <w:rPr>
                <w:b/>
              </w:rPr>
              <w:t xml:space="preserve">створення активів) </w:t>
            </w:r>
            <w:r w:rsidRPr="00D159D0">
              <w:t>у році, наступному після року їх введення в експлуатацію.</w:t>
            </w:r>
          </w:p>
        </w:tc>
        <w:tc>
          <w:tcPr>
            <w:tcW w:w="5954" w:type="dxa"/>
          </w:tcPr>
          <w:p w14:paraId="30AB3A1E" w14:textId="77777777" w:rsidR="00127FBA" w:rsidRPr="00D159D0" w:rsidRDefault="00127FBA" w:rsidP="00127FBA">
            <w:pPr>
              <w:jc w:val="both"/>
              <w:rPr>
                <w:b/>
                <w:lang w:val="uk-UA"/>
              </w:rPr>
            </w:pPr>
            <w:r w:rsidRPr="00D159D0">
              <w:rPr>
                <w:b/>
                <w:lang w:val="uk-UA"/>
              </w:rPr>
              <w:t>ГC «Розумні електромережі лист від 17.07.2024 № 17-07/1</w:t>
            </w:r>
          </w:p>
          <w:p w14:paraId="33E1620C" w14:textId="77777777" w:rsidR="00127FBA" w:rsidRPr="00D159D0" w:rsidRDefault="00127FBA" w:rsidP="004976F9">
            <w:pPr>
              <w:jc w:val="both"/>
              <w:rPr>
                <w:b/>
                <w:lang w:val="uk-UA"/>
              </w:rPr>
            </w:pPr>
            <w:r w:rsidRPr="00D159D0">
              <w:rPr>
                <w:lang w:val="uk-UA"/>
              </w:rPr>
              <w:t>2.5. Об'єкти незавершених капітальних інвестицій</w:t>
            </w:r>
            <w:r w:rsidRPr="00D159D0">
              <w:rPr>
                <w:bCs/>
                <w:lang w:val="uk-UA"/>
              </w:rPr>
              <w:t xml:space="preserve"> (що враховують зокрема </w:t>
            </w:r>
            <w:proofErr w:type="spellStart"/>
            <w:r w:rsidRPr="00D159D0">
              <w:rPr>
                <w:bCs/>
                <w:lang w:val="uk-UA"/>
              </w:rPr>
              <w:t>проєктно</w:t>
            </w:r>
            <w:proofErr w:type="spellEnd"/>
            <w:r w:rsidRPr="00D159D0">
              <w:rPr>
                <w:bCs/>
                <w:lang w:val="uk-UA"/>
              </w:rPr>
              <w:t xml:space="preserve">-кошторисну документацію з виконання відповідних робіт, </w:t>
            </w:r>
            <w:proofErr w:type="spellStart"/>
            <w:r w:rsidRPr="00D159D0">
              <w:rPr>
                <w:bCs/>
                <w:lang w:val="uk-UA"/>
              </w:rPr>
              <w:t>проєктно</w:t>
            </w:r>
            <w:proofErr w:type="spellEnd"/>
            <w:r w:rsidRPr="00D159D0">
              <w:rPr>
                <w:bCs/>
                <w:lang w:val="uk-UA"/>
              </w:rPr>
              <w:t xml:space="preserve">-вишукувальні роботи </w:t>
            </w:r>
            <w:r w:rsidRPr="00D159D0">
              <w:rPr>
                <w:b/>
                <w:bCs/>
                <w:lang w:val="uk-UA"/>
              </w:rPr>
              <w:t xml:space="preserve">та землевпорядну документацію), вартість </w:t>
            </w:r>
            <w:r w:rsidRPr="00D159D0">
              <w:rPr>
                <w:lang w:val="uk-UA"/>
              </w:rPr>
              <w:t xml:space="preserve">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w:t>
            </w:r>
            <w:r w:rsidRPr="00D159D0">
              <w:rPr>
                <w:b/>
                <w:lang w:val="uk-UA"/>
              </w:rPr>
              <w:t>у</w:t>
            </w:r>
            <w:r w:rsidRPr="00D159D0">
              <w:rPr>
                <w:lang w:val="uk-UA"/>
              </w:rPr>
              <w:t xml:space="preserve"> році, що передував року впровадження стимулюючого регулювання, але при цьому не були включені в цьому самому році до складу регуляторної бази активів, яка створена на дату переходу до стимулюючого регулювання, можуть бути включені до неї (</w:t>
            </w:r>
            <w:r w:rsidRPr="00D159D0">
              <w:rPr>
                <w:b/>
                <w:lang w:val="uk-UA"/>
              </w:rPr>
              <w:t>у рамках</w:t>
            </w:r>
            <w:r w:rsidRPr="00D159D0">
              <w:rPr>
                <w:lang w:val="uk-UA"/>
              </w:rPr>
              <w:t xml:space="preserve"> </w:t>
            </w:r>
            <w:r w:rsidRPr="00D159D0">
              <w:rPr>
                <w:b/>
                <w:lang w:val="uk-UA"/>
              </w:rPr>
              <w:t xml:space="preserve">створення активів) </w:t>
            </w:r>
            <w:r w:rsidRPr="00D159D0">
              <w:rPr>
                <w:lang w:val="uk-UA"/>
              </w:rPr>
              <w:t>у році, наступному після року їх введення в експлуатацію.</w:t>
            </w:r>
          </w:p>
        </w:tc>
        <w:tc>
          <w:tcPr>
            <w:tcW w:w="3544" w:type="dxa"/>
          </w:tcPr>
          <w:p w14:paraId="687B3555" w14:textId="77777777" w:rsidR="00127FBA" w:rsidRPr="00D159D0" w:rsidRDefault="001A7851" w:rsidP="004976F9">
            <w:pPr>
              <w:jc w:val="both"/>
              <w:rPr>
                <w:b/>
                <w:bCs/>
                <w:lang w:val="uk-UA"/>
              </w:rPr>
            </w:pPr>
            <w:r w:rsidRPr="00D159D0">
              <w:rPr>
                <w:b/>
                <w:bCs/>
                <w:lang w:val="uk-UA"/>
              </w:rPr>
              <w:t>Не враховано</w:t>
            </w:r>
          </w:p>
          <w:p w14:paraId="7905E3BD" w14:textId="77777777" w:rsidR="001A7851" w:rsidRPr="00D159D0" w:rsidRDefault="001A7851" w:rsidP="004976F9">
            <w:pPr>
              <w:jc w:val="both"/>
              <w:rPr>
                <w:b/>
                <w:bCs/>
                <w:lang w:val="uk-UA"/>
              </w:rPr>
            </w:pPr>
            <w:r w:rsidRPr="00D159D0">
              <w:rPr>
                <w:b/>
                <w:bCs/>
                <w:lang w:val="uk-UA"/>
              </w:rPr>
              <w:t>Недостатньо обґрунтована пропозиція</w:t>
            </w:r>
          </w:p>
          <w:p w14:paraId="59B9E8F3" w14:textId="5F347844" w:rsidR="00D07767" w:rsidRPr="00D159D0" w:rsidRDefault="00D07767" w:rsidP="004976F9">
            <w:pPr>
              <w:jc w:val="both"/>
              <w:rPr>
                <w:lang w:val="uk-UA"/>
              </w:rPr>
            </w:pPr>
          </w:p>
        </w:tc>
      </w:tr>
      <w:tr w:rsidR="00D159D0" w:rsidRPr="00D159D0" w14:paraId="545D24A5" w14:textId="77777777" w:rsidTr="00EE26FC">
        <w:tc>
          <w:tcPr>
            <w:tcW w:w="5665" w:type="dxa"/>
          </w:tcPr>
          <w:p w14:paraId="1A8CE733" w14:textId="77777777" w:rsidR="00127FBA" w:rsidRPr="00D159D0" w:rsidRDefault="00127FBA" w:rsidP="00127FBA">
            <w:pPr>
              <w:ind w:firstLine="284"/>
              <w:jc w:val="both"/>
              <w:rPr>
                <w:b/>
                <w:bCs/>
                <w:lang w:val="uk-UA"/>
              </w:rPr>
            </w:pPr>
            <w:r w:rsidRPr="00D159D0">
              <w:rPr>
                <w:lang w:val="uk-UA"/>
              </w:rPr>
              <w:t xml:space="preserve">2.6. Об'єкти незавершених капітальних інвестицій </w:t>
            </w:r>
            <w:r w:rsidRPr="00D159D0">
              <w:rPr>
                <w:b/>
                <w:bCs/>
                <w:lang w:val="uk-UA"/>
              </w:rPr>
              <w:t xml:space="preserve">(що враховують зокрема </w:t>
            </w:r>
            <w:proofErr w:type="spellStart"/>
            <w:r w:rsidRPr="00D159D0">
              <w:rPr>
                <w:b/>
                <w:bCs/>
                <w:lang w:val="uk-UA"/>
              </w:rPr>
              <w:t>проєктно</w:t>
            </w:r>
            <w:proofErr w:type="spellEnd"/>
            <w:r w:rsidRPr="00D159D0">
              <w:rPr>
                <w:b/>
                <w:bCs/>
                <w:lang w:val="uk-UA"/>
              </w:rPr>
              <w:t xml:space="preserve">-кошторисну документацію з виконання відповідних робіт та </w:t>
            </w:r>
            <w:proofErr w:type="spellStart"/>
            <w:r w:rsidRPr="00D159D0">
              <w:rPr>
                <w:b/>
                <w:bCs/>
                <w:lang w:val="uk-UA"/>
              </w:rPr>
              <w:t>проєктно</w:t>
            </w:r>
            <w:proofErr w:type="spellEnd"/>
            <w:r w:rsidRPr="00D159D0">
              <w:rPr>
                <w:b/>
                <w:bCs/>
                <w:lang w:val="uk-UA"/>
              </w:rPr>
              <w:t xml:space="preserve">-вишукувальні роботи), </w:t>
            </w:r>
            <w:r w:rsidRPr="00D159D0">
              <w:rPr>
                <w:lang w:val="uk-UA"/>
              </w:rPr>
              <w:t xml:space="preserve">вартість виконання робіт за якими була оплачена в межах виконання затвердженої, погодженої та схваленої </w:t>
            </w:r>
            <w:r w:rsidRPr="00D159D0">
              <w:rPr>
                <w:lang w:val="uk-UA"/>
              </w:rPr>
              <w:lastRenderedPageBreak/>
              <w:t>відповідно до Порядку формування інвестиційних програм інвестиційної програми,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w:t>
            </w:r>
            <w:r w:rsidRPr="00D159D0">
              <w:rPr>
                <w:b/>
                <w:lang w:val="uk-UA"/>
              </w:rPr>
              <w:t>у рамках</w:t>
            </w:r>
            <w:r w:rsidRPr="00D159D0">
              <w:rPr>
                <w:lang w:val="uk-UA"/>
              </w:rPr>
              <w:t xml:space="preserve"> </w:t>
            </w:r>
            <w:r w:rsidRPr="00D159D0">
              <w:rPr>
                <w:b/>
                <w:lang w:val="uk-UA"/>
              </w:rPr>
              <w:t>створення активів)</w:t>
            </w:r>
            <w:r w:rsidRPr="00D159D0">
              <w:rPr>
                <w:lang w:val="uk-UA"/>
              </w:rPr>
              <w:t>,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w:t>
            </w:r>
            <w:r w:rsidRPr="00D159D0">
              <w:rPr>
                <w:b/>
                <w:bCs/>
                <w:lang w:val="uk-UA"/>
              </w:rPr>
              <w:t xml:space="preserve"> </w:t>
            </w:r>
          </w:p>
          <w:p w14:paraId="2A8E40D5" w14:textId="77777777" w:rsidR="00127FBA" w:rsidRPr="00D159D0" w:rsidRDefault="00127FBA" w:rsidP="004976F9">
            <w:pPr>
              <w:pStyle w:val="tj"/>
              <w:spacing w:before="0" w:beforeAutospacing="0" w:after="0" w:afterAutospacing="0"/>
              <w:jc w:val="both"/>
              <w:rPr>
                <w:lang w:eastAsia="ru-RU"/>
              </w:rPr>
            </w:pPr>
          </w:p>
        </w:tc>
        <w:tc>
          <w:tcPr>
            <w:tcW w:w="5954" w:type="dxa"/>
          </w:tcPr>
          <w:p w14:paraId="2E59F2C9" w14:textId="77777777" w:rsidR="00127FBA" w:rsidRPr="00D159D0" w:rsidRDefault="00127FBA" w:rsidP="00127FBA">
            <w:pPr>
              <w:jc w:val="both"/>
              <w:rPr>
                <w:b/>
                <w:lang w:val="uk-UA"/>
              </w:rPr>
            </w:pPr>
            <w:r w:rsidRPr="00D159D0">
              <w:rPr>
                <w:b/>
                <w:lang w:val="uk-UA"/>
              </w:rPr>
              <w:lastRenderedPageBreak/>
              <w:t>ГC «Розумні електромережі лист від 17.07.2024 № 17-07/1</w:t>
            </w:r>
          </w:p>
          <w:p w14:paraId="4BC3E6D4" w14:textId="77777777" w:rsidR="00127FBA" w:rsidRPr="00D159D0" w:rsidRDefault="00A72BE6" w:rsidP="004976F9">
            <w:pPr>
              <w:jc w:val="both"/>
              <w:rPr>
                <w:b/>
                <w:lang w:val="uk-UA"/>
              </w:rPr>
            </w:pPr>
            <w:r w:rsidRPr="00D159D0">
              <w:rPr>
                <w:lang w:val="uk-UA"/>
              </w:rPr>
              <w:t xml:space="preserve">2.6. Об'єкти незавершених капітальних інвестицій </w:t>
            </w:r>
            <w:r w:rsidRPr="00D159D0">
              <w:rPr>
                <w:bCs/>
                <w:lang w:val="uk-UA"/>
              </w:rPr>
              <w:t xml:space="preserve">(що враховують зокрема </w:t>
            </w:r>
            <w:proofErr w:type="spellStart"/>
            <w:r w:rsidRPr="00D159D0">
              <w:rPr>
                <w:bCs/>
                <w:lang w:val="uk-UA"/>
              </w:rPr>
              <w:t>проєктно</w:t>
            </w:r>
            <w:proofErr w:type="spellEnd"/>
            <w:r w:rsidRPr="00D159D0">
              <w:rPr>
                <w:bCs/>
                <w:lang w:val="uk-UA"/>
              </w:rPr>
              <w:t xml:space="preserve">-кошторисну документацію з виконання відповідних робіт, </w:t>
            </w:r>
            <w:proofErr w:type="spellStart"/>
            <w:r w:rsidRPr="00D159D0">
              <w:rPr>
                <w:bCs/>
                <w:lang w:val="uk-UA"/>
              </w:rPr>
              <w:t>проєктно</w:t>
            </w:r>
            <w:proofErr w:type="spellEnd"/>
            <w:r w:rsidRPr="00D159D0">
              <w:rPr>
                <w:bCs/>
                <w:lang w:val="uk-UA"/>
              </w:rPr>
              <w:t>-вишукувальні роботи</w:t>
            </w:r>
            <w:r w:rsidRPr="00D159D0">
              <w:rPr>
                <w:lang w:val="uk-UA"/>
              </w:rPr>
              <w:t xml:space="preserve"> </w:t>
            </w:r>
            <w:r w:rsidRPr="00D159D0">
              <w:rPr>
                <w:b/>
                <w:bCs/>
                <w:lang w:val="uk-UA"/>
              </w:rPr>
              <w:t xml:space="preserve">та землевпорядну </w:t>
            </w:r>
            <w:r w:rsidRPr="00D159D0">
              <w:rPr>
                <w:b/>
                <w:bCs/>
                <w:lang w:val="uk-UA"/>
              </w:rPr>
              <w:lastRenderedPageBreak/>
              <w:t xml:space="preserve">документацію), </w:t>
            </w:r>
            <w:r w:rsidRPr="00D159D0">
              <w:rPr>
                <w:lang w:val="uk-UA"/>
              </w:rPr>
              <w:t>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що передували року впровадження стимулюючого регулювання, можуть бути включені до складу регуляторної бази активів, яка створена на дату переходу до стимулюючого регулювання (</w:t>
            </w:r>
            <w:r w:rsidRPr="00D159D0">
              <w:rPr>
                <w:b/>
                <w:lang w:val="uk-UA"/>
              </w:rPr>
              <w:t>у рамках</w:t>
            </w:r>
            <w:r w:rsidRPr="00D159D0">
              <w:rPr>
                <w:lang w:val="uk-UA"/>
              </w:rPr>
              <w:t xml:space="preserve"> </w:t>
            </w:r>
            <w:r w:rsidRPr="00D159D0">
              <w:rPr>
                <w:b/>
                <w:lang w:val="uk-UA"/>
              </w:rPr>
              <w:t>створення активів)</w:t>
            </w:r>
            <w:r w:rsidRPr="00D159D0">
              <w:rPr>
                <w:lang w:val="uk-UA"/>
              </w:rPr>
              <w:t>, у році, наступному після року їх введення в експлуатацію, з урахуванням висновку про вартість активів, що є невід'ємною частиною звіту про оцінку таких активів, проведену відповідно до Методики оцінки.</w:t>
            </w:r>
          </w:p>
        </w:tc>
        <w:tc>
          <w:tcPr>
            <w:tcW w:w="3544" w:type="dxa"/>
          </w:tcPr>
          <w:p w14:paraId="082A4AB2" w14:textId="77777777" w:rsidR="00D07767" w:rsidRPr="00D159D0" w:rsidRDefault="00D07767" w:rsidP="00D07767">
            <w:pPr>
              <w:jc w:val="both"/>
              <w:rPr>
                <w:b/>
                <w:bCs/>
                <w:lang w:val="uk-UA"/>
              </w:rPr>
            </w:pPr>
            <w:r w:rsidRPr="00D159D0">
              <w:rPr>
                <w:b/>
                <w:bCs/>
                <w:lang w:val="uk-UA"/>
              </w:rPr>
              <w:lastRenderedPageBreak/>
              <w:t>Не враховано</w:t>
            </w:r>
          </w:p>
          <w:p w14:paraId="598048A8" w14:textId="77777777" w:rsidR="00D07767" w:rsidRPr="00D159D0" w:rsidRDefault="00D07767" w:rsidP="00D07767">
            <w:pPr>
              <w:jc w:val="both"/>
              <w:rPr>
                <w:b/>
                <w:bCs/>
                <w:lang w:val="uk-UA"/>
              </w:rPr>
            </w:pPr>
            <w:r w:rsidRPr="00D159D0">
              <w:rPr>
                <w:b/>
                <w:bCs/>
                <w:lang w:val="uk-UA"/>
              </w:rPr>
              <w:t>Недостатньо обґрунтована пропозиція</w:t>
            </w:r>
          </w:p>
          <w:p w14:paraId="53D603D0" w14:textId="7AF6AB15" w:rsidR="00127FBA" w:rsidRPr="00D159D0" w:rsidRDefault="00127FBA" w:rsidP="00D07767">
            <w:pPr>
              <w:jc w:val="both"/>
              <w:rPr>
                <w:b/>
                <w:bCs/>
                <w:lang w:val="en-US"/>
              </w:rPr>
            </w:pPr>
          </w:p>
        </w:tc>
      </w:tr>
      <w:tr w:rsidR="00D159D0" w:rsidRPr="00D159D0" w14:paraId="1BE72EB5" w14:textId="77777777" w:rsidTr="00EE26FC">
        <w:tc>
          <w:tcPr>
            <w:tcW w:w="5665" w:type="dxa"/>
          </w:tcPr>
          <w:p w14:paraId="14539EDE" w14:textId="77777777" w:rsidR="00A72BE6" w:rsidRPr="00D159D0" w:rsidRDefault="00A72BE6" w:rsidP="004976F9">
            <w:pPr>
              <w:pStyle w:val="tj"/>
              <w:spacing w:before="0" w:beforeAutospacing="0" w:after="0" w:afterAutospacing="0"/>
              <w:jc w:val="both"/>
              <w:rPr>
                <w:b/>
                <w:lang w:eastAsia="ru-RU"/>
              </w:rPr>
            </w:pPr>
            <w:r w:rsidRPr="00D159D0">
              <w:rPr>
                <w:b/>
                <w:lang w:eastAsia="ru-RU"/>
              </w:rPr>
              <w:t>Зміни не пропонувались</w:t>
            </w:r>
          </w:p>
          <w:p w14:paraId="670264B7" w14:textId="77777777" w:rsidR="00A72BE6" w:rsidRPr="00D159D0" w:rsidRDefault="00A72BE6" w:rsidP="004976F9">
            <w:pPr>
              <w:pStyle w:val="tj"/>
              <w:spacing w:before="0" w:beforeAutospacing="0" w:after="0" w:afterAutospacing="0"/>
              <w:jc w:val="both"/>
              <w:rPr>
                <w:lang w:eastAsia="ru-RU"/>
              </w:rPr>
            </w:pPr>
            <w:r w:rsidRPr="00D159D0">
              <w:rPr>
                <w:lang w:eastAsia="ru-RU"/>
              </w:rPr>
              <w:t>2.11. Виведене з експлуатації технологічне обладнання (трансформатор) регуляторної бази активів, яка створена на дату переходу до стимулюючого регулювання,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14:paraId="61DEB7EA" w14:textId="77777777" w:rsidR="00A72BE6" w:rsidRPr="00D159D0" w:rsidRDefault="00A72BE6" w:rsidP="004976F9">
            <w:pPr>
              <w:pStyle w:val="tj"/>
              <w:spacing w:before="0" w:beforeAutospacing="0" w:after="0" w:afterAutospacing="0"/>
              <w:jc w:val="both"/>
              <w:rPr>
                <w:lang w:eastAsia="ru-RU"/>
              </w:rPr>
            </w:pPr>
            <w:r w:rsidRPr="00D159D0">
              <w:rPr>
                <w:lang w:eastAsia="ru-RU"/>
              </w:rPr>
              <w:t>………</w:t>
            </w:r>
          </w:p>
          <w:p w14:paraId="38427A61" w14:textId="77777777" w:rsidR="00A72BE6" w:rsidRPr="00D159D0" w:rsidRDefault="00A72BE6" w:rsidP="004976F9">
            <w:pPr>
              <w:pStyle w:val="tj"/>
              <w:spacing w:before="0" w:beforeAutospacing="0" w:after="0" w:afterAutospacing="0"/>
              <w:jc w:val="both"/>
              <w:rPr>
                <w:lang w:eastAsia="ru-RU"/>
              </w:rPr>
            </w:pPr>
          </w:p>
          <w:p w14:paraId="695DA411" w14:textId="77777777" w:rsidR="00A72BE6" w:rsidRPr="00D159D0" w:rsidRDefault="00A72BE6" w:rsidP="004976F9">
            <w:pPr>
              <w:pStyle w:val="tj"/>
              <w:spacing w:before="0" w:beforeAutospacing="0" w:after="0" w:afterAutospacing="0"/>
              <w:jc w:val="both"/>
              <w:rPr>
                <w:lang w:eastAsia="ru-RU"/>
              </w:rPr>
            </w:pPr>
            <w:r w:rsidRPr="00D159D0">
              <w:rPr>
                <w:lang w:eastAsia="ru-RU"/>
              </w:rPr>
              <w:t xml:space="preserve">У разі якщо виведення з експлуатації технологічного обладнання (трансформатора) регуляторної бази активів, створеної на дату переходу до стимулюючого регулювання, та його повторне введення в експлуатацію в рамках виконання заходів, передбачених інвестиційною програмою, відбулось протягом одного календарного року, таке обладнання не виводиться із регуляторної бази активів, створеної на дату переходу до стимулюючого регулювання, та </w:t>
            </w:r>
            <w:r w:rsidRPr="00D159D0">
              <w:rPr>
                <w:lang w:eastAsia="ru-RU"/>
              </w:rPr>
              <w:lastRenderedPageBreak/>
              <w:t>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tc>
        <w:tc>
          <w:tcPr>
            <w:tcW w:w="5954" w:type="dxa"/>
          </w:tcPr>
          <w:p w14:paraId="486C0F4B" w14:textId="77777777" w:rsidR="00A72BE6" w:rsidRPr="00D159D0" w:rsidRDefault="00A72BE6" w:rsidP="00A72BE6">
            <w:pPr>
              <w:jc w:val="both"/>
              <w:rPr>
                <w:b/>
                <w:lang w:val="uk-UA"/>
              </w:rPr>
            </w:pPr>
            <w:r w:rsidRPr="00D159D0">
              <w:rPr>
                <w:b/>
                <w:lang w:val="uk-UA"/>
              </w:rPr>
              <w:lastRenderedPageBreak/>
              <w:t>ГC «Розумні електромережі лист від 17.07.2024 № 17-07/1</w:t>
            </w:r>
          </w:p>
          <w:p w14:paraId="74939865" w14:textId="77777777" w:rsidR="00A72BE6" w:rsidRPr="00D159D0" w:rsidRDefault="00A72BE6" w:rsidP="00A72BE6">
            <w:pPr>
              <w:pStyle w:val="tj"/>
              <w:spacing w:before="0" w:beforeAutospacing="0" w:after="0" w:afterAutospacing="0"/>
              <w:jc w:val="both"/>
              <w:rPr>
                <w:lang w:eastAsia="ru-RU"/>
              </w:rPr>
            </w:pPr>
            <w:r w:rsidRPr="00D159D0">
              <w:rPr>
                <w:lang w:eastAsia="ru-RU"/>
              </w:rPr>
              <w:t>2.11. Виведене з експлуатації технологічне обладнання (трансформатор) регуляторної бази активів, яка створена на дату переходу до стимулюючого регулювання,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14:paraId="5D4A46F6" w14:textId="77777777" w:rsidR="00A72BE6" w:rsidRPr="00D159D0" w:rsidRDefault="00A72BE6" w:rsidP="004976F9">
            <w:pPr>
              <w:jc w:val="both"/>
              <w:rPr>
                <w:lang w:val="uk-UA"/>
              </w:rPr>
            </w:pPr>
            <w:r w:rsidRPr="00D159D0">
              <w:rPr>
                <w:lang w:val="uk-UA"/>
              </w:rPr>
              <w:t>…………….</w:t>
            </w:r>
          </w:p>
          <w:p w14:paraId="05913758" w14:textId="77777777" w:rsidR="00A72BE6" w:rsidRPr="00D159D0" w:rsidRDefault="00A72BE6" w:rsidP="004976F9">
            <w:pPr>
              <w:jc w:val="both"/>
              <w:rPr>
                <w:b/>
                <w:lang w:val="uk-UA"/>
              </w:rPr>
            </w:pPr>
            <w:r w:rsidRPr="00D159D0">
              <w:rPr>
                <w:lang w:val="uk-UA"/>
              </w:rPr>
              <w:t xml:space="preserve">У разі якщо виведення з експлуатації технологічного обладнання (трансформатора) регуляторної бази активів, створеної на дату переходу до стимулюючого регулювання, та його повторне введення в експлуатацію в рамках виконання заходів, передбачених інвестиційною програмою, </w:t>
            </w:r>
            <w:r w:rsidRPr="00D159D0">
              <w:rPr>
                <w:b/>
                <w:bCs/>
                <w:lang w:val="uk-UA"/>
              </w:rPr>
              <w:t>та за рахунок приєднання</w:t>
            </w:r>
            <w:r w:rsidRPr="00D159D0">
              <w:rPr>
                <w:lang w:val="uk-UA"/>
              </w:rPr>
              <w:t xml:space="preserve"> відбулось протягом одного календарного року, таке обладнання не виводиться із регуляторної бази активів, створеної на дату переходу до стимулюючого </w:t>
            </w:r>
            <w:r w:rsidRPr="00D159D0">
              <w:rPr>
                <w:lang w:val="uk-UA"/>
              </w:rPr>
              <w:lastRenderedPageBreak/>
              <w:t>регулювання, та нарахування регуляторної норми доходу на регуляторну базу активів, яка створена на дату переходу до стимулюючого регулювання, та амортизації на суму вартості цих активів не припиняється.</w:t>
            </w:r>
          </w:p>
        </w:tc>
        <w:tc>
          <w:tcPr>
            <w:tcW w:w="3544" w:type="dxa"/>
          </w:tcPr>
          <w:p w14:paraId="524E7BC4" w14:textId="77777777" w:rsidR="00D07767" w:rsidRPr="00D159D0" w:rsidRDefault="00D07767" w:rsidP="00D07767">
            <w:pPr>
              <w:widowControl w:val="0"/>
              <w:suppressAutoHyphens/>
              <w:contextualSpacing/>
              <w:jc w:val="both"/>
              <w:rPr>
                <w:b/>
                <w:bCs/>
                <w:lang w:val="uk-UA"/>
              </w:rPr>
            </w:pPr>
            <w:r w:rsidRPr="00D159D0">
              <w:rPr>
                <w:b/>
                <w:bCs/>
                <w:lang w:val="uk-UA"/>
              </w:rPr>
              <w:lastRenderedPageBreak/>
              <w:t>Не враховується</w:t>
            </w:r>
          </w:p>
          <w:p w14:paraId="6BEAA79C" w14:textId="77777777" w:rsidR="00E81FD1" w:rsidRPr="00D159D0" w:rsidRDefault="00E81FD1" w:rsidP="00E81FD1">
            <w:pPr>
              <w:jc w:val="both"/>
              <w:rPr>
                <w:b/>
                <w:bCs/>
                <w:lang w:val="uk-UA"/>
              </w:rPr>
            </w:pPr>
            <w:r w:rsidRPr="00D159D0">
              <w:rPr>
                <w:b/>
                <w:bCs/>
                <w:lang w:val="uk-UA"/>
              </w:rPr>
              <w:t>Недостатньо обґрунтована пропозиція</w:t>
            </w:r>
          </w:p>
          <w:p w14:paraId="27EEE3C6" w14:textId="18C8D898" w:rsidR="00D07767" w:rsidRPr="00D159D0" w:rsidRDefault="00D07767" w:rsidP="00D07767">
            <w:pPr>
              <w:jc w:val="both"/>
              <w:rPr>
                <w:b/>
                <w:lang w:val="uk-UA"/>
              </w:rPr>
            </w:pPr>
            <w:r w:rsidRPr="00D159D0">
              <w:rPr>
                <w:b/>
                <w:lang w:val="uk-UA"/>
              </w:rPr>
              <w:t xml:space="preserve">Зміни </w:t>
            </w:r>
            <w:r w:rsidRPr="00D159D0">
              <w:rPr>
                <w:b/>
                <w:bCs/>
                <w:shd w:val="clear" w:color="auto" w:fill="FFFFFF"/>
                <w:lang w:val="uk-UA"/>
              </w:rPr>
              <w:t>до пункту 2.11</w:t>
            </w:r>
            <w:r w:rsidRPr="00D159D0">
              <w:rPr>
                <w:b/>
                <w:lang w:val="uk-UA"/>
              </w:rPr>
              <w:t xml:space="preserve"> </w:t>
            </w:r>
            <w:proofErr w:type="spellStart"/>
            <w:r w:rsidRPr="00D159D0">
              <w:rPr>
                <w:b/>
                <w:lang w:val="uk-UA"/>
              </w:rPr>
              <w:t>Проєкту</w:t>
            </w:r>
            <w:proofErr w:type="spellEnd"/>
            <w:r w:rsidRPr="00D159D0">
              <w:rPr>
                <w:b/>
                <w:lang w:val="uk-UA"/>
              </w:rPr>
              <w:t xml:space="preserve"> постанови не передбачались</w:t>
            </w:r>
          </w:p>
          <w:p w14:paraId="2F455D7D" w14:textId="45C98BA8" w:rsidR="00D07767" w:rsidRPr="00D159D0" w:rsidRDefault="0039461B" w:rsidP="0020724C">
            <w:pPr>
              <w:jc w:val="both"/>
              <w:rPr>
                <w:iCs/>
                <w:shd w:val="clear" w:color="auto" w:fill="FFFFFF"/>
                <w:lang w:val="uk-UA"/>
              </w:rPr>
            </w:pPr>
            <w:r w:rsidRPr="00D159D0">
              <w:rPr>
                <w:iCs/>
                <w:shd w:val="clear" w:color="auto" w:fill="FFFFFF"/>
                <w:lang w:val="uk-UA"/>
              </w:rPr>
              <w:t xml:space="preserve">Визначеними підходами у методології стимулюючого </w:t>
            </w:r>
            <w:proofErr w:type="spellStart"/>
            <w:r w:rsidRPr="00D159D0">
              <w:rPr>
                <w:iCs/>
                <w:shd w:val="clear" w:color="auto" w:fill="FFFFFF"/>
                <w:lang w:val="uk-UA"/>
              </w:rPr>
              <w:t>тарифоутворення</w:t>
            </w:r>
            <w:proofErr w:type="spellEnd"/>
            <w:r w:rsidRPr="00D159D0">
              <w:rPr>
                <w:iCs/>
                <w:shd w:val="clear" w:color="auto" w:fill="FFFFFF"/>
                <w:lang w:val="uk-UA"/>
              </w:rPr>
              <w:t xml:space="preserve"> передбачено, що активи, створені після переходу на стимулююче регулювання в рамках приєднання включаються у неприбуткову базу активів.</w:t>
            </w:r>
          </w:p>
          <w:p w14:paraId="675DFE07" w14:textId="77777777" w:rsidR="001A7851" w:rsidRPr="00D159D0" w:rsidRDefault="001A7851" w:rsidP="00D07767">
            <w:pPr>
              <w:jc w:val="both"/>
              <w:rPr>
                <w:b/>
                <w:bCs/>
                <w:lang w:val="uk-UA"/>
              </w:rPr>
            </w:pPr>
          </w:p>
        </w:tc>
      </w:tr>
      <w:tr w:rsidR="00D159D0" w:rsidRPr="00D159D0" w14:paraId="2681399E" w14:textId="77777777" w:rsidTr="00EE26FC">
        <w:tc>
          <w:tcPr>
            <w:tcW w:w="5665" w:type="dxa"/>
          </w:tcPr>
          <w:p w14:paraId="0EF79945" w14:textId="77777777" w:rsidR="00040AF2" w:rsidRPr="00D159D0" w:rsidRDefault="00040AF2" w:rsidP="004976F9">
            <w:pPr>
              <w:pStyle w:val="tj"/>
              <w:spacing w:before="0" w:beforeAutospacing="0" w:after="0" w:afterAutospacing="0"/>
              <w:jc w:val="both"/>
              <w:rPr>
                <w:lang w:eastAsia="ru-RU"/>
              </w:rPr>
            </w:pPr>
            <w:r w:rsidRPr="00D159D0">
              <w:rPr>
                <w:lang w:eastAsia="ru-RU"/>
              </w:rPr>
              <w:t>2.13. Вартість виведених окремих елементів активів, включених до регуляторної бази активів на дату переходу до стимулюючого регулювання на підставі даних звіту про незалежну оцінку активів, визначається (затверджується) технічною комісією як добуток питомої ваги (відсотка) окремого компонента підстанції (трансформатора, вимикача тощо), який виводиться, та вартості активу на кінець року, у якому відбулось виведення частини активу.</w:t>
            </w:r>
          </w:p>
          <w:p w14:paraId="4BBF926E" w14:textId="77777777" w:rsidR="00040AF2" w:rsidRPr="00D159D0" w:rsidRDefault="00040AF2" w:rsidP="004976F9">
            <w:pPr>
              <w:pStyle w:val="tj"/>
              <w:spacing w:before="0" w:beforeAutospacing="0" w:after="0" w:afterAutospacing="0"/>
              <w:jc w:val="both"/>
              <w:rPr>
                <w:lang w:eastAsia="ru-RU"/>
              </w:rPr>
            </w:pPr>
            <w:r w:rsidRPr="00D159D0">
              <w:rPr>
                <w:lang w:eastAsia="ru-RU"/>
              </w:rPr>
              <w:t>Вартість виведених окремих елементів активів, включених до регуляторної бази активів після проведення незалежної оцінки активів, визначається на підставі актів виконаних робіт та актів вартості устаткування зі створення цих активів з урахуванням зносу за відповідний період та затверджується технічною комісією.</w:t>
            </w:r>
          </w:p>
          <w:p w14:paraId="0F615FCE" w14:textId="77777777" w:rsidR="00040AF2" w:rsidRPr="00D159D0" w:rsidRDefault="00040AF2" w:rsidP="004976F9">
            <w:pPr>
              <w:pStyle w:val="tj"/>
              <w:spacing w:before="0" w:beforeAutospacing="0" w:after="0" w:afterAutospacing="0"/>
              <w:jc w:val="both"/>
              <w:rPr>
                <w:lang w:eastAsia="ru-RU"/>
              </w:rPr>
            </w:pPr>
          </w:p>
          <w:p w14:paraId="25A50D25" w14:textId="77777777" w:rsidR="00040AF2" w:rsidRPr="00D159D0" w:rsidRDefault="00040AF2" w:rsidP="004976F9">
            <w:pPr>
              <w:pStyle w:val="tj"/>
              <w:spacing w:before="0" w:beforeAutospacing="0" w:after="0" w:afterAutospacing="0"/>
              <w:jc w:val="both"/>
              <w:rPr>
                <w:b/>
                <w:bCs/>
                <w:lang w:eastAsia="ru-RU"/>
              </w:rPr>
            </w:pPr>
            <w:r w:rsidRPr="00D159D0">
              <w:rPr>
                <w:b/>
                <w:bCs/>
                <w:lang w:eastAsia="ru-RU"/>
              </w:rPr>
              <w:t>Вартість створених активів (елементів активу)</w:t>
            </w:r>
            <w:r w:rsidRPr="00D159D0">
              <w:t xml:space="preserve"> </w:t>
            </w:r>
            <w:r w:rsidRPr="00D159D0">
              <w:rPr>
                <w:b/>
                <w:bCs/>
              </w:rPr>
              <w:t>отриманих на</w:t>
            </w:r>
            <w:r w:rsidRPr="00D159D0">
              <w:t xml:space="preserve"> </w:t>
            </w:r>
            <w:r w:rsidRPr="00D159D0">
              <w:rPr>
                <w:b/>
                <w:bCs/>
                <w:lang w:eastAsia="ru-RU"/>
              </w:rPr>
              <w:t>безоплатній (безповоротній) основі (у тому числі у рамках гуманітарної допомоги), визначається відповідно до первинної документації на дату її отримання або на підставі справедливої вартості відповідно до положень (стандартів) бухгалтерського обліку та затверджується технічною комісією.</w:t>
            </w:r>
          </w:p>
          <w:p w14:paraId="47F61DD5" w14:textId="77777777" w:rsidR="00040AF2" w:rsidRPr="00D159D0" w:rsidRDefault="00040AF2" w:rsidP="004976F9">
            <w:pPr>
              <w:pStyle w:val="tj"/>
              <w:spacing w:before="0" w:beforeAutospacing="0" w:after="0" w:afterAutospacing="0"/>
              <w:jc w:val="both"/>
              <w:rPr>
                <w:lang w:eastAsia="ru-RU"/>
              </w:rPr>
            </w:pPr>
          </w:p>
          <w:p w14:paraId="47E3429B" w14:textId="77777777" w:rsidR="00040AF2" w:rsidRPr="00D159D0" w:rsidRDefault="00040AF2" w:rsidP="004976F9">
            <w:pPr>
              <w:pStyle w:val="tj"/>
              <w:spacing w:before="0" w:beforeAutospacing="0" w:after="0" w:afterAutospacing="0"/>
              <w:jc w:val="both"/>
              <w:rPr>
                <w:b/>
                <w:bCs/>
                <w:lang w:eastAsia="ru-RU"/>
              </w:rPr>
            </w:pPr>
            <w:r w:rsidRPr="00D159D0">
              <w:rPr>
                <w:lang w:eastAsia="ru-RU"/>
              </w:rPr>
              <w:t xml:space="preserve">Склад технічної комісії затверджується наказом підприємства. До складу технічної комісії входять представники підприємства у складі не менше 5 осіб (у тому числі головний бухгалтер). Очолює комісію </w:t>
            </w:r>
            <w:r w:rsidRPr="00D159D0">
              <w:rPr>
                <w:lang w:eastAsia="ru-RU"/>
              </w:rPr>
              <w:lastRenderedPageBreak/>
              <w:t>технічний директор</w:t>
            </w:r>
            <w:r w:rsidRPr="00D159D0">
              <w:rPr>
                <w:b/>
                <w:bCs/>
                <w:lang w:eastAsia="ru-RU"/>
              </w:rPr>
              <w:t xml:space="preserve"> або інша уповноважена особа з аналогічними функціональними обов’язками. </w:t>
            </w:r>
          </w:p>
          <w:p w14:paraId="747F000F" w14:textId="77777777" w:rsidR="00040AF2" w:rsidRPr="00D159D0" w:rsidRDefault="00040AF2" w:rsidP="004976F9">
            <w:pPr>
              <w:pStyle w:val="tj"/>
              <w:spacing w:before="0" w:beforeAutospacing="0" w:after="0" w:afterAutospacing="0"/>
              <w:jc w:val="both"/>
              <w:rPr>
                <w:b/>
                <w:bCs/>
                <w:lang w:eastAsia="ru-RU"/>
              </w:rPr>
            </w:pPr>
          </w:p>
          <w:p w14:paraId="473231CA" w14:textId="77777777" w:rsidR="004976F9" w:rsidRPr="00D159D0" w:rsidRDefault="004976F9" w:rsidP="004976F9">
            <w:pPr>
              <w:jc w:val="both"/>
              <w:rPr>
                <w:b/>
                <w:bCs/>
                <w:lang w:val="uk-UA"/>
              </w:rPr>
            </w:pPr>
          </w:p>
          <w:p w14:paraId="6BACF36A" w14:textId="77777777" w:rsidR="00AD2A16" w:rsidRPr="00D159D0" w:rsidRDefault="00040AF2" w:rsidP="004976F9">
            <w:pPr>
              <w:jc w:val="both"/>
              <w:rPr>
                <w:b/>
                <w:bCs/>
                <w:lang w:val="uk-UA"/>
              </w:rPr>
            </w:pPr>
            <w:r w:rsidRPr="00D159D0">
              <w:rPr>
                <w:b/>
                <w:bCs/>
                <w:lang w:val="uk-UA"/>
              </w:rPr>
              <w:t>Засідання технічної комісії проводиться не пізніше останнього календарного дня місяця кварталу в якому відбувається виведення/повторне введення</w:t>
            </w:r>
            <w:r w:rsidRPr="00D159D0">
              <w:rPr>
                <w:lang w:val="uk-UA"/>
              </w:rPr>
              <w:t xml:space="preserve"> </w:t>
            </w:r>
            <w:r w:rsidRPr="00D159D0">
              <w:rPr>
                <w:b/>
                <w:bCs/>
                <w:lang w:val="uk-UA"/>
              </w:rPr>
              <w:t>активів (елементів активу).</w:t>
            </w:r>
          </w:p>
        </w:tc>
        <w:tc>
          <w:tcPr>
            <w:tcW w:w="5954" w:type="dxa"/>
          </w:tcPr>
          <w:p w14:paraId="65030BF6" w14:textId="77777777" w:rsidR="004976F9" w:rsidRPr="00D159D0" w:rsidRDefault="004976F9" w:rsidP="004976F9">
            <w:pPr>
              <w:jc w:val="both"/>
              <w:rPr>
                <w:b/>
                <w:lang w:val="uk-UA"/>
              </w:rPr>
            </w:pPr>
          </w:p>
          <w:p w14:paraId="40EED048" w14:textId="77777777" w:rsidR="00632EFC" w:rsidRPr="00D159D0" w:rsidRDefault="00632EFC" w:rsidP="004976F9">
            <w:pPr>
              <w:jc w:val="both"/>
              <w:rPr>
                <w:b/>
                <w:lang w:val="uk-UA"/>
              </w:rPr>
            </w:pPr>
          </w:p>
          <w:p w14:paraId="24B933EC" w14:textId="77777777" w:rsidR="00632EFC" w:rsidRPr="00D159D0" w:rsidRDefault="00632EFC" w:rsidP="004976F9">
            <w:pPr>
              <w:jc w:val="both"/>
              <w:rPr>
                <w:b/>
                <w:lang w:val="uk-UA"/>
              </w:rPr>
            </w:pPr>
          </w:p>
          <w:p w14:paraId="7009AF6F" w14:textId="77777777" w:rsidR="00632EFC" w:rsidRPr="00D159D0" w:rsidRDefault="00632EFC" w:rsidP="004976F9">
            <w:pPr>
              <w:jc w:val="both"/>
              <w:rPr>
                <w:b/>
                <w:lang w:val="uk-UA"/>
              </w:rPr>
            </w:pPr>
          </w:p>
          <w:p w14:paraId="3E9C3933" w14:textId="77777777" w:rsidR="00632EFC" w:rsidRPr="00D159D0" w:rsidRDefault="00632EFC" w:rsidP="004976F9">
            <w:pPr>
              <w:jc w:val="both"/>
              <w:rPr>
                <w:b/>
                <w:lang w:val="uk-UA"/>
              </w:rPr>
            </w:pPr>
          </w:p>
          <w:p w14:paraId="0A4B2762" w14:textId="77777777" w:rsidR="00632EFC" w:rsidRPr="00D159D0" w:rsidRDefault="00632EFC" w:rsidP="004976F9">
            <w:pPr>
              <w:jc w:val="both"/>
              <w:rPr>
                <w:b/>
                <w:lang w:val="uk-UA"/>
              </w:rPr>
            </w:pPr>
          </w:p>
          <w:p w14:paraId="00328384" w14:textId="77777777" w:rsidR="00632EFC" w:rsidRPr="00D159D0" w:rsidRDefault="00632EFC" w:rsidP="004976F9">
            <w:pPr>
              <w:jc w:val="both"/>
              <w:rPr>
                <w:b/>
                <w:lang w:val="uk-UA"/>
              </w:rPr>
            </w:pPr>
          </w:p>
          <w:p w14:paraId="2CEC192D" w14:textId="77777777" w:rsidR="00632EFC" w:rsidRPr="00D159D0" w:rsidRDefault="00632EFC" w:rsidP="004976F9">
            <w:pPr>
              <w:jc w:val="both"/>
              <w:rPr>
                <w:b/>
                <w:lang w:val="uk-UA"/>
              </w:rPr>
            </w:pPr>
          </w:p>
          <w:p w14:paraId="788E8BFE" w14:textId="77777777" w:rsidR="00632EFC" w:rsidRPr="00D159D0" w:rsidRDefault="00632EFC" w:rsidP="004976F9">
            <w:pPr>
              <w:jc w:val="both"/>
              <w:rPr>
                <w:b/>
                <w:lang w:val="uk-UA"/>
              </w:rPr>
            </w:pPr>
          </w:p>
          <w:p w14:paraId="0F9D83CA" w14:textId="77777777" w:rsidR="00632EFC" w:rsidRPr="00D159D0" w:rsidRDefault="00632EFC" w:rsidP="004976F9">
            <w:pPr>
              <w:jc w:val="both"/>
              <w:rPr>
                <w:b/>
                <w:lang w:val="uk-UA"/>
              </w:rPr>
            </w:pPr>
          </w:p>
          <w:p w14:paraId="28D5A13E" w14:textId="77777777" w:rsidR="00632EFC" w:rsidRPr="00D159D0" w:rsidRDefault="00632EFC" w:rsidP="004976F9">
            <w:pPr>
              <w:jc w:val="both"/>
              <w:rPr>
                <w:b/>
                <w:lang w:val="uk-UA"/>
              </w:rPr>
            </w:pPr>
          </w:p>
          <w:p w14:paraId="26979E98" w14:textId="77777777" w:rsidR="00632EFC" w:rsidRPr="00D159D0" w:rsidRDefault="00632EFC" w:rsidP="004976F9">
            <w:pPr>
              <w:jc w:val="both"/>
              <w:rPr>
                <w:b/>
                <w:lang w:val="uk-UA"/>
              </w:rPr>
            </w:pPr>
          </w:p>
          <w:p w14:paraId="21ABE33F" w14:textId="77777777" w:rsidR="00632EFC" w:rsidRPr="00D159D0" w:rsidRDefault="00632EFC" w:rsidP="004976F9">
            <w:pPr>
              <w:jc w:val="both"/>
              <w:rPr>
                <w:b/>
                <w:lang w:val="uk-UA"/>
              </w:rPr>
            </w:pPr>
          </w:p>
          <w:p w14:paraId="5A3999F0" w14:textId="77777777" w:rsidR="00632EFC" w:rsidRPr="00D159D0" w:rsidRDefault="00632EFC" w:rsidP="004976F9">
            <w:pPr>
              <w:jc w:val="both"/>
              <w:rPr>
                <w:b/>
                <w:lang w:val="uk-UA"/>
              </w:rPr>
            </w:pPr>
          </w:p>
          <w:p w14:paraId="6ED372E9" w14:textId="77777777" w:rsidR="00632EFC" w:rsidRPr="00D159D0" w:rsidRDefault="00632EFC" w:rsidP="004976F9">
            <w:pPr>
              <w:jc w:val="both"/>
              <w:rPr>
                <w:b/>
                <w:lang w:val="uk-UA"/>
              </w:rPr>
            </w:pPr>
          </w:p>
          <w:p w14:paraId="40EC55F9" w14:textId="77777777" w:rsidR="00632EFC" w:rsidRPr="00D159D0" w:rsidRDefault="00632EFC" w:rsidP="004976F9">
            <w:pPr>
              <w:jc w:val="both"/>
              <w:rPr>
                <w:b/>
                <w:lang w:val="uk-UA"/>
              </w:rPr>
            </w:pPr>
          </w:p>
          <w:p w14:paraId="45AAF8B7" w14:textId="77777777" w:rsidR="00632EFC" w:rsidRPr="00D159D0" w:rsidRDefault="00632EFC" w:rsidP="004976F9">
            <w:pPr>
              <w:jc w:val="both"/>
              <w:rPr>
                <w:b/>
                <w:lang w:val="uk-UA"/>
              </w:rPr>
            </w:pPr>
          </w:p>
          <w:p w14:paraId="4B14545B" w14:textId="77777777" w:rsidR="00A04687" w:rsidRPr="00D159D0" w:rsidRDefault="00A04687" w:rsidP="004976F9">
            <w:pPr>
              <w:jc w:val="both"/>
              <w:rPr>
                <w:b/>
                <w:lang w:val="uk-UA"/>
              </w:rPr>
            </w:pPr>
            <w:r w:rsidRPr="00D159D0">
              <w:rPr>
                <w:b/>
                <w:lang w:val="uk-UA"/>
              </w:rPr>
              <w:t>ТОВ «ДТЕК ВИСОКОВОЛЬТНІ МЕРЕЖІ» лист від 17.07.2024 № 08-61/935</w:t>
            </w:r>
          </w:p>
          <w:p w14:paraId="65F4F2A9" w14:textId="77777777" w:rsidR="00A04687" w:rsidRPr="00D159D0" w:rsidRDefault="00A04687" w:rsidP="004976F9">
            <w:pPr>
              <w:jc w:val="both"/>
              <w:rPr>
                <w:b/>
                <w:lang w:val="uk-UA"/>
              </w:rPr>
            </w:pPr>
            <w:r w:rsidRPr="00D159D0">
              <w:rPr>
                <w:b/>
                <w:lang w:val="uk-UA"/>
              </w:rPr>
              <w:t>АТ «ДТЕК ДОНЕЦЬКІ ЕЛЕКТРОМЕРЕЖІ» лист від 17.07.2024 № 06/9956</w:t>
            </w:r>
          </w:p>
          <w:p w14:paraId="010E21CD" w14:textId="77777777" w:rsidR="00A72BE6" w:rsidRPr="00D159D0" w:rsidRDefault="00A72BE6" w:rsidP="00A72BE6">
            <w:pPr>
              <w:jc w:val="both"/>
              <w:rPr>
                <w:b/>
                <w:lang w:val="uk-UA"/>
              </w:rPr>
            </w:pPr>
            <w:r w:rsidRPr="00D159D0">
              <w:rPr>
                <w:b/>
                <w:lang w:val="uk-UA"/>
              </w:rPr>
              <w:t>ГC «Розумні електромережі лист від 17.07.2024 № 17-07/1</w:t>
            </w:r>
          </w:p>
          <w:p w14:paraId="1633783D" w14:textId="77777777" w:rsidR="00A04687" w:rsidRPr="00D159D0" w:rsidRDefault="00A04687" w:rsidP="004976F9">
            <w:pPr>
              <w:pStyle w:val="tj"/>
              <w:spacing w:before="0" w:beforeAutospacing="0" w:after="0" w:afterAutospacing="0"/>
              <w:jc w:val="both"/>
              <w:rPr>
                <w:b/>
                <w:bCs/>
                <w:lang w:eastAsia="ru-RU"/>
              </w:rPr>
            </w:pPr>
            <w:r w:rsidRPr="00D159D0">
              <w:rPr>
                <w:b/>
                <w:bCs/>
                <w:lang w:eastAsia="ru-RU"/>
              </w:rPr>
              <w:t xml:space="preserve">Пропонується перенести положення в п.1.5 з коригуванням </w:t>
            </w:r>
          </w:p>
          <w:p w14:paraId="4F986991" w14:textId="77777777" w:rsidR="00010C21" w:rsidRPr="00D159D0" w:rsidRDefault="00010C21" w:rsidP="004976F9">
            <w:pPr>
              <w:pStyle w:val="tj"/>
              <w:spacing w:before="0" w:beforeAutospacing="0" w:after="0" w:afterAutospacing="0"/>
              <w:jc w:val="both"/>
              <w:rPr>
                <w:lang w:eastAsia="ru-RU"/>
              </w:rPr>
            </w:pPr>
          </w:p>
          <w:p w14:paraId="2516C7DE" w14:textId="77777777" w:rsidR="00010C21" w:rsidRPr="00D159D0" w:rsidRDefault="00010C21" w:rsidP="004976F9">
            <w:pPr>
              <w:pStyle w:val="tj"/>
              <w:spacing w:before="0" w:beforeAutospacing="0" w:after="0" w:afterAutospacing="0"/>
              <w:jc w:val="both"/>
              <w:rPr>
                <w:lang w:eastAsia="ru-RU"/>
              </w:rPr>
            </w:pPr>
          </w:p>
          <w:p w14:paraId="75FE45E5" w14:textId="77777777" w:rsidR="00010C21" w:rsidRPr="00D159D0" w:rsidRDefault="00010C21" w:rsidP="004976F9">
            <w:pPr>
              <w:pStyle w:val="tj"/>
              <w:spacing w:before="0" w:beforeAutospacing="0" w:after="0" w:afterAutospacing="0"/>
              <w:jc w:val="both"/>
              <w:rPr>
                <w:lang w:eastAsia="ru-RU"/>
              </w:rPr>
            </w:pPr>
          </w:p>
          <w:p w14:paraId="36CC4F83" w14:textId="77777777" w:rsidR="00632EFC" w:rsidRPr="00D159D0" w:rsidRDefault="00632EFC" w:rsidP="004976F9">
            <w:pPr>
              <w:pStyle w:val="tj"/>
              <w:spacing w:before="0" w:beforeAutospacing="0" w:after="0" w:afterAutospacing="0"/>
              <w:jc w:val="both"/>
              <w:rPr>
                <w:lang w:eastAsia="ru-RU"/>
              </w:rPr>
            </w:pPr>
          </w:p>
          <w:p w14:paraId="57132F07" w14:textId="77777777" w:rsidR="00632EFC" w:rsidRPr="00D159D0" w:rsidRDefault="00632EFC" w:rsidP="004976F9">
            <w:pPr>
              <w:pStyle w:val="tj"/>
              <w:spacing w:before="0" w:beforeAutospacing="0" w:after="0" w:afterAutospacing="0"/>
              <w:jc w:val="both"/>
              <w:rPr>
                <w:lang w:eastAsia="ru-RU"/>
              </w:rPr>
            </w:pPr>
          </w:p>
          <w:p w14:paraId="1600029A" w14:textId="77777777" w:rsidR="00632EFC" w:rsidRPr="00D159D0" w:rsidRDefault="00632EFC" w:rsidP="004976F9">
            <w:pPr>
              <w:pStyle w:val="tj"/>
              <w:spacing w:before="0" w:beforeAutospacing="0" w:after="0" w:afterAutospacing="0"/>
              <w:jc w:val="both"/>
              <w:rPr>
                <w:lang w:eastAsia="ru-RU"/>
              </w:rPr>
            </w:pPr>
          </w:p>
          <w:p w14:paraId="1970865E" w14:textId="77777777" w:rsidR="00632EFC" w:rsidRPr="00D159D0" w:rsidRDefault="00632EFC" w:rsidP="004976F9">
            <w:pPr>
              <w:pStyle w:val="tj"/>
              <w:spacing w:before="0" w:beforeAutospacing="0" w:after="0" w:afterAutospacing="0"/>
              <w:jc w:val="both"/>
              <w:rPr>
                <w:lang w:eastAsia="ru-RU"/>
              </w:rPr>
            </w:pPr>
          </w:p>
          <w:p w14:paraId="0CDF9560" w14:textId="77777777" w:rsidR="00632EFC" w:rsidRPr="00D159D0" w:rsidRDefault="00632EFC" w:rsidP="004976F9">
            <w:pPr>
              <w:pStyle w:val="tj"/>
              <w:spacing w:before="0" w:beforeAutospacing="0" w:after="0" w:afterAutospacing="0"/>
              <w:jc w:val="both"/>
              <w:rPr>
                <w:lang w:eastAsia="ru-RU"/>
              </w:rPr>
            </w:pPr>
          </w:p>
          <w:p w14:paraId="78723374" w14:textId="77777777" w:rsidR="00632EFC" w:rsidRPr="00D159D0" w:rsidRDefault="00632EFC" w:rsidP="004976F9">
            <w:pPr>
              <w:pStyle w:val="tj"/>
              <w:spacing w:before="0" w:beforeAutospacing="0" w:after="0" w:afterAutospacing="0"/>
              <w:jc w:val="both"/>
              <w:rPr>
                <w:lang w:eastAsia="ru-RU"/>
              </w:rPr>
            </w:pPr>
          </w:p>
          <w:p w14:paraId="502CD017" w14:textId="77777777" w:rsidR="00A04687" w:rsidRPr="00D159D0" w:rsidRDefault="00A04687" w:rsidP="004976F9">
            <w:pPr>
              <w:jc w:val="both"/>
              <w:rPr>
                <w:b/>
                <w:lang w:val="uk-UA"/>
              </w:rPr>
            </w:pPr>
            <w:r w:rsidRPr="00D159D0">
              <w:rPr>
                <w:b/>
                <w:lang w:val="uk-UA"/>
              </w:rPr>
              <w:t>ТОВ «ДТЕК ВИСОКОВОЛЬТНІ МЕРЕЖІ» лист від 17.07.2024 № 08-61/935</w:t>
            </w:r>
          </w:p>
          <w:p w14:paraId="6237F25F" w14:textId="77777777" w:rsidR="00A04687" w:rsidRPr="00D159D0" w:rsidRDefault="00A04687" w:rsidP="004976F9">
            <w:pPr>
              <w:jc w:val="both"/>
              <w:rPr>
                <w:b/>
                <w:lang w:val="uk-UA"/>
              </w:rPr>
            </w:pPr>
            <w:r w:rsidRPr="00D159D0">
              <w:rPr>
                <w:b/>
                <w:lang w:val="uk-UA"/>
              </w:rPr>
              <w:t>АТ «ДТЕК ДОНЕЦЬКІ ЕЛЕКТРОМЕРЕЖІ» лист від 17.07.2024  № 06/9956</w:t>
            </w:r>
          </w:p>
          <w:p w14:paraId="175A158F" w14:textId="77777777" w:rsidR="00A72BE6" w:rsidRPr="00D159D0" w:rsidRDefault="00A72BE6" w:rsidP="00A72BE6">
            <w:pPr>
              <w:jc w:val="both"/>
              <w:rPr>
                <w:b/>
                <w:lang w:val="uk-UA"/>
              </w:rPr>
            </w:pPr>
            <w:r w:rsidRPr="00D159D0">
              <w:rPr>
                <w:b/>
                <w:lang w:val="uk-UA"/>
              </w:rPr>
              <w:t>ГC «Розумні електромережі лист від 17.07.2024 № 17-07/1</w:t>
            </w:r>
          </w:p>
          <w:p w14:paraId="75F9C9C4" w14:textId="77777777" w:rsidR="004976F9" w:rsidRPr="00D159D0" w:rsidRDefault="004976F9" w:rsidP="004976F9">
            <w:pPr>
              <w:pStyle w:val="tj"/>
              <w:spacing w:before="0" w:beforeAutospacing="0" w:after="0" w:afterAutospacing="0"/>
              <w:jc w:val="both"/>
              <w:rPr>
                <w:lang w:eastAsia="ru-RU"/>
              </w:rPr>
            </w:pPr>
            <w:r w:rsidRPr="00D159D0">
              <w:rPr>
                <w:lang w:eastAsia="ru-RU"/>
              </w:rPr>
              <w:t>Пропонується врахувати випадки усунення помилок або виконання приписів НКРЕКП.</w:t>
            </w:r>
          </w:p>
          <w:p w14:paraId="0ABE5499" w14:textId="77777777" w:rsidR="00A04687" w:rsidRPr="00D159D0" w:rsidRDefault="00A04687" w:rsidP="004976F9">
            <w:pPr>
              <w:pStyle w:val="tj"/>
              <w:spacing w:before="0" w:beforeAutospacing="0" w:after="0" w:afterAutospacing="0"/>
              <w:jc w:val="both"/>
              <w:rPr>
                <w:b/>
                <w:bCs/>
              </w:rPr>
            </w:pPr>
          </w:p>
          <w:p w14:paraId="42C036BE" w14:textId="77777777" w:rsidR="00010C21" w:rsidRPr="00D159D0" w:rsidRDefault="00010C21" w:rsidP="004976F9">
            <w:pPr>
              <w:pStyle w:val="tj"/>
              <w:spacing w:before="0" w:beforeAutospacing="0" w:after="0" w:afterAutospacing="0"/>
              <w:jc w:val="both"/>
            </w:pPr>
            <w:r w:rsidRPr="00D159D0">
              <w:rPr>
                <w:bCs/>
              </w:rPr>
              <w:t>Засідання технічної комісії проводиться не пізніше останнього календарного дня місяця кварталу в якому відбувається виведення/повторне введення</w:t>
            </w:r>
            <w:r w:rsidRPr="00D159D0">
              <w:t xml:space="preserve"> </w:t>
            </w:r>
            <w:r w:rsidRPr="00D159D0">
              <w:rPr>
                <w:bCs/>
              </w:rPr>
              <w:t>активів (елементів активу)</w:t>
            </w:r>
            <w:r w:rsidRPr="00D159D0">
              <w:rPr>
                <w:b/>
                <w:bCs/>
              </w:rPr>
              <w:t xml:space="preserve"> з</w:t>
            </w:r>
            <w:r w:rsidRPr="00D159D0">
              <w:rPr>
                <w:rStyle w:val="a9"/>
              </w:rPr>
              <w:t>а виключенням випадків самостійного виправлення помилок або приписів НКРЕКП у рамках планових та позапланових перевірок.</w:t>
            </w:r>
          </w:p>
          <w:p w14:paraId="6300E399" w14:textId="77777777" w:rsidR="00AD2A16" w:rsidRPr="00D159D0" w:rsidRDefault="00AD2A16" w:rsidP="004976F9">
            <w:pPr>
              <w:jc w:val="both"/>
              <w:rPr>
                <w:b/>
                <w:bCs/>
                <w:lang w:val="uk-UA"/>
              </w:rPr>
            </w:pPr>
          </w:p>
          <w:p w14:paraId="2D188FA1" w14:textId="77777777" w:rsidR="00624A50" w:rsidRPr="00D159D0" w:rsidRDefault="00624A50" w:rsidP="004976F9">
            <w:pPr>
              <w:jc w:val="both"/>
              <w:rPr>
                <w:b/>
                <w:bCs/>
                <w:lang w:val="uk-UA"/>
              </w:rPr>
            </w:pPr>
          </w:p>
          <w:p w14:paraId="2F34C48D" w14:textId="77777777" w:rsidR="00624A50" w:rsidRPr="00D159D0" w:rsidRDefault="00624A50" w:rsidP="004976F9">
            <w:pPr>
              <w:jc w:val="both"/>
              <w:rPr>
                <w:b/>
                <w:bCs/>
                <w:lang w:val="uk-UA"/>
              </w:rPr>
            </w:pPr>
          </w:p>
          <w:p w14:paraId="418958F8" w14:textId="77777777" w:rsidR="00624A50" w:rsidRPr="00D159D0" w:rsidRDefault="00624A50" w:rsidP="004976F9">
            <w:pPr>
              <w:jc w:val="both"/>
              <w:rPr>
                <w:b/>
                <w:bCs/>
                <w:lang w:val="uk-UA"/>
              </w:rPr>
            </w:pPr>
          </w:p>
          <w:p w14:paraId="342856D9" w14:textId="77777777" w:rsidR="00A04687" w:rsidRPr="00D159D0" w:rsidRDefault="00A04687" w:rsidP="004976F9">
            <w:pPr>
              <w:jc w:val="both"/>
              <w:rPr>
                <w:b/>
                <w:bCs/>
                <w:lang w:val="uk-UA" w:eastAsia="uk-UA"/>
              </w:rPr>
            </w:pPr>
            <w:r w:rsidRPr="00D159D0">
              <w:rPr>
                <w:b/>
                <w:bCs/>
                <w:lang w:val="uk-UA" w:eastAsia="uk-UA"/>
              </w:rPr>
              <w:t>ПРАТ «ЛЬВІВОБЛЕНЕРГО» лист від 17.07.2024 № 122-07-4275</w:t>
            </w:r>
          </w:p>
          <w:p w14:paraId="1BC22408" w14:textId="77777777" w:rsidR="00A04687" w:rsidRPr="00D159D0" w:rsidRDefault="00A04687" w:rsidP="004976F9">
            <w:pPr>
              <w:jc w:val="both"/>
              <w:rPr>
                <w:b/>
                <w:bCs/>
                <w:lang w:val="uk-UA"/>
              </w:rPr>
            </w:pPr>
            <w:r w:rsidRPr="00D159D0">
              <w:rPr>
                <w:b/>
                <w:bCs/>
                <w:lang w:val="uk-UA"/>
              </w:rPr>
              <w:t>Підпункт викласти у редакції:</w:t>
            </w:r>
          </w:p>
          <w:p w14:paraId="01ECF5D1" w14:textId="77777777" w:rsidR="00A04687" w:rsidRPr="00D159D0" w:rsidRDefault="00A04687" w:rsidP="004976F9">
            <w:pPr>
              <w:jc w:val="both"/>
              <w:rPr>
                <w:b/>
                <w:bCs/>
                <w:lang w:val="uk-UA"/>
              </w:rPr>
            </w:pPr>
            <w:r w:rsidRPr="00D159D0">
              <w:rPr>
                <w:b/>
                <w:bCs/>
                <w:lang w:val="uk-UA"/>
              </w:rPr>
              <w:t>Засідання технічної комісії проводиться не пізніше 15 числа календарного місяця, наступного за звітним кварталом, в якому відбувається виведення/повторне введення</w:t>
            </w:r>
            <w:r w:rsidRPr="00D159D0">
              <w:rPr>
                <w:lang w:val="uk-UA"/>
              </w:rPr>
              <w:t xml:space="preserve"> </w:t>
            </w:r>
            <w:r w:rsidRPr="00D159D0">
              <w:rPr>
                <w:b/>
                <w:bCs/>
                <w:lang w:val="uk-UA"/>
              </w:rPr>
              <w:t>активів (елементів активу).</w:t>
            </w:r>
          </w:p>
          <w:p w14:paraId="7A9EFB29" w14:textId="77777777" w:rsidR="00A04687" w:rsidRPr="00D159D0" w:rsidRDefault="00A04687" w:rsidP="004976F9">
            <w:pPr>
              <w:jc w:val="both"/>
              <w:rPr>
                <w:i/>
                <w:iCs/>
                <w:lang w:val="uk-UA" w:eastAsia="uk-UA"/>
              </w:rPr>
            </w:pPr>
            <w:r w:rsidRPr="00D159D0">
              <w:rPr>
                <w:i/>
                <w:iCs/>
                <w:lang w:val="uk-UA" w:eastAsia="uk-UA"/>
              </w:rPr>
              <w:t>Первинні документи щодо виведення/повторне введення складаються щомісячно включно до останнього дня місяця. Тому для затвердження реєстру активів необхідно час для їх перевірки, узагальнення і формування реєстру зазначених активів.</w:t>
            </w:r>
          </w:p>
          <w:p w14:paraId="4016427E" w14:textId="77777777" w:rsidR="00245958" w:rsidRPr="00D159D0" w:rsidRDefault="00245958" w:rsidP="004976F9">
            <w:pPr>
              <w:jc w:val="both"/>
              <w:rPr>
                <w:b/>
                <w:bCs/>
                <w:lang w:val="uk-UA"/>
              </w:rPr>
            </w:pPr>
          </w:p>
          <w:p w14:paraId="3101AA39" w14:textId="77777777" w:rsidR="00245958" w:rsidRPr="00D159D0" w:rsidRDefault="00245958" w:rsidP="004976F9">
            <w:pPr>
              <w:jc w:val="both"/>
              <w:rPr>
                <w:b/>
                <w:lang w:val="uk-UA"/>
              </w:rPr>
            </w:pPr>
            <w:r w:rsidRPr="00D159D0">
              <w:rPr>
                <w:b/>
                <w:bCs/>
                <w:lang w:val="uk-UA"/>
              </w:rPr>
              <w:t xml:space="preserve">АТ «ЖИТОМИРОБЛЕНЕРГО» лист від 17.07.2024 № </w:t>
            </w:r>
            <w:r w:rsidRPr="00D159D0">
              <w:rPr>
                <w:b/>
                <w:lang w:val="uk-UA"/>
              </w:rPr>
              <w:t>05/23984</w:t>
            </w:r>
          </w:p>
          <w:p w14:paraId="27EC2D5E" w14:textId="77777777" w:rsidR="00245958" w:rsidRPr="00D159D0" w:rsidRDefault="00245958" w:rsidP="004976F9">
            <w:pPr>
              <w:jc w:val="both"/>
              <w:rPr>
                <w:b/>
                <w:bCs/>
                <w:i/>
                <w:iCs/>
                <w:lang w:val="uk-UA"/>
              </w:rPr>
            </w:pPr>
            <w:r w:rsidRPr="00D159D0">
              <w:rPr>
                <w:i/>
                <w:iCs/>
                <w:lang w:val="uk-UA"/>
              </w:rPr>
              <w:t xml:space="preserve">Пропонуємо у даному пункті </w:t>
            </w:r>
            <w:r w:rsidRPr="00D159D0">
              <w:rPr>
                <w:b/>
                <w:bCs/>
                <w:i/>
                <w:iCs/>
                <w:lang w:val="uk-UA"/>
              </w:rPr>
              <w:t xml:space="preserve">змінити дату проведення комісії, </w:t>
            </w:r>
            <w:r w:rsidRPr="00D159D0">
              <w:rPr>
                <w:i/>
                <w:iCs/>
                <w:lang w:val="uk-UA"/>
              </w:rPr>
              <w:t>оскільки робота із активами, що ліквідуються у останній день місяця (і, відповідно, у останній день звітного кварталу), потребує часу для документального оформлення.</w:t>
            </w:r>
            <w:r w:rsidRPr="00D159D0">
              <w:rPr>
                <w:b/>
                <w:i/>
                <w:iCs/>
                <w:lang w:val="uk-UA"/>
              </w:rPr>
              <w:t xml:space="preserve"> </w:t>
            </w:r>
            <w:r w:rsidRPr="00D159D0">
              <w:rPr>
                <w:i/>
                <w:iCs/>
                <w:lang w:val="uk-UA"/>
              </w:rPr>
              <w:t>До того ж така практика існує і при формуванні звітів НКРЕКП (форма 2-НКРЕКП «Звіт про фінансові результати та виконання структури тарифів за видами діяльності, затверджена Постановою НКРЕКП від 28.02.2019 року №282</w:t>
            </w:r>
            <w:r w:rsidRPr="00D159D0">
              <w:rPr>
                <w:b/>
                <w:i/>
                <w:iCs/>
                <w:lang w:val="uk-UA"/>
              </w:rPr>
              <w:t>).</w:t>
            </w:r>
          </w:p>
        </w:tc>
        <w:tc>
          <w:tcPr>
            <w:tcW w:w="3544" w:type="dxa"/>
          </w:tcPr>
          <w:p w14:paraId="2A952EC4" w14:textId="77777777" w:rsidR="00AD2A16" w:rsidRPr="00D159D0" w:rsidRDefault="00AD2A16" w:rsidP="004976F9">
            <w:pPr>
              <w:jc w:val="both"/>
              <w:rPr>
                <w:b/>
                <w:bCs/>
                <w:lang w:val="uk-UA"/>
              </w:rPr>
            </w:pPr>
          </w:p>
          <w:p w14:paraId="382FD0D9" w14:textId="77777777" w:rsidR="00632EFC" w:rsidRPr="00D159D0" w:rsidRDefault="00632EFC" w:rsidP="004976F9">
            <w:pPr>
              <w:jc w:val="both"/>
              <w:rPr>
                <w:b/>
                <w:bCs/>
                <w:lang w:val="uk-UA"/>
              </w:rPr>
            </w:pPr>
          </w:p>
          <w:p w14:paraId="1D6BDECA" w14:textId="77777777" w:rsidR="00632EFC" w:rsidRPr="00D159D0" w:rsidRDefault="00632EFC" w:rsidP="004976F9">
            <w:pPr>
              <w:jc w:val="both"/>
              <w:rPr>
                <w:b/>
                <w:bCs/>
                <w:lang w:val="uk-UA"/>
              </w:rPr>
            </w:pPr>
          </w:p>
          <w:p w14:paraId="4E4EA993" w14:textId="77777777" w:rsidR="00632EFC" w:rsidRPr="00D159D0" w:rsidRDefault="00632EFC" w:rsidP="004976F9">
            <w:pPr>
              <w:jc w:val="both"/>
              <w:rPr>
                <w:b/>
                <w:bCs/>
                <w:lang w:val="uk-UA"/>
              </w:rPr>
            </w:pPr>
          </w:p>
          <w:p w14:paraId="3ACC3D1A" w14:textId="77777777" w:rsidR="00632EFC" w:rsidRPr="00D159D0" w:rsidRDefault="00632EFC" w:rsidP="004976F9">
            <w:pPr>
              <w:jc w:val="both"/>
              <w:rPr>
                <w:b/>
                <w:bCs/>
                <w:lang w:val="uk-UA"/>
              </w:rPr>
            </w:pPr>
          </w:p>
          <w:p w14:paraId="4850D9F9" w14:textId="77777777" w:rsidR="00632EFC" w:rsidRPr="00D159D0" w:rsidRDefault="00632EFC" w:rsidP="004976F9">
            <w:pPr>
              <w:jc w:val="both"/>
              <w:rPr>
                <w:b/>
                <w:bCs/>
                <w:lang w:val="uk-UA"/>
              </w:rPr>
            </w:pPr>
          </w:p>
          <w:p w14:paraId="60C702E4" w14:textId="77777777" w:rsidR="00632EFC" w:rsidRPr="00D159D0" w:rsidRDefault="00632EFC" w:rsidP="004976F9">
            <w:pPr>
              <w:jc w:val="both"/>
              <w:rPr>
                <w:b/>
                <w:bCs/>
                <w:lang w:val="uk-UA"/>
              </w:rPr>
            </w:pPr>
          </w:p>
          <w:p w14:paraId="4DC6D213" w14:textId="77777777" w:rsidR="00632EFC" w:rsidRPr="00D159D0" w:rsidRDefault="00632EFC" w:rsidP="004976F9">
            <w:pPr>
              <w:jc w:val="both"/>
              <w:rPr>
                <w:b/>
                <w:bCs/>
                <w:lang w:val="uk-UA"/>
              </w:rPr>
            </w:pPr>
          </w:p>
          <w:p w14:paraId="5F75F64C" w14:textId="77777777" w:rsidR="00632EFC" w:rsidRPr="00D159D0" w:rsidRDefault="00632EFC" w:rsidP="004976F9">
            <w:pPr>
              <w:jc w:val="both"/>
              <w:rPr>
                <w:b/>
                <w:bCs/>
                <w:lang w:val="uk-UA"/>
              </w:rPr>
            </w:pPr>
          </w:p>
          <w:p w14:paraId="4B76A1D1" w14:textId="77777777" w:rsidR="00632EFC" w:rsidRPr="00D159D0" w:rsidRDefault="00632EFC" w:rsidP="004976F9">
            <w:pPr>
              <w:jc w:val="both"/>
              <w:rPr>
                <w:b/>
                <w:bCs/>
                <w:lang w:val="uk-UA"/>
              </w:rPr>
            </w:pPr>
          </w:p>
          <w:p w14:paraId="212AB175" w14:textId="77777777" w:rsidR="00632EFC" w:rsidRPr="00D159D0" w:rsidRDefault="00632EFC" w:rsidP="004976F9">
            <w:pPr>
              <w:jc w:val="both"/>
              <w:rPr>
                <w:b/>
                <w:bCs/>
                <w:lang w:val="uk-UA"/>
              </w:rPr>
            </w:pPr>
          </w:p>
          <w:p w14:paraId="7DE6A9DF" w14:textId="77777777" w:rsidR="00632EFC" w:rsidRPr="00D159D0" w:rsidRDefault="00632EFC" w:rsidP="004976F9">
            <w:pPr>
              <w:jc w:val="both"/>
              <w:rPr>
                <w:b/>
                <w:bCs/>
                <w:lang w:val="uk-UA"/>
              </w:rPr>
            </w:pPr>
          </w:p>
          <w:p w14:paraId="150FBE16" w14:textId="77777777" w:rsidR="00632EFC" w:rsidRPr="00D159D0" w:rsidRDefault="00632EFC" w:rsidP="004976F9">
            <w:pPr>
              <w:jc w:val="both"/>
              <w:rPr>
                <w:b/>
                <w:bCs/>
                <w:lang w:val="uk-UA"/>
              </w:rPr>
            </w:pPr>
          </w:p>
          <w:p w14:paraId="17FBFF07" w14:textId="77777777" w:rsidR="00632EFC" w:rsidRPr="00D159D0" w:rsidRDefault="00632EFC" w:rsidP="004976F9">
            <w:pPr>
              <w:jc w:val="both"/>
              <w:rPr>
                <w:b/>
                <w:bCs/>
                <w:lang w:val="uk-UA"/>
              </w:rPr>
            </w:pPr>
          </w:p>
          <w:p w14:paraId="39736963" w14:textId="77777777" w:rsidR="00632EFC" w:rsidRPr="00D159D0" w:rsidRDefault="00632EFC" w:rsidP="004976F9">
            <w:pPr>
              <w:jc w:val="both"/>
              <w:rPr>
                <w:b/>
                <w:bCs/>
                <w:lang w:val="uk-UA"/>
              </w:rPr>
            </w:pPr>
          </w:p>
          <w:p w14:paraId="1B9EDD80" w14:textId="77777777" w:rsidR="00632EFC" w:rsidRPr="00D159D0" w:rsidRDefault="00632EFC" w:rsidP="004976F9">
            <w:pPr>
              <w:jc w:val="both"/>
              <w:rPr>
                <w:b/>
                <w:bCs/>
                <w:lang w:val="uk-UA"/>
              </w:rPr>
            </w:pPr>
          </w:p>
          <w:p w14:paraId="38A42582" w14:textId="77777777" w:rsidR="00632EFC" w:rsidRPr="00D159D0" w:rsidRDefault="00632EFC" w:rsidP="004976F9">
            <w:pPr>
              <w:jc w:val="both"/>
              <w:rPr>
                <w:b/>
                <w:bCs/>
                <w:lang w:val="uk-UA"/>
              </w:rPr>
            </w:pPr>
          </w:p>
          <w:p w14:paraId="0C3FB3F0" w14:textId="77777777" w:rsidR="00632EFC" w:rsidRPr="00D159D0" w:rsidRDefault="00632EFC" w:rsidP="004976F9">
            <w:pPr>
              <w:jc w:val="both"/>
              <w:rPr>
                <w:b/>
                <w:bCs/>
                <w:lang w:val="uk-UA"/>
              </w:rPr>
            </w:pPr>
            <w:r w:rsidRPr="00D159D0">
              <w:rPr>
                <w:b/>
                <w:bCs/>
                <w:lang w:val="uk-UA"/>
              </w:rPr>
              <w:t>Враховано</w:t>
            </w:r>
            <w:r w:rsidR="00762D4E" w:rsidRPr="00D159D0">
              <w:rPr>
                <w:b/>
                <w:bCs/>
                <w:lang w:val="uk-UA"/>
              </w:rPr>
              <w:t xml:space="preserve"> </w:t>
            </w:r>
            <w:r w:rsidR="00AD0D78" w:rsidRPr="00D159D0">
              <w:rPr>
                <w:b/>
                <w:bCs/>
                <w:lang w:val="uk-UA"/>
              </w:rPr>
              <w:t>частково</w:t>
            </w:r>
          </w:p>
          <w:p w14:paraId="02E6AB26" w14:textId="77777777" w:rsidR="00AD0D78" w:rsidRPr="00D159D0" w:rsidRDefault="00AD0D78" w:rsidP="004976F9">
            <w:pPr>
              <w:jc w:val="both"/>
              <w:rPr>
                <w:b/>
                <w:bCs/>
                <w:lang w:val="uk-UA"/>
              </w:rPr>
            </w:pPr>
            <w:r w:rsidRPr="00D159D0">
              <w:rPr>
                <w:b/>
                <w:bCs/>
                <w:lang w:val="uk-UA"/>
              </w:rPr>
              <w:t>Позиція викладена у п.1.5 розділу 1.</w:t>
            </w:r>
          </w:p>
          <w:p w14:paraId="664083AE" w14:textId="77777777" w:rsidR="00632EFC" w:rsidRPr="00D159D0" w:rsidRDefault="00632EFC" w:rsidP="004976F9">
            <w:pPr>
              <w:jc w:val="both"/>
              <w:rPr>
                <w:b/>
                <w:bCs/>
                <w:lang w:val="uk-UA"/>
              </w:rPr>
            </w:pPr>
          </w:p>
          <w:p w14:paraId="540890DD" w14:textId="77777777" w:rsidR="00632EFC" w:rsidRPr="00D159D0" w:rsidRDefault="00632EFC" w:rsidP="004976F9">
            <w:pPr>
              <w:jc w:val="both"/>
              <w:rPr>
                <w:b/>
                <w:bCs/>
                <w:lang w:val="uk-UA"/>
              </w:rPr>
            </w:pPr>
          </w:p>
          <w:p w14:paraId="67AA5948" w14:textId="77777777" w:rsidR="00632EFC" w:rsidRPr="00D159D0" w:rsidRDefault="00632EFC" w:rsidP="004976F9">
            <w:pPr>
              <w:jc w:val="both"/>
              <w:rPr>
                <w:b/>
                <w:bCs/>
                <w:lang w:val="uk-UA"/>
              </w:rPr>
            </w:pPr>
          </w:p>
          <w:p w14:paraId="0D3007AF" w14:textId="77777777" w:rsidR="00632EFC" w:rsidRPr="00D159D0" w:rsidRDefault="00632EFC" w:rsidP="004976F9">
            <w:pPr>
              <w:jc w:val="both"/>
              <w:rPr>
                <w:b/>
                <w:bCs/>
                <w:lang w:val="uk-UA"/>
              </w:rPr>
            </w:pPr>
          </w:p>
          <w:p w14:paraId="06A386F7" w14:textId="77777777" w:rsidR="00632EFC" w:rsidRPr="00D159D0" w:rsidRDefault="00632EFC" w:rsidP="004976F9">
            <w:pPr>
              <w:jc w:val="both"/>
              <w:rPr>
                <w:b/>
                <w:bCs/>
                <w:lang w:val="uk-UA"/>
              </w:rPr>
            </w:pPr>
          </w:p>
          <w:p w14:paraId="4A7D62A9" w14:textId="77777777" w:rsidR="00632EFC" w:rsidRPr="00D159D0" w:rsidRDefault="00632EFC" w:rsidP="004976F9">
            <w:pPr>
              <w:jc w:val="both"/>
              <w:rPr>
                <w:b/>
                <w:bCs/>
                <w:lang w:val="uk-UA"/>
              </w:rPr>
            </w:pPr>
          </w:p>
          <w:p w14:paraId="473EB853" w14:textId="77777777" w:rsidR="00632EFC" w:rsidRPr="00D159D0" w:rsidRDefault="00632EFC" w:rsidP="004976F9">
            <w:pPr>
              <w:jc w:val="both"/>
              <w:rPr>
                <w:b/>
                <w:bCs/>
                <w:lang w:val="uk-UA"/>
              </w:rPr>
            </w:pPr>
          </w:p>
          <w:p w14:paraId="4C321434" w14:textId="77777777" w:rsidR="00632EFC" w:rsidRPr="00D159D0" w:rsidRDefault="00632EFC" w:rsidP="004976F9">
            <w:pPr>
              <w:jc w:val="both"/>
              <w:rPr>
                <w:b/>
                <w:bCs/>
                <w:lang w:val="uk-UA"/>
              </w:rPr>
            </w:pPr>
          </w:p>
          <w:p w14:paraId="383DF6BE" w14:textId="77777777" w:rsidR="00632EFC" w:rsidRPr="00D159D0" w:rsidRDefault="00632EFC" w:rsidP="004976F9">
            <w:pPr>
              <w:jc w:val="both"/>
              <w:rPr>
                <w:b/>
                <w:bCs/>
                <w:lang w:val="uk-UA"/>
              </w:rPr>
            </w:pPr>
          </w:p>
          <w:p w14:paraId="3C2FA76C" w14:textId="77777777" w:rsidR="00632EFC" w:rsidRPr="00D159D0" w:rsidRDefault="00632EFC" w:rsidP="004976F9">
            <w:pPr>
              <w:jc w:val="both"/>
              <w:rPr>
                <w:b/>
                <w:bCs/>
                <w:lang w:val="uk-UA"/>
              </w:rPr>
            </w:pPr>
          </w:p>
          <w:p w14:paraId="0B36B041" w14:textId="77777777" w:rsidR="00632EFC" w:rsidRPr="00D159D0" w:rsidRDefault="00632EFC" w:rsidP="004976F9">
            <w:pPr>
              <w:jc w:val="both"/>
              <w:rPr>
                <w:b/>
                <w:bCs/>
                <w:lang w:val="uk-UA"/>
              </w:rPr>
            </w:pPr>
          </w:p>
          <w:p w14:paraId="4C14752B" w14:textId="77777777" w:rsidR="00632EFC" w:rsidRPr="00D159D0" w:rsidRDefault="00632EFC" w:rsidP="004976F9">
            <w:pPr>
              <w:jc w:val="both"/>
              <w:rPr>
                <w:b/>
                <w:bCs/>
                <w:lang w:val="uk-UA"/>
              </w:rPr>
            </w:pPr>
          </w:p>
          <w:p w14:paraId="47DFDE5E" w14:textId="77777777" w:rsidR="00632EFC" w:rsidRPr="00D159D0" w:rsidRDefault="00632EFC" w:rsidP="004976F9">
            <w:pPr>
              <w:jc w:val="both"/>
              <w:rPr>
                <w:b/>
                <w:bCs/>
                <w:lang w:val="uk-UA"/>
              </w:rPr>
            </w:pPr>
          </w:p>
          <w:p w14:paraId="72629DA1" w14:textId="77777777" w:rsidR="00632EFC" w:rsidRPr="00D159D0" w:rsidRDefault="00632EFC" w:rsidP="004976F9">
            <w:pPr>
              <w:jc w:val="both"/>
              <w:rPr>
                <w:b/>
                <w:bCs/>
                <w:lang w:val="uk-UA"/>
              </w:rPr>
            </w:pPr>
          </w:p>
          <w:p w14:paraId="4C460F64" w14:textId="77777777" w:rsidR="00762D4E" w:rsidRPr="00D159D0" w:rsidRDefault="00517DAF" w:rsidP="004976F9">
            <w:pPr>
              <w:jc w:val="both"/>
              <w:rPr>
                <w:b/>
                <w:bCs/>
                <w:lang w:val="uk-UA"/>
              </w:rPr>
            </w:pPr>
            <w:r w:rsidRPr="00D159D0">
              <w:rPr>
                <w:b/>
                <w:bCs/>
                <w:lang w:val="uk-UA"/>
              </w:rPr>
              <w:t>Враховано частково</w:t>
            </w:r>
          </w:p>
          <w:p w14:paraId="36C94A5E" w14:textId="77777777" w:rsidR="00517DAF" w:rsidRPr="00D159D0" w:rsidRDefault="00517DAF" w:rsidP="00517DAF">
            <w:pPr>
              <w:pStyle w:val="tj"/>
              <w:spacing w:before="0" w:beforeAutospacing="0" w:after="0" w:afterAutospacing="0"/>
              <w:jc w:val="both"/>
              <w:rPr>
                <w:b/>
                <w:bCs/>
              </w:rPr>
            </w:pPr>
            <w:r w:rsidRPr="00D159D0">
              <w:rPr>
                <w:b/>
                <w:bCs/>
              </w:rPr>
              <w:t>Пропонується наступна редакція:</w:t>
            </w:r>
          </w:p>
          <w:p w14:paraId="475F5CE3" w14:textId="6ABDF521" w:rsidR="00517DAF" w:rsidRPr="00D159D0" w:rsidRDefault="00517DAF" w:rsidP="00517DAF">
            <w:pPr>
              <w:pStyle w:val="tj"/>
              <w:spacing w:before="0" w:beforeAutospacing="0" w:after="0" w:afterAutospacing="0"/>
              <w:jc w:val="both"/>
              <w:rPr>
                <w:rStyle w:val="a9"/>
              </w:rPr>
            </w:pPr>
            <w:r w:rsidRPr="00D159D0">
              <w:rPr>
                <w:bCs/>
              </w:rPr>
              <w:t>«Засідання технічної комісії проводиться не пізніше останнього календарного дня місяця кварталу в якому відбувається виведення/повторне введення</w:t>
            </w:r>
            <w:r w:rsidRPr="00D159D0">
              <w:t xml:space="preserve"> </w:t>
            </w:r>
            <w:r w:rsidRPr="00D159D0">
              <w:rPr>
                <w:bCs/>
              </w:rPr>
              <w:t xml:space="preserve">активів (елементів активу). </w:t>
            </w:r>
          </w:p>
          <w:p w14:paraId="307B44AF" w14:textId="4C69A0ED" w:rsidR="00D47587" w:rsidRPr="00D159D0" w:rsidRDefault="006439BC" w:rsidP="004976F9">
            <w:pPr>
              <w:jc w:val="both"/>
              <w:rPr>
                <w:b/>
                <w:lang w:val="uk-UA"/>
              </w:rPr>
            </w:pPr>
            <w:r w:rsidRPr="00D159D0">
              <w:rPr>
                <w:b/>
                <w:lang w:val="uk-UA"/>
              </w:rPr>
              <w:t>У разі виправлення помилок за</w:t>
            </w:r>
            <w:r w:rsidR="00616E43" w:rsidRPr="00D159D0">
              <w:rPr>
                <w:b/>
                <w:lang w:val="uk-UA"/>
              </w:rPr>
              <w:t xml:space="preserve"> результатами заходів державного контролю, </w:t>
            </w:r>
            <w:r w:rsidR="00CC2A85" w:rsidRPr="00D159D0">
              <w:rPr>
                <w:b/>
                <w:lang w:val="uk-UA"/>
              </w:rPr>
              <w:t xml:space="preserve">на підставі прийнятого рішення, </w:t>
            </w:r>
            <w:r w:rsidR="00616E43" w:rsidRPr="00D159D0">
              <w:rPr>
                <w:b/>
                <w:lang w:val="uk-UA"/>
              </w:rPr>
              <w:t xml:space="preserve">засідання </w:t>
            </w:r>
            <w:r w:rsidR="00E81FD1" w:rsidRPr="00D159D0">
              <w:rPr>
                <w:b/>
                <w:lang w:val="uk-UA"/>
              </w:rPr>
              <w:t xml:space="preserve">технічної </w:t>
            </w:r>
            <w:r w:rsidR="00616E43" w:rsidRPr="00D159D0">
              <w:rPr>
                <w:b/>
                <w:lang w:val="uk-UA"/>
              </w:rPr>
              <w:t xml:space="preserve">комісії проводиться </w:t>
            </w:r>
            <w:r w:rsidR="00AE7407" w:rsidRPr="00D159D0">
              <w:rPr>
                <w:b/>
                <w:lang w:val="uk-UA"/>
              </w:rPr>
              <w:t xml:space="preserve">протягом </w:t>
            </w:r>
            <w:r w:rsidR="00CC2A85" w:rsidRPr="00D159D0">
              <w:rPr>
                <w:b/>
                <w:lang w:val="uk-UA"/>
              </w:rPr>
              <w:t>відповідно</w:t>
            </w:r>
            <w:r w:rsidR="00AE7407" w:rsidRPr="00D159D0">
              <w:rPr>
                <w:b/>
                <w:lang w:val="uk-UA"/>
              </w:rPr>
              <w:t>го</w:t>
            </w:r>
            <w:r w:rsidR="00616E43" w:rsidRPr="00D159D0">
              <w:rPr>
                <w:b/>
                <w:lang w:val="uk-UA"/>
              </w:rPr>
              <w:t xml:space="preserve"> </w:t>
            </w:r>
            <w:r w:rsidR="00CC2A85" w:rsidRPr="00D159D0">
              <w:rPr>
                <w:b/>
                <w:lang w:val="uk-UA"/>
              </w:rPr>
              <w:t>календарно</w:t>
            </w:r>
            <w:r w:rsidR="00AE7407" w:rsidRPr="00D159D0">
              <w:rPr>
                <w:b/>
                <w:lang w:val="uk-UA"/>
              </w:rPr>
              <w:t>го</w:t>
            </w:r>
            <w:r w:rsidR="00CC2A85" w:rsidRPr="00D159D0">
              <w:rPr>
                <w:b/>
                <w:lang w:val="uk-UA"/>
              </w:rPr>
              <w:t xml:space="preserve"> </w:t>
            </w:r>
            <w:r w:rsidR="00616E43" w:rsidRPr="00D159D0">
              <w:rPr>
                <w:b/>
                <w:lang w:val="uk-UA"/>
              </w:rPr>
              <w:t>місяц</w:t>
            </w:r>
            <w:r w:rsidR="00AE7407" w:rsidRPr="00D159D0">
              <w:rPr>
                <w:b/>
                <w:lang w:val="uk-UA"/>
              </w:rPr>
              <w:t>я</w:t>
            </w:r>
            <w:r w:rsidR="00CC2A85" w:rsidRPr="00D159D0">
              <w:rPr>
                <w:b/>
                <w:lang w:val="uk-UA"/>
              </w:rPr>
              <w:t>.</w:t>
            </w:r>
            <w:r w:rsidR="00E81FD1" w:rsidRPr="00D159D0">
              <w:rPr>
                <w:b/>
                <w:lang w:val="uk-UA"/>
              </w:rPr>
              <w:t>»</w:t>
            </w:r>
            <w:r w:rsidR="00CC2A85" w:rsidRPr="00D159D0">
              <w:rPr>
                <w:b/>
                <w:lang w:val="uk-UA"/>
              </w:rPr>
              <w:t>.</w:t>
            </w:r>
          </w:p>
          <w:p w14:paraId="0406CDB6" w14:textId="77777777" w:rsidR="00D47587" w:rsidRPr="00D159D0" w:rsidRDefault="00D47587" w:rsidP="004976F9">
            <w:pPr>
              <w:jc w:val="both"/>
              <w:rPr>
                <w:b/>
                <w:bCs/>
                <w:lang w:val="uk-UA"/>
              </w:rPr>
            </w:pPr>
          </w:p>
          <w:p w14:paraId="140E7452" w14:textId="77777777" w:rsidR="00D47587" w:rsidRPr="00D159D0" w:rsidRDefault="00D47587" w:rsidP="004976F9">
            <w:pPr>
              <w:jc w:val="both"/>
              <w:rPr>
                <w:b/>
                <w:bCs/>
                <w:lang w:val="uk-UA"/>
              </w:rPr>
            </w:pPr>
          </w:p>
          <w:p w14:paraId="2B01BB5F" w14:textId="77777777" w:rsidR="00333AD0" w:rsidRPr="00D159D0" w:rsidRDefault="00333AD0" w:rsidP="004976F9">
            <w:pPr>
              <w:jc w:val="both"/>
              <w:rPr>
                <w:b/>
                <w:bCs/>
                <w:lang w:val="uk-UA"/>
              </w:rPr>
            </w:pPr>
            <w:r w:rsidRPr="00D159D0">
              <w:rPr>
                <w:b/>
                <w:bCs/>
                <w:lang w:val="uk-UA"/>
              </w:rPr>
              <w:t>Загальна позиція</w:t>
            </w:r>
          </w:p>
          <w:p w14:paraId="5EB52826" w14:textId="77777777" w:rsidR="00AE7407" w:rsidRPr="00D159D0" w:rsidRDefault="00AE7407" w:rsidP="00AE7407">
            <w:pPr>
              <w:jc w:val="both"/>
              <w:rPr>
                <w:b/>
                <w:bCs/>
                <w:lang w:val="uk-UA"/>
              </w:rPr>
            </w:pPr>
            <w:r w:rsidRPr="00D159D0">
              <w:rPr>
                <w:b/>
                <w:bCs/>
                <w:lang w:val="uk-UA"/>
              </w:rPr>
              <w:t>Не враховано</w:t>
            </w:r>
          </w:p>
          <w:p w14:paraId="1F6B5B60" w14:textId="77777777" w:rsidR="00AE7407" w:rsidRPr="00D159D0" w:rsidRDefault="00AE7407" w:rsidP="00AE7407">
            <w:pPr>
              <w:jc w:val="both"/>
              <w:rPr>
                <w:b/>
                <w:bCs/>
                <w:lang w:val="uk-UA"/>
              </w:rPr>
            </w:pPr>
            <w:r w:rsidRPr="00D159D0">
              <w:rPr>
                <w:b/>
                <w:bCs/>
                <w:lang w:val="uk-UA"/>
              </w:rPr>
              <w:t>Недостатньо обґрунтована пропозиція</w:t>
            </w:r>
          </w:p>
          <w:p w14:paraId="05339253" w14:textId="5FFF75C2" w:rsidR="00D47587" w:rsidRPr="00D159D0" w:rsidRDefault="00333AD0" w:rsidP="00000E17">
            <w:pPr>
              <w:jc w:val="both"/>
              <w:rPr>
                <w:bCs/>
                <w:lang w:val="uk-UA"/>
              </w:rPr>
            </w:pPr>
            <w:r w:rsidRPr="00D159D0">
              <w:rPr>
                <w:bCs/>
                <w:lang w:val="uk-UA"/>
              </w:rPr>
              <w:t>Фактичне введення/виведення активів (елементів активу) має співпадати з періодом</w:t>
            </w:r>
            <w:r w:rsidR="0039461B" w:rsidRPr="00D159D0">
              <w:rPr>
                <w:bCs/>
                <w:lang w:val="uk-UA"/>
              </w:rPr>
              <w:t>,</w:t>
            </w:r>
            <w:r w:rsidRPr="00D159D0">
              <w:rPr>
                <w:bCs/>
                <w:lang w:val="uk-UA"/>
              </w:rPr>
              <w:t xml:space="preserve"> зазначеним у документі, що засвідчує введення/виведення таких активів (елементів активу) </w:t>
            </w:r>
          </w:p>
        </w:tc>
      </w:tr>
      <w:tr w:rsidR="00D159D0" w:rsidRPr="00D159D0" w14:paraId="512065AE" w14:textId="77777777" w:rsidTr="00EE26FC">
        <w:tc>
          <w:tcPr>
            <w:tcW w:w="5665" w:type="dxa"/>
          </w:tcPr>
          <w:p w14:paraId="468C3678" w14:textId="77777777" w:rsidR="00A72BE6" w:rsidRPr="00D159D0" w:rsidRDefault="00A72BE6" w:rsidP="004976F9">
            <w:pPr>
              <w:shd w:val="clear" w:color="auto" w:fill="FFFFFF"/>
              <w:jc w:val="both"/>
              <w:rPr>
                <w:b/>
                <w:lang w:val="uk-UA"/>
              </w:rPr>
            </w:pPr>
            <w:r w:rsidRPr="00D159D0">
              <w:rPr>
                <w:lang w:val="uk-UA" w:eastAsia="uk-UA"/>
              </w:rPr>
              <w:lastRenderedPageBreak/>
              <w:t xml:space="preserve">3.2. Об'єкти незавершених капітальних інвестицій </w:t>
            </w:r>
            <w:r w:rsidRPr="00D159D0">
              <w:rPr>
                <w:b/>
                <w:bCs/>
                <w:lang w:val="uk-UA"/>
              </w:rPr>
              <w:t xml:space="preserve">(що враховують зокрема </w:t>
            </w:r>
            <w:proofErr w:type="spellStart"/>
            <w:r w:rsidRPr="00D159D0">
              <w:rPr>
                <w:b/>
                <w:bCs/>
                <w:lang w:val="uk-UA"/>
              </w:rPr>
              <w:t>проєктно</w:t>
            </w:r>
            <w:proofErr w:type="spellEnd"/>
            <w:r w:rsidRPr="00D159D0">
              <w:rPr>
                <w:b/>
                <w:bCs/>
                <w:lang w:val="uk-UA"/>
              </w:rPr>
              <w:t xml:space="preserve">-кошторисну документацію з виконання відповідних робіт, </w:t>
            </w:r>
            <w:proofErr w:type="spellStart"/>
            <w:r w:rsidRPr="00D159D0">
              <w:rPr>
                <w:b/>
                <w:bCs/>
                <w:lang w:val="uk-UA"/>
              </w:rPr>
              <w:t>проєктно</w:t>
            </w:r>
            <w:proofErr w:type="spellEnd"/>
            <w:r w:rsidRPr="00D159D0">
              <w:rPr>
                <w:b/>
                <w:bCs/>
                <w:lang w:val="uk-UA"/>
              </w:rPr>
              <w:t>-вишукувальні роботи)</w:t>
            </w:r>
            <w:r w:rsidRPr="00D159D0">
              <w:rPr>
                <w:lang w:val="uk-UA" w:eastAsia="uk-UA"/>
              </w:rPr>
              <w:t xml:space="preserve">, 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наступних за роками після впровадження стимулюючого регулювання, можуть бути включені до складу регуляторної бази активів, яка створена після переходу до стимулюючого регулювання, </w:t>
            </w:r>
            <w:r w:rsidRPr="00D159D0">
              <w:rPr>
                <w:b/>
                <w:lang w:val="uk-UA"/>
              </w:rPr>
              <w:t>у рамках</w:t>
            </w:r>
            <w:r w:rsidRPr="00D159D0">
              <w:rPr>
                <w:lang w:val="uk-UA"/>
              </w:rPr>
              <w:t xml:space="preserve"> </w:t>
            </w:r>
            <w:r w:rsidRPr="00D159D0">
              <w:rPr>
                <w:b/>
                <w:lang w:val="uk-UA"/>
              </w:rPr>
              <w:t xml:space="preserve">створення активів </w:t>
            </w:r>
            <w:r w:rsidRPr="00D159D0">
              <w:rPr>
                <w:lang w:val="uk-UA" w:eastAsia="uk-UA"/>
              </w:rPr>
              <w:t>у році, наступному після року їх введення в експлуатацію</w:t>
            </w:r>
            <w:r w:rsidRPr="00D159D0">
              <w:rPr>
                <w:lang w:val="uk-UA"/>
              </w:rPr>
              <w:t>.</w:t>
            </w:r>
          </w:p>
        </w:tc>
        <w:tc>
          <w:tcPr>
            <w:tcW w:w="5954" w:type="dxa"/>
          </w:tcPr>
          <w:p w14:paraId="0C126BCB" w14:textId="77777777" w:rsidR="00A72BE6" w:rsidRPr="00D159D0" w:rsidRDefault="00A72BE6" w:rsidP="00A72BE6">
            <w:pPr>
              <w:jc w:val="both"/>
              <w:rPr>
                <w:b/>
                <w:lang w:val="uk-UA"/>
              </w:rPr>
            </w:pPr>
            <w:r w:rsidRPr="00D159D0">
              <w:rPr>
                <w:b/>
                <w:lang w:val="uk-UA"/>
              </w:rPr>
              <w:t>ГC «Розумні електромережі лист від 17.07.2024 № 17-07/1</w:t>
            </w:r>
          </w:p>
          <w:p w14:paraId="39BE0830" w14:textId="77777777" w:rsidR="00A72BE6" w:rsidRPr="00D159D0" w:rsidRDefault="00A72BE6" w:rsidP="004976F9">
            <w:pPr>
              <w:jc w:val="both"/>
              <w:rPr>
                <w:b/>
                <w:lang w:val="uk-UA"/>
              </w:rPr>
            </w:pPr>
            <w:r w:rsidRPr="00D159D0">
              <w:rPr>
                <w:lang w:val="uk-UA" w:eastAsia="uk-UA"/>
              </w:rPr>
              <w:t xml:space="preserve">3.2. Об'єкти незавершених капітальних інвестицій </w:t>
            </w:r>
            <w:r w:rsidRPr="00D159D0">
              <w:rPr>
                <w:bCs/>
                <w:lang w:val="uk-UA"/>
              </w:rPr>
              <w:t xml:space="preserve">(що враховують зокрема </w:t>
            </w:r>
            <w:proofErr w:type="spellStart"/>
            <w:r w:rsidRPr="00D159D0">
              <w:rPr>
                <w:bCs/>
                <w:lang w:val="uk-UA"/>
              </w:rPr>
              <w:t>проєктно</w:t>
            </w:r>
            <w:proofErr w:type="spellEnd"/>
            <w:r w:rsidRPr="00D159D0">
              <w:rPr>
                <w:bCs/>
                <w:lang w:val="uk-UA"/>
              </w:rPr>
              <w:t xml:space="preserve">-кошторисну документацію з виконання відповідних робіт, </w:t>
            </w:r>
            <w:proofErr w:type="spellStart"/>
            <w:r w:rsidRPr="00D159D0">
              <w:rPr>
                <w:bCs/>
                <w:lang w:val="uk-UA"/>
              </w:rPr>
              <w:t>проєктно</w:t>
            </w:r>
            <w:proofErr w:type="spellEnd"/>
            <w:r w:rsidRPr="00D159D0">
              <w:rPr>
                <w:bCs/>
                <w:lang w:val="uk-UA"/>
              </w:rPr>
              <w:t>-вишукувальні роботи</w:t>
            </w:r>
            <w:r w:rsidRPr="00D159D0">
              <w:rPr>
                <w:lang w:val="uk-UA"/>
              </w:rPr>
              <w:t xml:space="preserve"> </w:t>
            </w:r>
            <w:r w:rsidRPr="00D159D0">
              <w:rPr>
                <w:b/>
                <w:bCs/>
                <w:lang w:val="uk-UA"/>
              </w:rPr>
              <w:t>та землевпорядну документацію)</w:t>
            </w:r>
            <w:r w:rsidRPr="00D159D0">
              <w:rPr>
                <w:lang w:val="uk-UA" w:eastAsia="uk-UA"/>
              </w:rPr>
              <w:t xml:space="preserve">, вартість виконання робіт за якими була оплачена в межах виконання затвердженої, погодженої та схваленої відповідно до Порядку формування інвестиційних програм інвестиційної програми, у роках, наступних за роками після впровадження стимулюючого регулювання, можуть бути включені до складу регуляторної бази активів, яка створена після переходу до стимулюючого регулювання, </w:t>
            </w:r>
            <w:r w:rsidRPr="00D159D0">
              <w:rPr>
                <w:b/>
                <w:lang w:val="uk-UA"/>
              </w:rPr>
              <w:t>у рамках</w:t>
            </w:r>
            <w:r w:rsidRPr="00D159D0">
              <w:rPr>
                <w:lang w:val="uk-UA"/>
              </w:rPr>
              <w:t xml:space="preserve"> </w:t>
            </w:r>
            <w:r w:rsidRPr="00D159D0">
              <w:rPr>
                <w:b/>
                <w:lang w:val="uk-UA"/>
              </w:rPr>
              <w:t xml:space="preserve">створення активів </w:t>
            </w:r>
            <w:r w:rsidRPr="00D159D0">
              <w:rPr>
                <w:lang w:val="uk-UA" w:eastAsia="uk-UA"/>
              </w:rPr>
              <w:t>у році, наступному після року їх введення в експлуатацію</w:t>
            </w:r>
            <w:r w:rsidRPr="00D159D0">
              <w:rPr>
                <w:lang w:val="uk-UA"/>
              </w:rPr>
              <w:t>.</w:t>
            </w:r>
          </w:p>
        </w:tc>
        <w:tc>
          <w:tcPr>
            <w:tcW w:w="3544" w:type="dxa"/>
          </w:tcPr>
          <w:p w14:paraId="79C8FF44" w14:textId="77777777" w:rsidR="00F21C6E" w:rsidRPr="00D159D0" w:rsidRDefault="00F21C6E" w:rsidP="00F21C6E">
            <w:pPr>
              <w:jc w:val="both"/>
              <w:rPr>
                <w:b/>
                <w:bCs/>
                <w:lang w:val="uk-UA"/>
              </w:rPr>
            </w:pPr>
            <w:r w:rsidRPr="00D159D0">
              <w:rPr>
                <w:b/>
                <w:bCs/>
                <w:lang w:val="uk-UA"/>
              </w:rPr>
              <w:t>Не враховано</w:t>
            </w:r>
          </w:p>
          <w:p w14:paraId="2EF5D04F" w14:textId="77777777" w:rsidR="00F21C6E" w:rsidRPr="00D159D0" w:rsidRDefault="00F21C6E" w:rsidP="00F21C6E">
            <w:pPr>
              <w:jc w:val="both"/>
              <w:rPr>
                <w:b/>
                <w:bCs/>
                <w:lang w:val="uk-UA"/>
              </w:rPr>
            </w:pPr>
            <w:r w:rsidRPr="00D159D0">
              <w:rPr>
                <w:b/>
                <w:bCs/>
                <w:lang w:val="uk-UA"/>
              </w:rPr>
              <w:t>Недостатньо обґрунтована пропозиція</w:t>
            </w:r>
          </w:p>
          <w:p w14:paraId="04CD4017" w14:textId="6655897D" w:rsidR="00A72BE6" w:rsidRPr="00D159D0" w:rsidRDefault="00A72BE6" w:rsidP="00F21C6E">
            <w:pPr>
              <w:jc w:val="both"/>
              <w:rPr>
                <w:b/>
                <w:bCs/>
                <w:lang w:val="uk-UA"/>
              </w:rPr>
            </w:pPr>
          </w:p>
        </w:tc>
      </w:tr>
      <w:tr w:rsidR="00D159D0" w:rsidRPr="00D159D0" w14:paraId="13851727" w14:textId="77777777" w:rsidTr="00EE26FC">
        <w:tc>
          <w:tcPr>
            <w:tcW w:w="5665" w:type="dxa"/>
          </w:tcPr>
          <w:p w14:paraId="62E9AE4F" w14:textId="77777777" w:rsidR="00010C21" w:rsidRPr="00D159D0" w:rsidRDefault="00010C21" w:rsidP="004976F9">
            <w:pPr>
              <w:shd w:val="clear" w:color="auto" w:fill="FFFFFF"/>
              <w:jc w:val="both"/>
              <w:rPr>
                <w:b/>
                <w:lang w:val="uk-UA"/>
              </w:rPr>
            </w:pPr>
            <w:r w:rsidRPr="00D159D0">
              <w:rPr>
                <w:b/>
                <w:lang w:val="uk-UA"/>
              </w:rPr>
              <w:t>Зміни не пропонувались</w:t>
            </w:r>
          </w:p>
          <w:p w14:paraId="39D0EE55" w14:textId="77777777" w:rsidR="00010C21" w:rsidRPr="00D159D0" w:rsidRDefault="00010C21" w:rsidP="004976F9">
            <w:pPr>
              <w:shd w:val="clear" w:color="auto" w:fill="FFFFFF"/>
              <w:jc w:val="both"/>
              <w:rPr>
                <w:b/>
                <w:u w:val="single"/>
                <w:lang w:val="uk-UA"/>
              </w:rPr>
            </w:pPr>
          </w:p>
          <w:p w14:paraId="1F54005B" w14:textId="77777777" w:rsidR="00010C21" w:rsidRPr="00D159D0" w:rsidRDefault="00010C21" w:rsidP="004976F9">
            <w:pPr>
              <w:shd w:val="clear" w:color="auto" w:fill="FFFFFF"/>
              <w:jc w:val="both"/>
              <w:rPr>
                <w:lang w:val="uk-UA"/>
              </w:rPr>
            </w:pPr>
          </w:p>
          <w:p w14:paraId="749E75DA" w14:textId="77777777" w:rsidR="00010C21" w:rsidRPr="00D159D0" w:rsidRDefault="00010C21" w:rsidP="004976F9">
            <w:pPr>
              <w:shd w:val="clear" w:color="auto" w:fill="FFFFFF"/>
              <w:jc w:val="both"/>
              <w:rPr>
                <w:lang w:val="uk-UA"/>
              </w:rPr>
            </w:pPr>
          </w:p>
          <w:p w14:paraId="7E1C2161" w14:textId="77777777" w:rsidR="00010C21" w:rsidRPr="00D159D0" w:rsidRDefault="00010C21" w:rsidP="004976F9">
            <w:pPr>
              <w:shd w:val="clear" w:color="auto" w:fill="FFFFFF"/>
              <w:jc w:val="both"/>
              <w:rPr>
                <w:lang w:val="uk-UA"/>
              </w:rPr>
            </w:pPr>
          </w:p>
          <w:p w14:paraId="183989BD" w14:textId="77777777" w:rsidR="00010C21" w:rsidRPr="00D159D0" w:rsidRDefault="00010C21" w:rsidP="004976F9">
            <w:pPr>
              <w:shd w:val="clear" w:color="auto" w:fill="FFFFFF"/>
              <w:jc w:val="both"/>
              <w:rPr>
                <w:lang w:val="uk-UA"/>
              </w:rPr>
            </w:pPr>
          </w:p>
          <w:p w14:paraId="7265E91B" w14:textId="77777777" w:rsidR="00010C21" w:rsidRPr="00D159D0" w:rsidRDefault="00010C21" w:rsidP="004976F9">
            <w:pPr>
              <w:shd w:val="clear" w:color="auto" w:fill="FFFFFF"/>
              <w:jc w:val="both"/>
              <w:rPr>
                <w:lang w:val="uk-UA"/>
              </w:rPr>
            </w:pPr>
          </w:p>
          <w:p w14:paraId="4AAC9BA8" w14:textId="77777777" w:rsidR="00010C21" w:rsidRPr="00D159D0" w:rsidRDefault="00010C21" w:rsidP="004976F9">
            <w:pPr>
              <w:shd w:val="clear" w:color="auto" w:fill="FFFFFF"/>
              <w:jc w:val="both"/>
              <w:rPr>
                <w:lang w:val="uk-UA" w:eastAsia="uk-UA"/>
              </w:rPr>
            </w:pPr>
            <w:r w:rsidRPr="00D159D0">
              <w:rPr>
                <w:lang w:val="uk-UA"/>
              </w:rPr>
              <w:lastRenderedPageBreak/>
              <w:t xml:space="preserve">3.3. Не включаються до складу регуляторної бази активів, яка створена після переходу до стимулюючого регулювання, невиробничі об'єкти необоротних активів (у тому числі об'єкти соціально-культурного призначення) </w:t>
            </w:r>
            <w:r w:rsidRPr="00D159D0">
              <w:rPr>
                <w:b/>
                <w:bCs/>
                <w:strike/>
                <w:lang w:val="uk-UA"/>
              </w:rPr>
              <w:t>та</w:t>
            </w:r>
            <w:r w:rsidRPr="00D159D0">
              <w:rPr>
                <w:lang w:val="uk-UA"/>
              </w:rPr>
              <w:t xml:space="preserve"> активи, для яких встановлені обмеження, - легкові автомобілі балансовою первісною вартістю понад 500 тис. грн за одиницю (без урахування податку на додану вартість). На автомобілі, які придбаваються в рамках виконання схвалених НКРЕКП інвестиційних програм, не розповсюджуються встановлені обмеження.</w:t>
            </w:r>
          </w:p>
        </w:tc>
        <w:tc>
          <w:tcPr>
            <w:tcW w:w="5954" w:type="dxa"/>
          </w:tcPr>
          <w:p w14:paraId="5ADC56C5" w14:textId="77777777" w:rsidR="00010C21" w:rsidRPr="00D159D0" w:rsidRDefault="00010C21" w:rsidP="004976F9">
            <w:pPr>
              <w:jc w:val="both"/>
              <w:rPr>
                <w:b/>
                <w:lang w:val="uk-UA"/>
              </w:rPr>
            </w:pPr>
            <w:r w:rsidRPr="00D159D0">
              <w:rPr>
                <w:b/>
                <w:lang w:val="uk-UA"/>
              </w:rPr>
              <w:lastRenderedPageBreak/>
              <w:t>ТОВ «ДТЕК ВИСОКОВОЛЬТНІ МЕРЕЖІ» лист від 17.07.2024 № 08-61/935</w:t>
            </w:r>
          </w:p>
          <w:p w14:paraId="51F99C22" w14:textId="77777777" w:rsidR="00010C21" w:rsidRPr="00D159D0" w:rsidRDefault="00010C21" w:rsidP="004976F9">
            <w:pPr>
              <w:jc w:val="both"/>
              <w:rPr>
                <w:b/>
                <w:lang w:val="uk-UA"/>
              </w:rPr>
            </w:pPr>
            <w:r w:rsidRPr="00D159D0">
              <w:rPr>
                <w:b/>
                <w:lang w:val="uk-UA"/>
              </w:rPr>
              <w:t>АТ «ДТЕК ДОНЕЦЬКІ ЕЛЕКТРОМЕРЕЖІ» лист від 17.07.2024 № 06/9956</w:t>
            </w:r>
          </w:p>
          <w:p w14:paraId="6FE792A6" w14:textId="77777777" w:rsidR="00A72BE6" w:rsidRPr="00D159D0" w:rsidRDefault="00A72BE6" w:rsidP="00A72BE6">
            <w:pPr>
              <w:jc w:val="both"/>
              <w:rPr>
                <w:b/>
                <w:lang w:val="uk-UA"/>
              </w:rPr>
            </w:pPr>
            <w:r w:rsidRPr="00D159D0">
              <w:rPr>
                <w:b/>
                <w:lang w:val="uk-UA"/>
              </w:rPr>
              <w:t>ГC «Розумні електромережі лист від 17.07.2024 № 17-07/1</w:t>
            </w:r>
          </w:p>
          <w:p w14:paraId="21F1E364" w14:textId="77777777" w:rsidR="00A72BE6" w:rsidRPr="00D159D0" w:rsidRDefault="00A72BE6" w:rsidP="004976F9">
            <w:pPr>
              <w:jc w:val="both"/>
              <w:rPr>
                <w:b/>
                <w:lang w:val="uk-UA"/>
              </w:rPr>
            </w:pPr>
          </w:p>
          <w:p w14:paraId="57AD3B2F" w14:textId="77777777" w:rsidR="00010C21" w:rsidRPr="00D159D0" w:rsidRDefault="00010C21" w:rsidP="004976F9">
            <w:pPr>
              <w:pStyle w:val="tj"/>
              <w:spacing w:before="0" w:beforeAutospacing="0" w:after="0" w:afterAutospacing="0"/>
              <w:jc w:val="both"/>
              <w:rPr>
                <w:b/>
                <w:bCs/>
                <w:lang w:eastAsia="ru-RU"/>
              </w:rPr>
            </w:pPr>
            <w:r w:rsidRPr="00D159D0">
              <w:rPr>
                <w:b/>
                <w:bCs/>
                <w:lang w:eastAsia="ru-RU"/>
              </w:rPr>
              <w:lastRenderedPageBreak/>
              <w:t xml:space="preserve">Пропонується перенести положення в п.1.5 з коригуванням </w:t>
            </w:r>
          </w:p>
          <w:p w14:paraId="2BC45B55" w14:textId="77777777" w:rsidR="00010C21" w:rsidRPr="00D159D0" w:rsidRDefault="00010C21" w:rsidP="004976F9">
            <w:pPr>
              <w:pStyle w:val="tj"/>
              <w:spacing w:before="0" w:beforeAutospacing="0" w:after="0" w:afterAutospacing="0"/>
              <w:jc w:val="both"/>
              <w:rPr>
                <w:b/>
                <w:bCs/>
                <w:lang w:eastAsia="ru-RU"/>
              </w:rPr>
            </w:pPr>
          </w:p>
          <w:p w14:paraId="26F09CE1" w14:textId="77777777" w:rsidR="00010C21" w:rsidRPr="00D159D0" w:rsidRDefault="00010C21" w:rsidP="004976F9">
            <w:pPr>
              <w:pStyle w:val="tj"/>
              <w:spacing w:before="0" w:beforeAutospacing="0" w:after="0" w:afterAutospacing="0"/>
              <w:jc w:val="both"/>
            </w:pPr>
            <w:r w:rsidRPr="00D159D0">
              <w:t xml:space="preserve">3.3. Не включаються до складу регуляторної бази активів, яка створена після переходу до стимулюючого регулювання, невиробничі об'єкти необоротних активів (у тому числі об'єкти соціально-культурного призначення),  активи, для яких встановлені обмеження, - легкові автомобілі балансовою первісною вартістю понад 500 тис. грн за одиницю (без урахування податку на додану вартість) та </w:t>
            </w:r>
            <w:r w:rsidRPr="00D159D0">
              <w:rPr>
                <w:b/>
                <w:bCs/>
              </w:rPr>
              <w:t>активи, що розташовані на територіях, за якими тимчасово втрачено контроль</w:t>
            </w:r>
            <w:r w:rsidRPr="00D159D0">
              <w:t>. На автомобілі, які придбаваються в рамках виконання схвалених НКРЕКП інвестиційних програм, не розповсюджуються встановлені обмеження.</w:t>
            </w:r>
          </w:p>
          <w:p w14:paraId="77BF24C6" w14:textId="77777777" w:rsidR="00010C21" w:rsidRPr="00D159D0" w:rsidRDefault="00010C21" w:rsidP="004976F9">
            <w:pPr>
              <w:pStyle w:val="tj"/>
              <w:spacing w:before="0" w:beforeAutospacing="0" w:after="0" w:afterAutospacing="0"/>
              <w:jc w:val="both"/>
              <w:rPr>
                <w:b/>
                <w:bCs/>
                <w:lang w:eastAsia="ru-RU"/>
              </w:rPr>
            </w:pPr>
          </w:p>
          <w:p w14:paraId="7AF2B33E" w14:textId="77777777" w:rsidR="00010C21" w:rsidRPr="00D159D0" w:rsidRDefault="00010C21" w:rsidP="004976F9">
            <w:pPr>
              <w:jc w:val="both"/>
              <w:rPr>
                <w:lang w:val="uk-UA"/>
              </w:rPr>
            </w:pPr>
            <w:r w:rsidRPr="00D159D0">
              <w:rPr>
                <w:shd w:val="clear" w:color="auto" w:fill="FFFFFF"/>
                <w:lang w:val="uk-UA"/>
              </w:rPr>
              <w:t xml:space="preserve">Пропонується виключати </w:t>
            </w:r>
            <w:r w:rsidRPr="00D159D0">
              <w:rPr>
                <w:lang w:val="uk-UA"/>
              </w:rPr>
              <w:t xml:space="preserve"> активи</w:t>
            </w:r>
            <w:r w:rsidRPr="00D159D0">
              <w:rPr>
                <w:shd w:val="clear" w:color="auto" w:fill="FFFFFF"/>
                <w:lang w:val="uk-UA"/>
              </w:rPr>
              <w:t xml:space="preserve"> з РБА операторів систем розподілу, за частинами територій діяльності яких тимчасово втрачено контроль, </w:t>
            </w:r>
            <w:r w:rsidRPr="00D159D0">
              <w:rPr>
                <w:lang w:val="uk-UA"/>
              </w:rPr>
              <w:t>за умови застосування до таких ОСР загальних підходів під час перегляду тарифів (застосування актуальних ЕКПТВЕ, обсягів розподілу, підходів щодо повернення в тариф недоотриманого доходу тощо).</w:t>
            </w:r>
          </w:p>
          <w:p w14:paraId="4BD34058" w14:textId="77777777" w:rsidR="00010C21" w:rsidRPr="00D159D0" w:rsidRDefault="00010C21" w:rsidP="004976F9">
            <w:pPr>
              <w:jc w:val="both"/>
              <w:rPr>
                <w:b/>
                <w:bCs/>
                <w:lang w:val="uk-UA"/>
              </w:rPr>
            </w:pPr>
          </w:p>
        </w:tc>
        <w:tc>
          <w:tcPr>
            <w:tcW w:w="3544" w:type="dxa"/>
          </w:tcPr>
          <w:p w14:paraId="22171BF0" w14:textId="77777777" w:rsidR="00F21C6E" w:rsidRPr="00D159D0" w:rsidRDefault="00F21C6E" w:rsidP="00F21C6E">
            <w:pPr>
              <w:widowControl w:val="0"/>
              <w:suppressAutoHyphens/>
              <w:contextualSpacing/>
              <w:jc w:val="both"/>
              <w:rPr>
                <w:b/>
                <w:bCs/>
                <w:lang w:val="uk-UA"/>
              </w:rPr>
            </w:pPr>
            <w:r w:rsidRPr="00D159D0">
              <w:rPr>
                <w:b/>
                <w:bCs/>
                <w:lang w:val="uk-UA"/>
              </w:rPr>
              <w:lastRenderedPageBreak/>
              <w:t>Не враховується</w:t>
            </w:r>
          </w:p>
          <w:p w14:paraId="6B97892C" w14:textId="32E0E7C6" w:rsidR="00F21C6E" w:rsidRPr="00D159D0" w:rsidRDefault="00F21C6E" w:rsidP="00F21C6E">
            <w:pPr>
              <w:jc w:val="both"/>
              <w:rPr>
                <w:b/>
                <w:lang w:val="uk-UA"/>
              </w:rPr>
            </w:pPr>
            <w:r w:rsidRPr="00D159D0">
              <w:rPr>
                <w:b/>
                <w:lang w:val="uk-UA"/>
              </w:rPr>
              <w:t xml:space="preserve">Зміни </w:t>
            </w:r>
            <w:r w:rsidR="00454CFF" w:rsidRPr="00D159D0">
              <w:rPr>
                <w:b/>
                <w:lang w:val="uk-UA"/>
              </w:rPr>
              <w:t xml:space="preserve">до пункту 3.3 </w:t>
            </w:r>
            <w:proofErr w:type="spellStart"/>
            <w:r w:rsidRPr="00D159D0">
              <w:rPr>
                <w:b/>
                <w:lang w:val="uk-UA"/>
              </w:rPr>
              <w:t>Проєкт</w:t>
            </w:r>
            <w:r w:rsidR="00454CFF" w:rsidRPr="00D159D0">
              <w:rPr>
                <w:b/>
                <w:lang w:val="uk-UA"/>
              </w:rPr>
              <w:t>у</w:t>
            </w:r>
            <w:proofErr w:type="spellEnd"/>
            <w:r w:rsidRPr="00D159D0">
              <w:rPr>
                <w:b/>
                <w:lang w:val="uk-UA"/>
              </w:rPr>
              <w:t xml:space="preserve"> постанови не передбачались</w:t>
            </w:r>
          </w:p>
          <w:p w14:paraId="2F7645A9" w14:textId="77777777" w:rsidR="00F21C6E" w:rsidRPr="00D159D0" w:rsidRDefault="00F21C6E" w:rsidP="00F21C6E">
            <w:pPr>
              <w:jc w:val="both"/>
              <w:rPr>
                <w:lang w:val="uk-UA"/>
              </w:rPr>
            </w:pPr>
            <w:r w:rsidRPr="00D159D0">
              <w:rPr>
                <w:b/>
                <w:lang w:val="uk-UA"/>
              </w:rPr>
              <w:t xml:space="preserve">Пропонується </w:t>
            </w:r>
            <w:r w:rsidRPr="00D159D0">
              <w:rPr>
                <w:lang w:val="uk-UA"/>
              </w:rPr>
              <w:t xml:space="preserve">розглянути запропоновані пропозиції під </w:t>
            </w:r>
          </w:p>
          <w:p w14:paraId="675B34CA" w14:textId="77777777" w:rsidR="00F21C6E" w:rsidRPr="00D159D0" w:rsidRDefault="00F21C6E" w:rsidP="00F21C6E">
            <w:pPr>
              <w:jc w:val="both"/>
              <w:rPr>
                <w:lang w:val="uk-UA"/>
              </w:rPr>
            </w:pPr>
            <w:r w:rsidRPr="00D159D0">
              <w:rPr>
                <w:lang w:val="uk-UA"/>
              </w:rPr>
              <w:t>час формування окремого блоку чергових змін до Порядку.</w:t>
            </w:r>
          </w:p>
          <w:p w14:paraId="310525C4" w14:textId="77777777" w:rsidR="00F21C6E" w:rsidRPr="00D159D0" w:rsidRDefault="00F21C6E" w:rsidP="00F21C6E">
            <w:pPr>
              <w:jc w:val="both"/>
              <w:rPr>
                <w:bCs/>
                <w:lang w:val="uk-UA"/>
              </w:rPr>
            </w:pPr>
          </w:p>
          <w:p w14:paraId="6E92DF15" w14:textId="77777777" w:rsidR="00010C21" w:rsidRPr="00D159D0" w:rsidRDefault="00010C21" w:rsidP="004976F9">
            <w:pPr>
              <w:jc w:val="both"/>
              <w:rPr>
                <w:b/>
                <w:bCs/>
                <w:lang w:val="uk-UA"/>
              </w:rPr>
            </w:pPr>
          </w:p>
        </w:tc>
      </w:tr>
      <w:tr w:rsidR="00D159D0" w:rsidRPr="00D159D0" w14:paraId="3F271A50" w14:textId="77777777" w:rsidTr="00EE26FC">
        <w:tc>
          <w:tcPr>
            <w:tcW w:w="5665" w:type="dxa"/>
          </w:tcPr>
          <w:p w14:paraId="73D5E3A5" w14:textId="77777777" w:rsidR="00A04687" w:rsidRPr="00D159D0" w:rsidRDefault="00A04687" w:rsidP="004976F9">
            <w:pPr>
              <w:shd w:val="clear" w:color="auto" w:fill="FFFFFF"/>
              <w:jc w:val="both"/>
              <w:rPr>
                <w:lang w:val="uk-UA" w:eastAsia="uk-UA"/>
              </w:rPr>
            </w:pPr>
          </w:p>
          <w:p w14:paraId="6F8B1EC9" w14:textId="77777777" w:rsidR="00A04687" w:rsidRPr="00D159D0" w:rsidRDefault="00A04687" w:rsidP="004976F9">
            <w:pPr>
              <w:shd w:val="clear" w:color="auto" w:fill="FFFFFF"/>
              <w:jc w:val="both"/>
              <w:rPr>
                <w:lang w:val="uk-UA" w:eastAsia="uk-UA"/>
              </w:rPr>
            </w:pPr>
          </w:p>
          <w:p w14:paraId="4728E9F3" w14:textId="77777777" w:rsidR="00A04687" w:rsidRPr="00D159D0" w:rsidRDefault="00A04687" w:rsidP="004976F9">
            <w:pPr>
              <w:shd w:val="clear" w:color="auto" w:fill="FFFFFF"/>
              <w:jc w:val="both"/>
              <w:rPr>
                <w:lang w:val="uk-UA" w:eastAsia="uk-UA"/>
              </w:rPr>
            </w:pPr>
          </w:p>
          <w:p w14:paraId="07A3DC88" w14:textId="77777777" w:rsidR="00A04687" w:rsidRPr="00D159D0" w:rsidRDefault="00A04687" w:rsidP="004976F9">
            <w:pPr>
              <w:shd w:val="clear" w:color="auto" w:fill="FFFFFF"/>
              <w:jc w:val="both"/>
              <w:rPr>
                <w:lang w:val="uk-UA" w:eastAsia="uk-UA"/>
              </w:rPr>
            </w:pPr>
          </w:p>
          <w:p w14:paraId="34500B4C" w14:textId="77777777" w:rsidR="00A04687" w:rsidRPr="00D159D0" w:rsidRDefault="00A04687" w:rsidP="004976F9">
            <w:pPr>
              <w:shd w:val="clear" w:color="auto" w:fill="FFFFFF"/>
              <w:jc w:val="both"/>
              <w:rPr>
                <w:lang w:val="uk-UA" w:eastAsia="uk-UA"/>
              </w:rPr>
            </w:pPr>
          </w:p>
          <w:p w14:paraId="7DCE3DCB" w14:textId="77777777" w:rsidR="00A72BE6" w:rsidRPr="00D159D0" w:rsidRDefault="00A72BE6" w:rsidP="004976F9">
            <w:pPr>
              <w:shd w:val="clear" w:color="auto" w:fill="FFFFFF"/>
              <w:jc w:val="both"/>
              <w:rPr>
                <w:lang w:val="uk-UA" w:eastAsia="uk-UA"/>
              </w:rPr>
            </w:pPr>
          </w:p>
          <w:p w14:paraId="6C25971E" w14:textId="77777777" w:rsidR="00A72BE6" w:rsidRPr="00D159D0" w:rsidRDefault="00A72BE6" w:rsidP="004976F9">
            <w:pPr>
              <w:shd w:val="clear" w:color="auto" w:fill="FFFFFF"/>
              <w:jc w:val="both"/>
              <w:rPr>
                <w:lang w:val="uk-UA" w:eastAsia="uk-UA"/>
              </w:rPr>
            </w:pPr>
          </w:p>
          <w:p w14:paraId="79235C32" w14:textId="77777777" w:rsidR="00040AF2" w:rsidRPr="00D159D0" w:rsidRDefault="00040AF2" w:rsidP="004976F9">
            <w:pPr>
              <w:shd w:val="clear" w:color="auto" w:fill="FFFFFF"/>
              <w:jc w:val="both"/>
              <w:rPr>
                <w:lang w:val="uk-UA" w:eastAsia="uk-UA"/>
              </w:rPr>
            </w:pPr>
            <w:r w:rsidRPr="00D159D0">
              <w:rPr>
                <w:lang w:val="uk-UA" w:eastAsia="uk-UA"/>
              </w:rPr>
              <w:t xml:space="preserve">3.5. Після переходу до стимулюючого регулювання у разі виведення з експлуатації активу (елементів активу) регуляторної бази активів, яка створена після переходу до стимулюючого регулювання, амортизація на суму вартості </w:t>
            </w:r>
            <w:r w:rsidRPr="00D159D0">
              <w:rPr>
                <w:b/>
                <w:lang w:val="uk-UA" w:eastAsia="uk-UA"/>
              </w:rPr>
              <w:t>виведених</w:t>
            </w:r>
            <w:r w:rsidRPr="00D159D0">
              <w:rPr>
                <w:lang w:val="uk-UA" w:eastAsia="uk-UA"/>
              </w:rPr>
              <w:t xml:space="preserve"> активів </w:t>
            </w:r>
            <w:r w:rsidRPr="00D159D0">
              <w:rPr>
                <w:lang w:val="uk-UA" w:eastAsia="uk-UA"/>
              </w:rPr>
              <w:lastRenderedPageBreak/>
              <w:t>(елементів активу) не нараховуються, починаючи з кварталу, наступного за кварталом, у якому відбулось виведення з експлуатації цього активу (елементів активу).</w:t>
            </w:r>
          </w:p>
          <w:p w14:paraId="5C94E592" w14:textId="77777777" w:rsidR="00040AF2" w:rsidRPr="00D159D0" w:rsidRDefault="00040AF2" w:rsidP="004976F9">
            <w:pPr>
              <w:shd w:val="clear" w:color="auto" w:fill="FFFFFF"/>
              <w:jc w:val="both"/>
              <w:rPr>
                <w:b/>
                <w:lang w:val="uk-UA" w:eastAsia="uk-UA"/>
              </w:rPr>
            </w:pPr>
            <w:r w:rsidRPr="00D159D0">
              <w:rPr>
                <w:b/>
                <w:lang w:val="uk-UA" w:eastAsia="uk-UA"/>
              </w:rPr>
              <w:t>Регуляторна норма доходу на регуляторну базу активів, яка створена після переходу до стимулюючого регулювання, на виведені з експлуатації активи (елементи активу), віднесені до категорії</w:t>
            </w:r>
            <w:r w:rsidRPr="00D159D0">
              <w:rPr>
                <w:b/>
                <w:bCs/>
                <w:lang w:val="uk-UA"/>
              </w:rPr>
              <w:t xml:space="preserve"> 1 згідно з Порядком № 1175,</w:t>
            </w:r>
            <w:r w:rsidRPr="00D159D0">
              <w:rPr>
                <w:b/>
                <w:lang w:val="uk-UA" w:eastAsia="uk-UA"/>
              </w:rPr>
              <w:t xml:space="preserve"> не нараховується з року, наступного за роком, у якому відбулось виведення з експлуатації цього активу (елементів активу).</w:t>
            </w:r>
          </w:p>
          <w:p w14:paraId="5737F22C" w14:textId="77777777" w:rsidR="00040AF2" w:rsidRPr="00D159D0" w:rsidRDefault="00040AF2" w:rsidP="004976F9">
            <w:pPr>
              <w:shd w:val="clear" w:color="auto" w:fill="FFFFFF"/>
              <w:jc w:val="both"/>
              <w:rPr>
                <w:lang w:val="uk-UA" w:eastAsia="uk-UA"/>
              </w:rPr>
            </w:pPr>
          </w:p>
          <w:p w14:paraId="18525D8D" w14:textId="77777777" w:rsidR="00040AF2" w:rsidRPr="00D159D0" w:rsidRDefault="00040AF2" w:rsidP="004976F9">
            <w:pPr>
              <w:shd w:val="clear" w:color="auto" w:fill="FFFFFF"/>
              <w:jc w:val="both"/>
              <w:rPr>
                <w:lang w:val="uk-UA" w:eastAsia="uk-UA"/>
              </w:rPr>
            </w:pPr>
            <w:r w:rsidRPr="00D159D0">
              <w:rPr>
                <w:lang w:val="uk-UA" w:eastAsia="uk-UA"/>
              </w:rPr>
              <w:t xml:space="preserve">У разі виведення з експлуатації активу (елементів активу) регуляторної бази активів, яка створена після переходу до стимулюючого регулювання, у зв'язку із тимчасовим припиненням його використання </w:t>
            </w:r>
            <w:r w:rsidRPr="00D159D0">
              <w:rPr>
                <w:b/>
                <w:bCs/>
                <w:lang w:val="uk-UA" w:eastAsia="uk-UA"/>
              </w:rPr>
              <w:t>(щодо нерухомого майна – без демонтажу)</w:t>
            </w:r>
            <w:r w:rsidRPr="00D159D0">
              <w:rPr>
                <w:lang w:val="uk-UA" w:eastAsia="uk-UA"/>
              </w:rPr>
              <w:t xml:space="preserve"> </w:t>
            </w:r>
            <w:r w:rsidRPr="00D159D0">
              <w:rPr>
                <w:b/>
                <w:bCs/>
                <w:lang w:val="uk-UA" w:eastAsia="uk-UA"/>
              </w:rPr>
              <w:t>повторне введення (повернення) в експлуатацію активу (елементу активу) до складу регуляторної бази активів, яка створена на дату переходу до стимулюючого регулювання відбувається до відповідної категорії</w:t>
            </w:r>
            <w:r w:rsidRPr="00D159D0">
              <w:rPr>
                <w:b/>
                <w:bCs/>
                <w:lang w:val="uk-UA"/>
              </w:rPr>
              <w:t xml:space="preserve"> (</w:t>
            </w:r>
            <w:r w:rsidR="002079FF" w:rsidRPr="00D159D0">
              <w:rPr>
                <w:b/>
                <w:bCs/>
                <w:lang w:val="uk-UA"/>
              </w:rPr>
              <w:t>визначених згідно</w:t>
            </w:r>
            <w:r w:rsidRPr="00D159D0">
              <w:rPr>
                <w:b/>
                <w:bCs/>
                <w:lang w:val="uk-UA"/>
              </w:rPr>
              <w:t xml:space="preserve"> з Порядком № 1175)</w:t>
            </w:r>
            <w:r w:rsidRPr="00D159D0">
              <w:rPr>
                <w:b/>
                <w:bCs/>
                <w:lang w:val="uk-UA" w:eastAsia="uk-UA"/>
              </w:rPr>
              <w:t xml:space="preserve">, з якої цей актив було виведено </w:t>
            </w:r>
            <w:r w:rsidRPr="00D159D0">
              <w:rPr>
                <w:lang w:val="uk-UA" w:eastAsia="uk-UA"/>
              </w:rPr>
              <w:t>та по залишковій вартості за регуляторним обліком на дату тимчасового припинення його використання.</w:t>
            </w:r>
          </w:p>
          <w:p w14:paraId="2ADB9C5A" w14:textId="77777777" w:rsidR="00040AF2" w:rsidRPr="00D159D0" w:rsidRDefault="00040AF2" w:rsidP="004976F9">
            <w:pPr>
              <w:shd w:val="clear" w:color="auto" w:fill="FFFFFF"/>
              <w:jc w:val="both"/>
              <w:rPr>
                <w:lang w:val="uk-UA" w:eastAsia="uk-UA"/>
              </w:rPr>
            </w:pPr>
          </w:p>
          <w:p w14:paraId="4609F007" w14:textId="77777777" w:rsidR="00040AF2" w:rsidRPr="00D159D0" w:rsidRDefault="00040AF2" w:rsidP="004976F9">
            <w:pPr>
              <w:shd w:val="clear" w:color="auto" w:fill="FFFFFF"/>
              <w:jc w:val="both"/>
              <w:rPr>
                <w:b/>
                <w:bCs/>
                <w:lang w:val="uk-UA" w:eastAsia="uk-UA"/>
              </w:rPr>
            </w:pPr>
            <w:r w:rsidRPr="00D159D0">
              <w:rPr>
                <w:b/>
                <w:bCs/>
                <w:lang w:val="uk-UA" w:eastAsia="uk-UA"/>
              </w:rPr>
              <w:t xml:space="preserve">Амортизація на суму вартості повторно введених (повернутих) в експлуатацію активів (елементів активів) розраховується з урахуванням первісної вартості активів створених після переходу до стимулюючого регулювання, згідно з пунктами 3.4 та 3.5 цього розділу (із застосуванням прямолінійного методу щокварталу з урахуванням строків його корисного </w:t>
            </w:r>
            <w:r w:rsidRPr="00D159D0">
              <w:rPr>
                <w:b/>
                <w:bCs/>
                <w:lang w:val="uk-UA" w:eastAsia="uk-UA"/>
              </w:rPr>
              <w:lastRenderedPageBreak/>
              <w:t>використання згідно з додатком до цього Порядку).</w:t>
            </w:r>
          </w:p>
          <w:p w14:paraId="064A1364" w14:textId="77777777" w:rsidR="00A04687" w:rsidRPr="00D159D0" w:rsidRDefault="00A04687" w:rsidP="004976F9">
            <w:pPr>
              <w:pStyle w:val="tj"/>
              <w:spacing w:before="0" w:beforeAutospacing="0" w:after="0" w:afterAutospacing="0"/>
              <w:jc w:val="both"/>
              <w:rPr>
                <w:b/>
                <w:bCs/>
                <w:lang w:eastAsia="ru-RU"/>
              </w:rPr>
            </w:pPr>
          </w:p>
          <w:p w14:paraId="62D68472" w14:textId="77777777" w:rsidR="00040AF2" w:rsidRPr="00D159D0" w:rsidRDefault="00040AF2" w:rsidP="004976F9">
            <w:pPr>
              <w:pStyle w:val="tj"/>
              <w:spacing w:before="0" w:beforeAutospacing="0" w:after="0" w:afterAutospacing="0"/>
              <w:jc w:val="both"/>
              <w:rPr>
                <w:b/>
                <w:bCs/>
                <w:lang w:eastAsia="ru-RU"/>
              </w:rPr>
            </w:pPr>
            <w:r w:rsidRPr="00D159D0">
              <w:rPr>
                <w:b/>
                <w:bCs/>
                <w:lang w:eastAsia="ru-RU"/>
              </w:rPr>
              <w:t>Вартість створених активів (елементів активу)</w:t>
            </w:r>
            <w:r w:rsidRPr="00D159D0">
              <w:t xml:space="preserve"> отриманих на </w:t>
            </w:r>
            <w:r w:rsidRPr="00D159D0">
              <w:rPr>
                <w:b/>
                <w:bCs/>
                <w:lang w:eastAsia="ru-RU"/>
              </w:rPr>
              <w:t>безоплатній (безповоротній) основі (у тому числі у рамках гуманітарної допомоги), віднесених до категорії 3 згідно з Порядком № 1175, визнач</w:t>
            </w:r>
            <w:r w:rsidRPr="00D159D0">
              <w:rPr>
                <w:lang w:eastAsia="ru-RU"/>
              </w:rPr>
              <w:t>аєтьс</w:t>
            </w:r>
            <w:r w:rsidRPr="00D159D0">
              <w:rPr>
                <w:b/>
                <w:bCs/>
                <w:lang w:eastAsia="ru-RU"/>
              </w:rPr>
              <w:t>я відповідно до первинної документації на дату її отримання або на підставі справедливої вартості та затверджується технічною комісією.</w:t>
            </w:r>
          </w:p>
          <w:p w14:paraId="5AA3EE31" w14:textId="77777777" w:rsidR="00AD2A16" w:rsidRPr="00D159D0" w:rsidRDefault="00AD2A16" w:rsidP="004976F9">
            <w:pPr>
              <w:jc w:val="both"/>
              <w:rPr>
                <w:b/>
                <w:bCs/>
                <w:lang w:val="uk-UA"/>
              </w:rPr>
            </w:pPr>
          </w:p>
        </w:tc>
        <w:tc>
          <w:tcPr>
            <w:tcW w:w="5954" w:type="dxa"/>
          </w:tcPr>
          <w:p w14:paraId="5DF5B367" w14:textId="77777777" w:rsidR="00A04687" w:rsidRPr="00D159D0" w:rsidRDefault="00A04687" w:rsidP="004976F9">
            <w:pPr>
              <w:jc w:val="both"/>
              <w:rPr>
                <w:b/>
                <w:lang w:val="uk-UA"/>
              </w:rPr>
            </w:pPr>
            <w:r w:rsidRPr="00D159D0">
              <w:rPr>
                <w:b/>
                <w:lang w:val="uk-UA"/>
              </w:rPr>
              <w:lastRenderedPageBreak/>
              <w:t>ТОВ «ДТЕК ВИСОКОВОЛЬТНІ МЕРЕЖІ» лист від 17.07.2024 № 08-61/935</w:t>
            </w:r>
          </w:p>
          <w:p w14:paraId="35F05BF2" w14:textId="77777777" w:rsidR="00A04687" w:rsidRPr="00D159D0" w:rsidRDefault="00A04687" w:rsidP="004976F9">
            <w:pPr>
              <w:jc w:val="both"/>
              <w:rPr>
                <w:b/>
                <w:lang w:val="uk-UA"/>
              </w:rPr>
            </w:pPr>
            <w:r w:rsidRPr="00D159D0">
              <w:rPr>
                <w:b/>
                <w:lang w:val="uk-UA"/>
              </w:rPr>
              <w:t>АТ «ДТЕК ДОНЕЦЬКІ ЕЛЕКТРОМЕРЕЖІ» лист від 17.07.2024 № 06/9956</w:t>
            </w:r>
          </w:p>
          <w:p w14:paraId="61043179" w14:textId="77777777" w:rsidR="00A72BE6" w:rsidRPr="00D159D0" w:rsidRDefault="00A72BE6" w:rsidP="00A72BE6">
            <w:pPr>
              <w:jc w:val="both"/>
              <w:rPr>
                <w:b/>
                <w:lang w:val="uk-UA"/>
              </w:rPr>
            </w:pPr>
            <w:r w:rsidRPr="00D159D0">
              <w:rPr>
                <w:b/>
                <w:lang w:val="uk-UA"/>
              </w:rPr>
              <w:t>ГC «Розумні електромережі лист від 17.07.2024 № 17-07/1</w:t>
            </w:r>
          </w:p>
          <w:p w14:paraId="78EAD1A2" w14:textId="77777777" w:rsidR="00010C21" w:rsidRPr="00D159D0" w:rsidRDefault="00010C21" w:rsidP="004976F9">
            <w:pPr>
              <w:jc w:val="both"/>
              <w:rPr>
                <w:b/>
                <w:lang w:val="uk-UA"/>
              </w:rPr>
            </w:pPr>
          </w:p>
          <w:p w14:paraId="63793C85" w14:textId="77777777" w:rsidR="00A04687" w:rsidRPr="00D159D0" w:rsidRDefault="00A04687" w:rsidP="004976F9">
            <w:pPr>
              <w:jc w:val="both"/>
              <w:rPr>
                <w:lang w:val="uk-UA"/>
              </w:rPr>
            </w:pPr>
            <w:r w:rsidRPr="00D159D0">
              <w:rPr>
                <w:shd w:val="clear" w:color="auto" w:fill="FFFFFF"/>
                <w:lang w:val="uk-UA"/>
              </w:rPr>
              <w:t xml:space="preserve">Пропонується виключати </w:t>
            </w:r>
            <w:r w:rsidRPr="00D159D0">
              <w:rPr>
                <w:lang w:val="uk-UA"/>
              </w:rPr>
              <w:t>активи</w:t>
            </w:r>
            <w:r w:rsidRPr="00D159D0">
              <w:rPr>
                <w:shd w:val="clear" w:color="auto" w:fill="FFFFFF"/>
                <w:lang w:val="uk-UA"/>
              </w:rPr>
              <w:t xml:space="preserve"> з РБА операторів систем розподілу, за частинами територій діяльності яких тимчасово втрачено контроль, </w:t>
            </w:r>
            <w:r w:rsidRPr="00D159D0">
              <w:rPr>
                <w:lang w:val="uk-UA"/>
              </w:rPr>
              <w:t xml:space="preserve">за умови застосування до таких ОСР загальних підходів під час перегляду тарифів (застосування </w:t>
            </w:r>
            <w:r w:rsidRPr="00D159D0">
              <w:rPr>
                <w:b/>
                <w:bCs/>
                <w:lang w:val="uk-UA"/>
              </w:rPr>
              <w:t xml:space="preserve">актуальних </w:t>
            </w:r>
            <w:r w:rsidRPr="00D159D0">
              <w:rPr>
                <w:b/>
                <w:bCs/>
                <w:lang w:val="uk-UA"/>
              </w:rPr>
              <w:lastRenderedPageBreak/>
              <w:t>ЕКПТВЕ</w:t>
            </w:r>
            <w:r w:rsidRPr="00D159D0">
              <w:rPr>
                <w:lang w:val="uk-UA"/>
              </w:rPr>
              <w:t>, обсягів розподілу, підходів щодо повернення в тариф недоотриманого доходу тощо).</w:t>
            </w:r>
          </w:p>
          <w:p w14:paraId="3D13A025" w14:textId="77777777" w:rsidR="00A04687" w:rsidRPr="00D159D0" w:rsidRDefault="00A04687" w:rsidP="004976F9">
            <w:pPr>
              <w:jc w:val="both"/>
              <w:rPr>
                <w:b/>
                <w:lang w:val="uk-UA"/>
              </w:rPr>
            </w:pPr>
          </w:p>
          <w:p w14:paraId="34F37F83" w14:textId="77777777" w:rsidR="00010C21" w:rsidRPr="00D159D0" w:rsidRDefault="00010C21" w:rsidP="004976F9">
            <w:pPr>
              <w:jc w:val="both"/>
              <w:rPr>
                <w:b/>
                <w:lang w:val="uk-UA"/>
              </w:rPr>
            </w:pPr>
          </w:p>
          <w:p w14:paraId="7C6F96C8" w14:textId="77777777" w:rsidR="00010C21" w:rsidRPr="00D159D0" w:rsidRDefault="00010C21" w:rsidP="004976F9">
            <w:pPr>
              <w:jc w:val="both"/>
              <w:rPr>
                <w:b/>
                <w:lang w:val="uk-UA"/>
              </w:rPr>
            </w:pPr>
          </w:p>
          <w:p w14:paraId="5FF880D3" w14:textId="77777777" w:rsidR="00010C21" w:rsidRPr="00D159D0" w:rsidRDefault="00010C21" w:rsidP="004976F9">
            <w:pPr>
              <w:jc w:val="both"/>
              <w:rPr>
                <w:b/>
                <w:lang w:val="uk-UA"/>
              </w:rPr>
            </w:pPr>
          </w:p>
          <w:p w14:paraId="5B72F664" w14:textId="77777777" w:rsidR="00010C21" w:rsidRPr="00D159D0" w:rsidRDefault="00010C21" w:rsidP="004976F9">
            <w:pPr>
              <w:jc w:val="both"/>
              <w:rPr>
                <w:b/>
                <w:lang w:val="uk-UA"/>
              </w:rPr>
            </w:pPr>
          </w:p>
          <w:p w14:paraId="64634F11" w14:textId="77777777" w:rsidR="00010C21" w:rsidRPr="00D159D0" w:rsidRDefault="00010C21" w:rsidP="004976F9">
            <w:pPr>
              <w:jc w:val="both"/>
              <w:rPr>
                <w:b/>
                <w:lang w:val="uk-UA"/>
              </w:rPr>
            </w:pPr>
          </w:p>
          <w:p w14:paraId="50DD18DD" w14:textId="77777777" w:rsidR="00010C21" w:rsidRPr="00D159D0" w:rsidRDefault="00010C21" w:rsidP="004976F9">
            <w:pPr>
              <w:jc w:val="both"/>
              <w:rPr>
                <w:b/>
                <w:lang w:val="uk-UA"/>
              </w:rPr>
            </w:pPr>
          </w:p>
          <w:p w14:paraId="4D0FC062" w14:textId="77777777" w:rsidR="00010C21" w:rsidRPr="00D159D0" w:rsidRDefault="00010C21" w:rsidP="004976F9">
            <w:pPr>
              <w:jc w:val="both"/>
              <w:rPr>
                <w:b/>
                <w:lang w:val="uk-UA"/>
              </w:rPr>
            </w:pPr>
          </w:p>
          <w:p w14:paraId="7054513B" w14:textId="77777777" w:rsidR="00010C21" w:rsidRPr="00D159D0" w:rsidRDefault="00010C21" w:rsidP="004976F9">
            <w:pPr>
              <w:jc w:val="both"/>
              <w:rPr>
                <w:b/>
                <w:lang w:val="uk-UA"/>
              </w:rPr>
            </w:pPr>
          </w:p>
          <w:p w14:paraId="6DBD3845" w14:textId="77777777" w:rsidR="00010C21" w:rsidRPr="00D159D0" w:rsidRDefault="00010C21" w:rsidP="004976F9">
            <w:pPr>
              <w:jc w:val="both"/>
              <w:rPr>
                <w:b/>
                <w:lang w:val="uk-UA"/>
              </w:rPr>
            </w:pPr>
          </w:p>
          <w:p w14:paraId="0F24A861" w14:textId="77777777" w:rsidR="00010C21" w:rsidRPr="00D159D0" w:rsidRDefault="00010C21" w:rsidP="004976F9">
            <w:pPr>
              <w:jc w:val="both"/>
              <w:rPr>
                <w:b/>
                <w:lang w:val="uk-UA"/>
              </w:rPr>
            </w:pPr>
          </w:p>
          <w:p w14:paraId="0C5C47B7" w14:textId="77777777" w:rsidR="00010C21" w:rsidRPr="00D159D0" w:rsidRDefault="00010C21" w:rsidP="004976F9">
            <w:pPr>
              <w:jc w:val="both"/>
              <w:rPr>
                <w:b/>
                <w:lang w:val="uk-UA"/>
              </w:rPr>
            </w:pPr>
          </w:p>
          <w:p w14:paraId="4B37ECFB" w14:textId="77777777" w:rsidR="00010C21" w:rsidRPr="00D159D0" w:rsidRDefault="00010C21" w:rsidP="004976F9">
            <w:pPr>
              <w:jc w:val="both"/>
              <w:rPr>
                <w:b/>
                <w:lang w:val="uk-UA"/>
              </w:rPr>
            </w:pPr>
          </w:p>
          <w:p w14:paraId="3B8B272F" w14:textId="77777777" w:rsidR="00010C21" w:rsidRPr="00D159D0" w:rsidRDefault="00010C21" w:rsidP="004976F9">
            <w:pPr>
              <w:jc w:val="both"/>
              <w:rPr>
                <w:b/>
                <w:lang w:val="uk-UA"/>
              </w:rPr>
            </w:pPr>
          </w:p>
          <w:p w14:paraId="646B1348" w14:textId="77777777" w:rsidR="00010C21" w:rsidRPr="00D159D0" w:rsidRDefault="00010C21" w:rsidP="004976F9">
            <w:pPr>
              <w:jc w:val="both"/>
              <w:rPr>
                <w:b/>
                <w:lang w:val="uk-UA"/>
              </w:rPr>
            </w:pPr>
          </w:p>
          <w:p w14:paraId="7ACFAFDB" w14:textId="77777777" w:rsidR="00010C21" w:rsidRPr="00D159D0" w:rsidRDefault="00010C21" w:rsidP="004976F9">
            <w:pPr>
              <w:jc w:val="both"/>
              <w:rPr>
                <w:b/>
                <w:lang w:val="uk-UA"/>
              </w:rPr>
            </w:pPr>
          </w:p>
          <w:p w14:paraId="0C9A6AAF" w14:textId="77777777" w:rsidR="00010C21" w:rsidRPr="00D159D0" w:rsidRDefault="00010C21" w:rsidP="004976F9">
            <w:pPr>
              <w:jc w:val="both"/>
              <w:rPr>
                <w:b/>
                <w:lang w:val="uk-UA"/>
              </w:rPr>
            </w:pPr>
          </w:p>
          <w:p w14:paraId="1AFB7473" w14:textId="77777777" w:rsidR="00010C21" w:rsidRPr="00D159D0" w:rsidRDefault="00010C21" w:rsidP="004976F9">
            <w:pPr>
              <w:jc w:val="both"/>
              <w:rPr>
                <w:b/>
                <w:lang w:val="uk-UA"/>
              </w:rPr>
            </w:pPr>
          </w:p>
          <w:p w14:paraId="3BAF0E15" w14:textId="77777777" w:rsidR="00010C21" w:rsidRPr="00D159D0" w:rsidRDefault="00010C21" w:rsidP="004976F9">
            <w:pPr>
              <w:jc w:val="both"/>
              <w:rPr>
                <w:b/>
                <w:lang w:val="uk-UA"/>
              </w:rPr>
            </w:pPr>
          </w:p>
          <w:p w14:paraId="45BC1F35" w14:textId="77777777" w:rsidR="00010C21" w:rsidRPr="00D159D0" w:rsidRDefault="00010C21" w:rsidP="004976F9">
            <w:pPr>
              <w:jc w:val="both"/>
              <w:rPr>
                <w:b/>
                <w:lang w:val="uk-UA"/>
              </w:rPr>
            </w:pPr>
          </w:p>
          <w:p w14:paraId="5D061D74" w14:textId="77777777" w:rsidR="00010C21" w:rsidRPr="00D159D0" w:rsidRDefault="00010C21" w:rsidP="004976F9">
            <w:pPr>
              <w:jc w:val="both"/>
              <w:rPr>
                <w:b/>
                <w:lang w:val="uk-UA"/>
              </w:rPr>
            </w:pPr>
          </w:p>
          <w:p w14:paraId="4EA4C5E1" w14:textId="77777777" w:rsidR="00010C21" w:rsidRPr="00D159D0" w:rsidRDefault="00010C21" w:rsidP="004976F9">
            <w:pPr>
              <w:jc w:val="both"/>
              <w:rPr>
                <w:b/>
                <w:lang w:val="uk-UA"/>
              </w:rPr>
            </w:pPr>
          </w:p>
          <w:p w14:paraId="2248214E" w14:textId="77777777" w:rsidR="00010C21" w:rsidRPr="00D159D0" w:rsidRDefault="00010C21" w:rsidP="004976F9">
            <w:pPr>
              <w:jc w:val="both"/>
              <w:rPr>
                <w:b/>
                <w:lang w:val="uk-UA"/>
              </w:rPr>
            </w:pPr>
          </w:p>
          <w:p w14:paraId="44327BA3" w14:textId="77777777" w:rsidR="00010C21" w:rsidRPr="00D159D0" w:rsidRDefault="00010C21" w:rsidP="004976F9">
            <w:pPr>
              <w:jc w:val="both"/>
              <w:rPr>
                <w:b/>
                <w:lang w:val="uk-UA"/>
              </w:rPr>
            </w:pPr>
          </w:p>
          <w:p w14:paraId="5FBDEEEF" w14:textId="77777777" w:rsidR="00010C21" w:rsidRPr="00D159D0" w:rsidRDefault="00010C21" w:rsidP="004976F9">
            <w:pPr>
              <w:jc w:val="both"/>
              <w:rPr>
                <w:b/>
                <w:lang w:val="uk-UA"/>
              </w:rPr>
            </w:pPr>
          </w:p>
          <w:p w14:paraId="1484350C" w14:textId="77777777" w:rsidR="00010C21" w:rsidRPr="00D159D0" w:rsidRDefault="00010C21" w:rsidP="004976F9">
            <w:pPr>
              <w:jc w:val="both"/>
              <w:rPr>
                <w:b/>
                <w:lang w:val="uk-UA"/>
              </w:rPr>
            </w:pPr>
          </w:p>
          <w:p w14:paraId="2EF3C841" w14:textId="77777777" w:rsidR="00010C21" w:rsidRPr="00D159D0" w:rsidRDefault="00010C21" w:rsidP="004976F9">
            <w:pPr>
              <w:jc w:val="both"/>
              <w:rPr>
                <w:b/>
                <w:lang w:val="uk-UA"/>
              </w:rPr>
            </w:pPr>
          </w:p>
          <w:p w14:paraId="5956369C" w14:textId="77777777" w:rsidR="00010C21" w:rsidRPr="00D159D0" w:rsidRDefault="00010C21" w:rsidP="004976F9">
            <w:pPr>
              <w:jc w:val="both"/>
              <w:rPr>
                <w:b/>
                <w:lang w:val="uk-UA"/>
              </w:rPr>
            </w:pPr>
          </w:p>
          <w:p w14:paraId="5B79E612" w14:textId="77777777" w:rsidR="00010C21" w:rsidRPr="00D159D0" w:rsidRDefault="00010C21" w:rsidP="004976F9">
            <w:pPr>
              <w:jc w:val="both"/>
              <w:rPr>
                <w:b/>
                <w:lang w:val="uk-UA"/>
              </w:rPr>
            </w:pPr>
          </w:p>
          <w:p w14:paraId="6E7C33DA" w14:textId="77777777" w:rsidR="00010C21" w:rsidRPr="00D159D0" w:rsidRDefault="00010C21" w:rsidP="004976F9">
            <w:pPr>
              <w:jc w:val="both"/>
              <w:rPr>
                <w:b/>
                <w:lang w:val="uk-UA"/>
              </w:rPr>
            </w:pPr>
          </w:p>
          <w:p w14:paraId="2DDE20F1" w14:textId="77777777" w:rsidR="00010C21" w:rsidRPr="00D159D0" w:rsidRDefault="00010C21" w:rsidP="004976F9">
            <w:pPr>
              <w:jc w:val="both"/>
              <w:rPr>
                <w:b/>
                <w:lang w:val="uk-UA"/>
              </w:rPr>
            </w:pPr>
          </w:p>
          <w:p w14:paraId="3DA28303" w14:textId="77777777" w:rsidR="00010C21" w:rsidRPr="00D159D0" w:rsidRDefault="00010C21" w:rsidP="004976F9">
            <w:pPr>
              <w:jc w:val="both"/>
              <w:rPr>
                <w:b/>
                <w:lang w:val="uk-UA"/>
              </w:rPr>
            </w:pPr>
          </w:p>
          <w:p w14:paraId="1E88CC2E" w14:textId="77777777" w:rsidR="00010C21" w:rsidRPr="00D159D0" w:rsidRDefault="00010C21" w:rsidP="004976F9">
            <w:pPr>
              <w:jc w:val="both"/>
              <w:rPr>
                <w:b/>
                <w:lang w:val="uk-UA"/>
              </w:rPr>
            </w:pPr>
          </w:p>
          <w:p w14:paraId="010DBC22" w14:textId="77777777" w:rsidR="00010C21" w:rsidRPr="00D159D0" w:rsidRDefault="00010C21" w:rsidP="004976F9">
            <w:pPr>
              <w:jc w:val="both"/>
              <w:rPr>
                <w:b/>
                <w:lang w:val="uk-UA"/>
              </w:rPr>
            </w:pPr>
          </w:p>
          <w:p w14:paraId="06F71968" w14:textId="77777777" w:rsidR="00C8530E" w:rsidRPr="00D159D0" w:rsidRDefault="00C8530E" w:rsidP="004976F9">
            <w:pPr>
              <w:jc w:val="both"/>
              <w:rPr>
                <w:b/>
                <w:lang w:val="uk-UA"/>
              </w:rPr>
            </w:pPr>
          </w:p>
          <w:p w14:paraId="05E20998" w14:textId="77777777" w:rsidR="00F21C6E" w:rsidRPr="00D159D0" w:rsidRDefault="00F21C6E" w:rsidP="004976F9">
            <w:pPr>
              <w:jc w:val="both"/>
              <w:rPr>
                <w:b/>
                <w:lang w:val="uk-UA"/>
              </w:rPr>
            </w:pPr>
          </w:p>
          <w:p w14:paraId="31608189" w14:textId="77777777" w:rsidR="00010C21" w:rsidRPr="00D159D0" w:rsidRDefault="00010C21" w:rsidP="004976F9">
            <w:pPr>
              <w:jc w:val="both"/>
              <w:rPr>
                <w:b/>
                <w:lang w:val="uk-UA"/>
              </w:rPr>
            </w:pPr>
            <w:r w:rsidRPr="00D159D0">
              <w:rPr>
                <w:b/>
                <w:lang w:val="uk-UA"/>
              </w:rPr>
              <w:t>ТОВ «ДТЕК ВИСОКОВОЛЬТНІ МЕРЕЖІ» лист від 17.07.2024 № 08-61/935</w:t>
            </w:r>
          </w:p>
          <w:p w14:paraId="5E56231C" w14:textId="77777777" w:rsidR="00010C21" w:rsidRPr="00D159D0" w:rsidRDefault="00010C21" w:rsidP="004976F9">
            <w:pPr>
              <w:jc w:val="both"/>
              <w:rPr>
                <w:b/>
                <w:lang w:val="uk-UA"/>
              </w:rPr>
            </w:pPr>
            <w:r w:rsidRPr="00D159D0">
              <w:rPr>
                <w:b/>
                <w:lang w:val="uk-UA"/>
              </w:rPr>
              <w:t>АТ «ДТЕК ДОНЕЦЬКІ ЕЛЕКТРОМЕРЕЖІ» лист від 17.07.2024 № 06/9956</w:t>
            </w:r>
          </w:p>
          <w:p w14:paraId="298DC7CF" w14:textId="77777777" w:rsidR="00010C21" w:rsidRPr="00D159D0" w:rsidRDefault="00010C21" w:rsidP="004976F9">
            <w:pPr>
              <w:pStyle w:val="tj"/>
              <w:spacing w:before="0" w:beforeAutospacing="0" w:after="0" w:afterAutospacing="0"/>
              <w:jc w:val="both"/>
              <w:rPr>
                <w:b/>
                <w:lang w:eastAsia="ru-RU"/>
              </w:rPr>
            </w:pPr>
            <w:r w:rsidRPr="00D159D0">
              <w:rPr>
                <w:bCs/>
                <w:lang w:eastAsia="ru-RU"/>
              </w:rPr>
              <w:t>Вартість створених активів (елементів активу)</w:t>
            </w:r>
            <w:r w:rsidRPr="00D159D0">
              <w:t xml:space="preserve"> отриманих на </w:t>
            </w:r>
            <w:r w:rsidRPr="00D159D0">
              <w:rPr>
                <w:bCs/>
                <w:lang w:eastAsia="ru-RU"/>
              </w:rPr>
              <w:t>безоплатній (безповоротній) основі (у тому числі у рамках гуманітарної допомоги), віднесених до категорії 3 згідно з Порядком № 1175, визнач</w:t>
            </w:r>
            <w:r w:rsidRPr="00D159D0">
              <w:rPr>
                <w:lang w:eastAsia="ru-RU"/>
              </w:rPr>
              <w:t>аєтьс</w:t>
            </w:r>
            <w:r w:rsidRPr="00D159D0">
              <w:rPr>
                <w:bCs/>
                <w:lang w:eastAsia="ru-RU"/>
              </w:rPr>
              <w:t xml:space="preserve">я відповідно до первинної документації на дату її отримання або на підставі справедливої вартості </w:t>
            </w:r>
            <w:r w:rsidRPr="00D159D0">
              <w:rPr>
                <w:b/>
                <w:strike/>
                <w:lang w:eastAsia="ru-RU"/>
              </w:rPr>
              <w:t>та затверджується технічною комісією</w:t>
            </w:r>
            <w:r w:rsidRPr="00D159D0">
              <w:rPr>
                <w:b/>
                <w:lang w:eastAsia="ru-RU"/>
              </w:rPr>
              <w:t>.</w:t>
            </w:r>
          </w:p>
          <w:p w14:paraId="3F37137C" w14:textId="77777777" w:rsidR="00A04687" w:rsidRPr="00D159D0" w:rsidRDefault="00A04687" w:rsidP="004976F9">
            <w:pPr>
              <w:jc w:val="both"/>
              <w:rPr>
                <w:lang w:val="uk-UA"/>
              </w:rPr>
            </w:pPr>
          </w:p>
          <w:p w14:paraId="3EF35A3B" w14:textId="77777777" w:rsidR="00AD2A16" w:rsidRPr="00D159D0" w:rsidRDefault="00010C21" w:rsidP="004976F9">
            <w:pPr>
              <w:jc w:val="both"/>
              <w:rPr>
                <w:b/>
                <w:bCs/>
                <w:lang w:val="uk-UA"/>
              </w:rPr>
            </w:pPr>
            <w:r w:rsidRPr="00D159D0">
              <w:rPr>
                <w:lang w:val="uk-UA"/>
              </w:rPr>
              <w:t xml:space="preserve">Пропонуємо не застосовувати вимогу щодо необхідності затвердження </w:t>
            </w:r>
            <w:proofErr w:type="spellStart"/>
            <w:r w:rsidRPr="00D159D0">
              <w:rPr>
                <w:lang w:val="uk-UA"/>
              </w:rPr>
              <w:t>тех</w:t>
            </w:r>
            <w:proofErr w:type="spellEnd"/>
            <w:r w:rsidR="00A04687" w:rsidRPr="00D159D0">
              <w:rPr>
                <w:lang w:val="uk-UA"/>
              </w:rPr>
              <w:t>.</w:t>
            </w:r>
            <w:r w:rsidRPr="00D159D0">
              <w:rPr>
                <w:lang w:val="uk-UA"/>
              </w:rPr>
              <w:t xml:space="preserve"> комісією вартості активів, що отримані в рамках гуманітарної допомоги, через відсутність такої потреби, а визначати вартість відповідно до положень бухгалтерського обліку згідно з вимогами діючого законодавства</w:t>
            </w:r>
          </w:p>
        </w:tc>
        <w:tc>
          <w:tcPr>
            <w:tcW w:w="3544" w:type="dxa"/>
          </w:tcPr>
          <w:p w14:paraId="18D96FA3" w14:textId="77777777" w:rsidR="00AD2A16" w:rsidRPr="00D159D0" w:rsidRDefault="00AD2A16" w:rsidP="004976F9">
            <w:pPr>
              <w:jc w:val="both"/>
              <w:rPr>
                <w:b/>
                <w:bCs/>
                <w:lang w:val="uk-UA"/>
              </w:rPr>
            </w:pPr>
          </w:p>
          <w:p w14:paraId="689C90C3" w14:textId="77777777" w:rsidR="00C8530E" w:rsidRPr="00D159D0" w:rsidRDefault="00C8530E" w:rsidP="004976F9">
            <w:pPr>
              <w:jc w:val="both"/>
              <w:rPr>
                <w:b/>
                <w:bCs/>
                <w:lang w:val="uk-UA"/>
              </w:rPr>
            </w:pPr>
          </w:p>
          <w:p w14:paraId="596A6CCB" w14:textId="77777777" w:rsidR="00C8530E" w:rsidRPr="00D159D0" w:rsidRDefault="00C8530E" w:rsidP="004976F9">
            <w:pPr>
              <w:jc w:val="both"/>
              <w:rPr>
                <w:b/>
                <w:bCs/>
                <w:lang w:val="uk-UA"/>
              </w:rPr>
            </w:pPr>
          </w:p>
          <w:p w14:paraId="62DC8D6C" w14:textId="77777777" w:rsidR="00C8530E" w:rsidRPr="00D159D0" w:rsidRDefault="00C8530E" w:rsidP="004976F9">
            <w:pPr>
              <w:jc w:val="both"/>
              <w:rPr>
                <w:b/>
                <w:bCs/>
                <w:lang w:val="uk-UA"/>
              </w:rPr>
            </w:pPr>
          </w:p>
          <w:p w14:paraId="422A54BB" w14:textId="77777777" w:rsidR="00C8530E" w:rsidRPr="00D159D0" w:rsidRDefault="00C8530E" w:rsidP="004976F9">
            <w:pPr>
              <w:jc w:val="both"/>
              <w:rPr>
                <w:b/>
                <w:bCs/>
                <w:lang w:val="uk-UA"/>
              </w:rPr>
            </w:pPr>
          </w:p>
          <w:p w14:paraId="6D01645F" w14:textId="77777777" w:rsidR="00C8530E" w:rsidRPr="00D159D0" w:rsidRDefault="00C8530E" w:rsidP="004976F9">
            <w:pPr>
              <w:jc w:val="both"/>
              <w:rPr>
                <w:b/>
                <w:bCs/>
                <w:lang w:val="uk-UA"/>
              </w:rPr>
            </w:pPr>
          </w:p>
          <w:p w14:paraId="69747391" w14:textId="77777777" w:rsidR="00C8530E" w:rsidRPr="00D159D0" w:rsidRDefault="00C8530E" w:rsidP="004976F9">
            <w:pPr>
              <w:jc w:val="both"/>
              <w:rPr>
                <w:b/>
                <w:bCs/>
                <w:lang w:val="uk-UA"/>
              </w:rPr>
            </w:pPr>
          </w:p>
          <w:p w14:paraId="44E9B017" w14:textId="77777777" w:rsidR="00F21C6E" w:rsidRPr="00D159D0" w:rsidRDefault="00F21C6E" w:rsidP="00F21C6E">
            <w:pPr>
              <w:widowControl w:val="0"/>
              <w:suppressAutoHyphens/>
              <w:contextualSpacing/>
              <w:jc w:val="both"/>
              <w:rPr>
                <w:b/>
                <w:bCs/>
                <w:lang w:val="uk-UA"/>
              </w:rPr>
            </w:pPr>
            <w:r w:rsidRPr="00D159D0">
              <w:rPr>
                <w:b/>
                <w:bCs/>
                <w:lang w:val="uk-UA"/>
              </w:rPr>
              <w:t>Не враховується</w:t>
            </w:r>
          </w:p>
          <w:p w14:paraId="504DFDD5" w14:textId="77777777" w:rsidR="00F21C6E" w:rsidRPr="00D159D0" w:rsidRDefault="00F21C6E" w:rsidP="00F21C6E">
            <w:pPr>
              <w:jc w:val="both"/>
              <w:rPr>
                <w:lang w:val="uk-UA"/>
              </w:rPr>
            </w:pPr>
            <w:r w:rsidRPr="00D159D0">
              <w:rPr>
                <w:b/>
                <w:lang w:val="uk-UA"/>
              </w:rPr>
              <w:t xml:space="preserve">Пропонується </w:t>
            </w:r>
            <w:r w:rsidRPr="00D159D0">
              <w:rPr>
                <w:lang w:val="uk-UA"/>
              </w:rPr>
              <w:t xml:space="preserve">розглянути запропоновані пропозиції під </w:t>
            </w:r>
          </w:p>
          <w:p w14:paraId="5B0FB0C4" w14:textId="77777777" w:rsidR="00F21C6E" w:rsidRPr="00D159D0" w:rsidRDefault="00F21C6E" w:rsidP="00F21C6E">
            <w:pPr>
              <w:jc w:val="both"/>
              <w:rPr>
                <w:lang w:val="uk-UA"/>
              </w:rPr>
            </w:pPr>
            <w:r w:rsidRPr="00D159D0">
              <w:rPr>
                <w:lang w:val="uk-UA"/>
              </w:rPr>
              <w:t>час формування окремого блоку чергових змін до Порядку.</w:t>
            </w:r>
          </w:p>
          <w:p w14:paraId="03FD279F" w14:textId="77777777" w:rsidR="00F21C6E" w:rsidRPr="00D159D0" w:rsidRDefault="00F21C6E" w:rsidP="00F21C6E">
            <w:pPr>
              <w:jc w:val="both"/>
              <w:rPr>
                <w:bCs/>
                <w:lang w:val="uk-UA"/>
              </w:rPr>
            </w:pPr>
          </w:p>
          <w:p w14:paraId="42E6707D" w14:textId="52D02096" w:rsidR="00145816" w:rsidRPr="00D159D0" w:rsidRDefault="00454CFF" w:rsidP="004976F9">
            <w:pPr>
              <w:jc w:val="both"/>
              <w:rPr>
                <w:b/>
                <w:bCs/>
                <w:lang w:val="uk-UA"/>
              </w:rPr>
            </w:pPr>
            <w:r w:rsidRPr="00D159D0">
              <w:rPr>
                <w:b/>
                <w:bCs/>
                <w:lang w:val="uk-UA"/>
              </w:rPr>
              <w:t>Застосовується в</w:t>
            </w:r>
            <w:r w:rsidR="002079FF" w:rsidRPr="00D159D0">
              <w:rPr>
                <w:b/>
                <w:bCs/>
                <w:lang w:val="uk-UA"/>
              </w:rPr>
              <w:t>иправлення технічної помилки</w:t>
            </w:r>
          </w:p>
          <w:p w14:paraId="1D764B9F" w14:textId="77777777" w:rsidR="00145816" w:rsidRPr="00D159D0" w:rsidRDefault="002079FF" w:rsidP="004976F9">
            <w:pPr>
              <w:jc w:val="both"/>
              <w:rPr>
                <w:b/>
                <w:bCs/>
                <w:lang w:val="uk-UA"/>
              </w:rPr>
            </w:pPr>
            <w:r w:rsidRPr="00D159D0">
              <w:rPr>
                <w:b/>
                <w:bCs/>
                <w:lang w:val="uk-UA"/>
              </w:rPr>
              <w:t>Пропонується наступна редакція</w:t>
            </w:r>
          </w:p>
          <w:p w14:paraId="5E3FCEED" w14:textId="77777777" w:rsidR="002079FF" w:rsidRPr="00D159D0" w:rsidRDefault="002079FF" w:rsidP="002079FF">
            <w:pPr>
              <w:shd w:val="clear" w:color="auto" w:fill="FFFFFF"/>
              <w:jc w:val="both"/>
              <w:rPr>
                <w:lang w:val="uk-UA" w:eastAsia="uk-UA"/>
              </w:rPr>
            </w:pPr>
            <w:r w:rsidRPr="00D159D0">
              <w:rPr>
                <w:lang w:val="uk-UA" w:eastAsia="uk-UA"/>
              </w:rPr>
              <w:t xml:space="preserve">У разі виведення з експлуатації активу (елементів активу) регуляторної бази активів, яка створена після переходу до стимулюючого регулювання, у зв'язку із тимчасовим припиненням його використання </w:t>
            </w:r>
            <w:r w:rsidRPr="00D159D0">
              <w:rPr>
                <w:bCs/>
                <w:lang w:val="uk-UA" w:eastAsia="uk-UA"/>
              </w:rPr>
              <w:t>(щодо нерухомого майна – без демонтажу)</w:t>
            </w:r>
            <w:r w:rsidRPr="00D159D0">
              <w:rPr>
                <w:lang w:val="uk-UA" w:eastAsia="uk-UA"/>
              </w:rPr>
              <w:t xml:space="preserve"> </w:t>
            </w:r>
            <w:r w:rsidRPr="00D159D0">
              <w:rPr>
                <w:bCs/>
                <w:lang w:val="uk-UA" w:eastAsia="uk-UA"/>
              </w:rPr>
              <w:t>повторне введення (повернення) в експлуатацію активу (елементу активу) до складу регуляторної бази активів</w:t>
            </w:r>
            <w:r w:rsidRPr="00D159D0">
              <w:rPr>
                <w:b/>
                <w:bCs/>
                <w:lang w:val="uk-UA" w:eastAsia="uk-UA"/>
              </w:rPr>
              <w:t xml:space="preserve">, яка створена після переходу </w:t>
            </w:r>
            <w:r w:rsidRPr="00D159D0">
              <w:rPr>
                <w:bCs/>
                <w:lang w:val="uk-UA" w:eastAsia="uk-UA"/>
              </w:rPr>
              <w:t>до стимулюючого регулювання відбувається до відповідної категорії</w:t>
            </w:r>
            <w:r w:rsidRPr="00D159D0">
              <w:rPr>
                <w:bCs/>
                <w:lang w:val="uk-UA"/>
              </w:rPr>
              <w:t xml:space="preserve"> (визначених згідно з Порядком № 1175)</w:t>
            </w:r>
            <w:r w:rsidRPr="00D159D0">
              <w:rPr>
                <w:bCs/>
                <w:lang w:val="uk-UA" w:eastAsia="uk-UA"/>
              </w:rPr>
              <w:t xml:space="preserve">, з якої цей актив було виведено </w:t>
            </w:r>
            <w:r w:rsidRPr="00D159D0">
              <w:rPr>
                <w:lang w:val="uk-UA" w:eastAsia="uk-UA"/>
              </w:rPr>
              <w:t>та по залишковій вартості за регуляторним обліком на дату тимчасового припинення його використання.</w:t>
            </w:r>
          </w:p>
          <w:p w14:paraId="50F254D4" w14:textId="77777777" w:rsidR="00145816" w:rsidRPr="00D159D0" w:rsidRDefault="00145816" w:rsidP="004976F9">
            <w:pPr>
              <w:jc w:val="both"/>
              <w:rPr>
                <w:b/>
                <w:bCs/>
                <w:lang w:val="uk-UA"/>
              </w:rPr>
            </w:pPr>
          </w:p>
          <w:p w14:paraId="3320AFE5" w14:textId="77777777" w:rsidR="00F21C6E" w:rsidRPr="00D159D0" w:rsidRDefault="00F21C6E" w:rsidP="004976F9">
            <w:pPr>
              <w:jc w:val="both"/>
              <w:rPr>
                <w:b/>
                <w:bCs/>
                <w:lang w:val="uk-UA"/>
              </w:rPr>
            </w:pPr>
          </w:p>
          <w:p w14:paraId="4652C5CE" w14:textId="77777777" w:rsidR="00454CFF" w:rsidRPr="00D159D0" w:rsidRDefault="00454CFF" w:rsidP="004976F9">
            <w:pPr>
              <w:jc w:val="both"/>
              <w:rPr>
                <w:b/>
                <w:bCs/>
                <w:lang w:val="uk-UA"/>
              </w:rPr>
            </w:pPr>
          </w:p>
          <w:p w14:paraId="43BDCF6B" w14:textId="77777777" w:rsidR="00454CFF" w:rsidRPr="00D159D0" w:rsidRDefault="00454CFF" w:rsidP="004976F9">
            <w:pPr>
              <w:jc w:val="both"/>
              <w:rPr>
                <w:b/>
                <w:bCs/>
                <w:lang w:val="uk-UA"/>
              </w:rPr>
            </w:pPr>
          </w:p>
          <w:p w14:paraId="0054C112" w14:textId="77777777" w:rsidR="00454CFF" w:rsidRPr="00D159D0" w:rsidRDefault="00454CFF" w:rsidP="004976F9">
            <w:pPr>
              <w:jc w:val="both"/>
              <w:rPr>
                <w:b/>
                <w:bCs/>
                <w:lang w:val="uk-UA"/>
              </w:rPr>
            </w:pPr>
          </w:p>
          <w:p w14:paraId="0C08CB2F" w14:textId="77777777" w:rsidR="00454CFF" w:rsidRPr="00D159D0" w:rsidRDefault="00454CFF" w:rsidP="004976F9">
            <w:pPr>
              <w:jc w:val="both"/>
              <w:rPr>
                <w:b/>
                <w:bCs/>
                <w:lang w:val="uk-UA"/>
              </w:rPr>
            </w:pPr>
          </w:p>
          <w:p w14:paraId="449BE3A7" w14:textId="77777777" w:rsidR="00454CFF" w:rsidRPr="00D159D0" w:rsidRDefault="00454CFF" w:rsidP="004976F9">
            <w:pPr>
              <w:jc w:val="both"/>
              <w:rPr>
                <w:b/>
                <w:bCs/>
                <w:lang w:val="uk-UA"/>
              </w:rPr>
            </w:pPr>
          </w:p>
          <w:p w14:paraId="6B9D0B30" w14:textId="77777777" w:rsidR="00454CFF" w:rsidRPr="00D159D0" w:rsidRDefault="00454CFF" w:rsidP="004976F9">
            <w:pPr>
              <w:jc w:val="both"/>
              <w:rPr>
                <w:b/>
                <w:bCs/>
                <w:lang w:val="uk-UA"/>
              </w:rPr>
            </w:pPr>
          </w:p>
          <w:p w14:paraId="103D0E3B" w14:textId="77777777" w:rsidR="00454CFF" w:rsidRPr="00D159D0" w:rsidRDefault="00454CFF" w:rsidP="004976F9">
            <w:pPr>
              <w:jc w:val="both"/>
              <w:rPr>
                <w:b/>
                <w:bCs/>
                <w:lang w:val="uk-UA"/>
              </w:rPr>
            </w:pPr>
          </w:p>
          <w:p w14:paraId="7E3ECC1E" w14:textId="77777777" w:rsidR="00F21C6E" w:rsidRPr="00D159D0" w:rsidRDefault="00F21C6E" w:rsidP="00F21C6E">
            <w:pPr>
              <w:jc w:val="both"/>
              <w:rPr>
                <w:b/>
                <w:bCs/>
                <w:lang w:val="uk-UA"/>
              </w:rPr>
            </w:pPr>
            <w:r w:rsidRPr="00D159D0">
              <w:rPr>
                <w:b/>
                <w:bCs/>
                <w:lang w:val="uk-UA"/>
              </w:rPr>
              <w:t>Не враховано</w:t>
            </w:r>
          </w:p>
          <w:p w14:paraId="4A299DB9" w14:textId="77777777" w:rsidR="00F21C6E" w:rsidRPr="00D159D0" w:rsidRDefault="00F21C6E" w:rsidP="00F21C6E">
            <w:pPr>
              <w:jc w:val="both"/>
              <w:rPr>
                <w:b/>
                <w:bCs/>
                <w:lang w:val="uk-UA"/>
              </w:rPr>
            </w:pPr>
            <w:r w:rsidRPr="00D159D0">
              <w:rPr>
                <w:b/>
                <w:bCs/>
                <w:lang w:val="uk-UA"/>
              </w:rPr>
              <w:t>Недостатньо обґрунтована пропозиція</w:t>
            </w:r>
          </w:p>
          <w:p w14:paraId="7BAD3715" w14:textId="1DD48D56" w:rsidR="00145816" w:rsidRPr="00D159D0" w:rsidRDefault="00145816" w:rsidP="00145816">
            <w:pPr>
              <w:jc w:val="both"/>
              <w:rPr>
                <w:b/>
                <w:bCs/>
                <w:lang w:val="uk-UA"/>
              </w:rPr>
            </w:pPr>
          </w:p>
        </w:tc>
      </w:tr>
      <w:tr w:rsidR="00D159D0" w:rsidRPr="00D159D0" w14:paraId="6F5B6CFF" w14:textId="77777777" w:rsidTr="00EE26FC">
        <w:tc>
          <w:tcPr>
            <w:tcW w:w="5665" w:type="dxa"/>
          </w:tcPr>
          <w:p w14:paraId="5A29484D" w14:textId="77777777" w:rsidR="001507FC" w:rsidRPr="00D159D0" w:rsidRDefault="001507FC" w:rsidP="001507FC">
            <w:pPr>
              <w:shd w:val="clear" w:color="auto" w:fill="FFFFFF"/>
              <w:jc w:val="both"/>
              <w:rPr>
                <w:b/>
                <w:lang w:val="uk-UA" w:eastAsia="uk-UA"/>
              </w:rPr>
            </w:pPr>
            <w:r w:rsidRPr="00D159D0">
              <w:rPr>
                <w:b/>
                <w:lang w:val="uk-UA" w:eastAsia="uk-UA"/>
              </w:rPr>
              <w:lastRenderedPageBreak/>
              <w:t>Зміни не пропонувались</w:t>
            </w:r>
          </w:p>
          <w:p w14:paraId="7CC7989F" w14:textId="77777777" w:rsidR="001507FC" w:rsidRPr="00D159D0" w:rsidRDefault="001507FC" w:rsidP="001507FC">
            <w:pPr>
              <w:shd w:val="clear" w:color="auto" w:fill="FFFFFF"/>
              <w:jc w:val="both"/>
              <w:rPr>
                <w:lang w:val="uk-UA" w:eastAsia="uk-UA"/>
              </w:rPr>
            </w:pPr>
          </w:p>
          <w:p w14:paraId="1037061F" w14:textId="77777777" w:rsidR="001507FC" w:rsidRPr="00D159D0" w:rsidRDefault="001507FC" w:rsidP="001507FC">
            <w:pPr>
              <w:shd w:val="clear" w:color="auto" w:fill="FFFFFF"/>
              <w:jc w:val="both"/>
              <w:rPr>
                <w:lang w:val="uk-UA" w:eastAsia="uk-UA"/>
              </w:rPr>
            </w:pPr>
            <w:r w:rsidRPr="00D159D0">
              <w:rPr>
                <w:lang w:val="uk-UA" w:eastAsia="uk-UA"/>
              </w:rPr>
              <w:t>3.6. Виведене з експлуатації технологічне обладнання (трансформатор) регуляторної бази активів, яка створена після переходу до стимулюючого регулювання,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14:paraId="29F29E91" w14:textId="77777777" w:rsidR="001507FC" w:rsidRPr="00D159D0" w:rsidRDefault="001507FC" w:rsidP="001507FC">
            <w:pPr>
              <w:shd w:val="clear" w:color="auto" w:fill="FFFFFF"/>
              <w:jc w:val="both"/>
              <w:rPr>
                <w:lang w:val="uk-UA" w:eastAsia="uk-UA"/>
              </w:rPr>
            </w:pPr>
            <w:r w:rsidRPr="00D159D0">
              <w:rPr>
                <w:lang w:val="uk-UA" w:eastAsia="uk-UA"/>
              </w:rPr>
              <w:t>………………………….</w:t>
            </w:r>
          </w:p>
          <w:p w14:paraId="5BB9E934" w14:textId="77777777" w:rsidR="001507FC" w:rsidRPr="00D159D0" w:rsidRDefault="001507FC" w:rsidP="001507FC">
            <w:pPr>
              <w:shd w:val="clear" w:color="auto" w:fill="FFFFFF"/>
              <w:jc w:val="both"/>
              <w:rPr>
                <w:lang w:val="uk-UA" w:eastAsia="uk-UA"/>
              </w:rPr>
            </w:pPr>
            <w:r w:rsidRPr="00D159D0">
              <w:rPr>
                <w:lang w:val="uk-UA" w:eastAsia="uk-UA"/>
              </w:rPr>
              <w:t xml:space="preserve">У разі якщо виведення з експлуатації технологічного обладнання (трансформатора) регуляторної бази </w:t>
            </w:r>
            <w:r w:rsidRPr="00D159D0">
              <w:rPr>
                <w:lang w:val="uk-UA" w:eastAsia="uk-UA"/>
              </w:rPr>
              <w:lastRenderedPageBreak/>
              <w:t>активів, створеної після переходу до стимулюючого регулювання, та його повторне введення в експлуатацію в рамках виконання заходів, передбачених інвестиційною програмою,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tc>
        <w:tc>
          <w:tcPr>
            <w:tcW w:w="5954" w:type="dxa"/>
          </w:tcPr>
          <w:p w14:paraId="06346981" w14:textId="77777777" w:rsidR="001507FC" w:rsidRPr="00D159D0" w:rsidRDefault="001507FC" w:rsidP="001507FC">
            <w:pPr>
              <w:jc w:val="both"/>
              <w:rPr>
                <w:b/>
                <w:lang w:val="uk-UA"/>
              </w:rPr>
            </w:pPr>
            <w:r w:rsidRPr="00D159D0">
              <w:rPr>
                <w:b/>
                <w:lang w:val="uk-UA"/>
              </w:rPr>
              <w:lastRenderedPageBreak/>
              <w:t>ГC «Розумні електромережі лист від 17.07.2024 № 17-07/1</w:t>
            </w:r>
          </w:p>
          <w:p w14:paraId="23C025C6" w14:textId="77777777" w:rsidR="001507FC" w:rsidRPr="00D159D0" w:rsidRDefault="001507FC" w:rsidP="001507FC">
            <w:pPr>
              <w:shd w:val="clear" w:color="auto" w:fill="FFFFFF"/>
              <w:jc w:val="both"/>
              <w:rPr>
                <w:lang w:val="uk-UA" w:eastAsia="uk-UA"/>
              </w:rPr>
            </w:pPr>
            <w:r w:rsidRPr="00D159D0">
              <w:rPr>
                <w:lang w:val="uk-UA" w:eastAsia="uk-UA"/>
              </w:rPr>
              <w:t>3.6. Виведене з експлуатації технологічне обладнання (трансформатор) регуляторної бази активів, яка створена після переходу до стимулюючого регулювання, може бути повторно включено по залишковій вартості за регуляторним обліком до складу регуляторної бази активів, яка створена після переходу до стимулюючого регулювання, на яку не нараховується регуляторна норма доходу на регуляторну базу активів, у рамках виконання заходів, передбачених Інвестиційною програмою, та за рахунок заходів з приєднання.</w:t>
            </w:r>
          </w:p>
          <w:p w14:paraId="1D75E157" w14:textId="77777777" w:rsidR="001507FC" w:rsidRPr="00D159D0" w:rsidRDefault="001507FC" w:rsidP="001507FC">
            <w:pPr>
              <w:shd w:val="clear" w:color="auto" w:fill="FFFFFF"/>
              <w:jc w:val="both"/>
              <w:rPr>
                <w:lang w:val="uk-UA" w:eastAsia="uk-UA"/>
              </w:rPr>
            </w:pPr>
            <w:r w:rsidRPr="00D159D0">
              <w:rPr>
                <w:lang w:val="uk-UA" w:eastAsia="uk-UA"/>
              </w:rPr>
              <w:t>…………………………………</w:t>
            </w:r>
          </w:p>
          <w:p w14:paraId="4E529A3A" w14:textId="77777777" w:rsidR="001507FC" w:rsidRPr="00D159D0" w:rsidRDefault="001507FC" w:rsidP="001507FC">
            <w:pPr>
              <w:jc w:val="both"/>
              <w:rPr>
                <w:b/>
                <w:lang w:val="uk-UA"/>
              </w:rPr>
            </w:pPr>
            <w:r w:rsidRPr="00D159D0">
              <w:rPr>
                <w:lang w:val="uk-UA" w:eastAsia="uk-UA"/>
              </w:rPr>
              <w:t xml:space="preserve">У разі якщо виведення з експлуатації технологічного обладнання (трансформатора) регуляторної бази </w:t>
            </w:r>
            <w:r w:rsidRPr="00D159D0">
              <w:rPr>
                <w:lang w:val="uk-UA" w:eastAsia="uk-UA"/>
              </w:rPr>
              <w:lastRenderedPageBreak/>
              <w:t xml:space="preserve">активів, створеної після переходу до стимулюючого регулювання, та його повторне введення в експлуатацію в рамках виконання заходів, передбачених інвестиційною програмою </w:t>
            </w:r>
            <w:r w:rsidRPr="00D159D0">
              <w:rPr>
                <w:b/>
                <w:bCs/>
                <w:lang w:val="uk-UA" w:eastAsia="uk-UA"/>
              </w:rPr>
              <w:t>та за рахунок приєднання</w:t>
            </w:r>
            <w:r w:rsidRPr="00D159D0">
              <w:rPr>
                <w:lang w:val="uk-UA" w:eastAsia="uk-UA"/>
              </w:rPr>
              <w:t>, відбулось протягом одного кварталу, таке обладнання не виводиться із регуляторної бази активів, створеної після переходу до стимулюючого регулювання, та нарахування регуляторної норми доходу на регуляторну базу активів, яка створена після переходу до стимулюючого регулювання, та амортизації на суму вартості цих активів не припиняється.</w:t>
            </w:r>
          </w:p>
        </w:tc>
        <w:tc>
          <w:tcPr>
            <w:tcW w:w="3544" w:type="dxa"/>
          </w:tcPr>
          <w:p w14:paraId="008E1325" w14:textId="77777777" w:rsidR="005E365B" w:rsidRPr="00D159D0" w:rsidRDefault="005E365B" w:rsidP="005E365B">
            <w:pPr>
              <w:jc w:val="both"/>
              <w:rPr>
                <w:b/>
                <w:bCs/>
                <w:lang w:val="uk-UA"/>
              </w:rPr>
            </w:pPr>
            <w:r w:rsidRPr="00D159D0">
              <w:rPr>
                <w:b/>
                <w:bCs/>
                <w:lang w:val="uk-UA"/>
              </w:rPr>
              <w:lastRenderedPageBreak/>
              <w:t>Не враховано</w:t>
            </w:r>
          </w:p>
          <w:p w14:paraId="65813294" w14:textId="77777777" w:rsidR="005E365B" w:rsidRPr="00D159D0" w:rsidRDefault="005E365B" w:rsidP="005E365B">
            <w:pPr>
              <w:jc w:val="both"/>
              <w:rPr>
                <w:b/>
                <w:bCs/>
                <w:lang w:val="uk-UA"/>
              </w:rPr>
            </w:pPr>
            <w:r w:rsidRPr="00D159D0">
              <w:rPr>
                <w:b/>
                <w:bCs/>
                <w:lang w:val="uk-UA"/>
              </w:rPr>
              <w:t>Недостатньо обґрунтована пропозиція</w:t>
            </w:r>
          </w:p>
          <w:p w14:paraId="03625B76" w14:textId="72469DE5" w:rsidR="009B20EB" w:rsidRPr="00D159D0" w:rsidRDefault="009B20EB" w:rsidP="004976F9">
            <w:pPr>
              <w:jc w:val="both"/>
              <w:rPr>
                <w:b/>
                <w:bCs/>
                <w:lang w:val="uk-UA"/>
              </w:rPr>
            </w:pPr>
            <w:r w:rsidRPr="00D159D0">
              <w:rPr>
                <w:iCs/>
                <w:shd w:val="clear" w:color="auto" w:fill="FFFFFF"/>
                <w:lang w:val="uk-UA"/>
              </w:rPr>
              <w:t xml:space="preserve">Визначеними підходами у методології стимулюючого </w:t>
            </w:r>
            <w:proofErr w:type="spellStart"/>
            <w:r w:rsidRPr="00D159D0">
              <w:rPr>
                <w:iCs/>
                <w:shd w:val="clear" w:color="auto" w:fill="FFFFFF"/>
                <w:lang w:val="uk-UA"/>
              </w:rPr>
              <w:t>тарифоутворення</w:t>
            </w:r>
            <w:proofErr w:type="spellEnd"/>
            <w:r w:rsidRPr="00D159D0">
              <w:rPr>
                <w:iCs/>
                <w:shd w:val="clear" w:color="auto" w:fill="FFFFFF"/>
                <w:lang w:val="uk-UA"/>
              </w:rPr>
              <w:t xml:space="preserve"> передбачено, що активи, створені після переходу на стимулююче регулювання в рамках приєднання включаються у неприбуткову базу активів.</w:t>
            </w:r>
          </w:p>
        </w:tc>
      </w:tr>
      <w:tr w:rsidR="00D159D0" w:rsidRPr="00D159D0" w14:paraId="14028550" w14:textId="77777777" w:rsidTr="00EE26FC">
        <w:tc>
          <w:tcPr>
            <w:tcW w:w="15163" w:type="dxa"/>
            <w:gridSpan w:val="3"/>
          </w:tcPr>
          <w:p w14:paraId="21715625" w14:textId="77777777" w:rsidR="00667B11" w:rsidRPr="00D159D0" w:rsidRDefault="00667B11" w:rsidP="004976F9">
            <w:pPr>
              <w:jc w:val="both"/>
              <w:rPr>
                <w:b/>
                <w:bCs/>
                <w:lang w:val="uk-UA"/>
              </w:rPr>
            </w:pPr>
            <w:r w:rsidRPr="00D159D0">
              <w:rPr>
                <w:b/>
                <w:bCs/>
                <w:i/>
                <w:iCs/>
                <w:lang w:val="uk-UA"/>
              </w:rPr>
              <w:t>Постанова НКРЕКП від 5 жовтня 2018 року № 1175 «Про затвердження Порядку встановлення (формування) тарифів на послуги з розподілу електричної енергії»</w:t>
            </w:r>
          </w:p>
        </w:tc>
      </w:tr>
      <w:tr w:rsidR="00D159D0" w:rsidRPr="00D159D0" w14:paraId="1B43D263" w14:textId="77777777" w:rsidTr="00EE26FC">
        <w:tc>
          <w:tcPr>
            <w:tcW w:w="5665" w:type="dxa"/>
          </w:tcPr>
          <w:p w14:paraId="3FC1068F" w14:textId="77777777" w:rsidR="00667B11" w:rsidRPr="00D159D0" w:rsidRDefault="00667B11" w:rsidP="004976F9">
            <w:pPr>
              <w:shd w:val="clear" w:color="auto" w:fill="FFFFFF"/>
              <w:jc w:val="both"/>
              <w:rPr>
                <w:lang w:val="uk-UA" w:eastAsia="uk-UA"/>
              </w:rPr>
            </w:pPr>
          </w:p>
          <w:p w14:paraId="6B257423" w14:textId="77777777" w:rsidR="003E6094" w:rsidRPr="00D159D0" w:rsidRDefault="003E6094" w:rsidP="004976F9">
            <w:pPr>
              <w:pStyle w:val="tj"/>
              <w:shd w:val="clear" w:color="auto" w:fill="FFFFFF"/>
              <w:spacing w:before="0" w:beforeAutospacing="0" w:after="0" w:afterAutospacing="0"/>
              <w:jc w:val="both"/>
              <w:rPr>
                <w:b/>
              </w:rPr>
            </w:pPr>
          </w:p>
          <w:p w14:paraId="16E55AE7" w14:textId="77777777" w:rsidR="003E6094" w:rsidRPr="00D159D0" w:rsidRDefault="003E6094" w:rsidP="004976F9">
            <w:pPr>
              <w:pStyle w:val="tj"/>
              <w:shd w:val="clear" w:color="auto" w:fill="FFFFFF"/>
              <w:spacing w:before="0" w:beforeAutospacing="0" w:after="0" w:afterAutospacing="0"/>
              <w:jc w:val="both"/>
              <w:rPr>
                <w:b/>
              </w:rPr>
            </w:pPr>
            <w:r w:rsidRPr="00D159D0">
              <w:rPr>
                <w:b/>
              </w:rPr>
              <w:t>1. Загальні положення</w:t>
            </w:r>
          </w:p>
          <w:p w14:paraId="77DD10E1" w14:textId="77777777" w:rsidR="003E6094" w:rsidRPr="00D159D0" w:rsidRDefault="003E6094" w:rsidP="004976F9">
            <w:pPr>
              <w:pStyle w:val="tj"/>
              <w:shd w:val="clear" w:color="auto" w:fill="FFFFFF"/>
              <w:spacing w:before="0" w:beforeAutospacing="0" w:after="0" w:afterAutospacing="0"/>
              <w:jc w:val="both"/>
            </w:pPr>
            <w:r w:rsidRPr="00D159D0">
              <w:t>1.1. Цей Порядок регулює відносини щодо формування ліцензіатами та/або суб'єктами господарювання, які планують здійснювати діяльність з розподілу електричної енергії (далі - ліцензіати), тарифів на послуги з розподілу електричної енергії та встановлення цих тарифів НКРЕКП.</w:t>
            </w:r>
          </w:p>
          <w:p w14:paraId="76DD7415" w14:textId="77777777" w:rsidR="003E6094" w:rsidRPr="00D159D0" w:rsidRDefault="003E6094" w:rsidP="004976F9">
            <w:pPr>
              <w:pStyle w:val="tj"/>
              <w:shd w:val="clear" w:color="auto" w:fill="FFFFFF"/>
              <w:spacing w:before="0" w:beforeAutospacing="0" w:after="0" w:afterAutospacing="0"/>
              <w:jc w:val="both"/>
            </w:pPr>
            <w:r w:rsidRPr="00D159D0">
              <w:t>1.2. У цьому Порядку терміни вживаються в таких значеннях:</w:t>
            </w:r>
          </w:p>
          <w:p w14:paraId="28BB3CA5" w14:textId="77777777" w:rsidR="00667B11" w:rsidRPr="00D159D0" w:rsidRDefault="003E6094" w:rsidP="004976F9">
            <w:pPr>
              <w:shd w:val="clear" w:color="auto" w:fill="FFFFFF"/>
              <w:jc w:val="both"/>
              <w:rPr>
                <w:lang w:val="uk-UA" w:eastAsia="uk-UA"/>
              </w:rPr>
            </w:pPr>
            <w:r w:rsidRPr="00D159D0">
              <w:rPr>
                <w:lang w:val="uk-UA"/>
              </w:rPr>
              <w:t xml:space="preserve">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(крім коштів, які визначені як обов'язкове джерело інвестиційної програми, </w:t>
            </w:r>
            <w:r w:rsidRPr="00D159D0">
              <w:rPr>
                <w:b/>
                <w:lang w:val="uk-UA"/>
              </w:rPr>
              <w:t xml:space="preserve">відповідно до Порядку розроблення та подання на затвердження планів розвитку систем розподілу та інвестиційних програм операторів </w:t>
            </w:r>
            <w:r w:rsidRPr="00D159D0">
              <w:rPr>
                <w:b/>
                <w:lang w:val="uk-UA"/>
              </w:rPr>
              <w:lastRenderedPageBreak/>
              <w:t>систем розподілу, затвердженого постановою НКРЕКП від 04 вересня 2018 року № 955 (далі - Порядок формування інвестиційних програм))</w:t>
            </w:r>
            <w:r w:rsidRPr="00D159D0">
              <w:rPr>
                <w:lang w:val="uk-UA"/>
              </w:rPr>
              <w:t>, залучені кошти, зекономлені кошти при здійсненні операційної діяльності та/або виконанні інвестиційної програми.</w:t>
            </w:r>
          </w:p>
          <w:p w14:paraId="321258E3" w14:textId="77777777" w:rsidR="00667B11" w:rsidRPr="00D159D0" w:rsidRDefault="00667B11" w:rsidP="004976F9">
            <w:pPr>
              <w:shd w:val="clear" w:color="auto" w:fill="FFFFFF"/>
              <w:jc w:val="both"/>
              <w:rPr>
                <w:lang w:val="uk-UA" w:eastAsia="uk-UA"/>
              </w:rPr>
            </w:pPr>
          </w:p>
          <w:p w14:paraId="04E8D93B" w14:textId="77777777" w:rsidR="00667B11" w:rsidRPr="00D159D0" w:rsidRDefault="00667B11" w:rsidP="004976F9">
            <w:pPr>
              <w:shd w:val="clear" w:color="auto" w:fill="FFFFFF"/>
              <w:jc w:val="both"/>
              <w:rPr>
                <w:lang w:val="uk-UA" w:eastAsia="uk-UA"/>
              </w:rPr>
            </w:pPr>
          </w:p>
          <w:p w14:paraId="73E25AF6" w14:textId="77777777" w:rsidR="00667B11" w:rsidRPr="00D159D0" w:rsidRDefault="00667B11" w:rsidP="004976F9">
            <w:pPr>
              <w:shd w:val="clear" w:color="auto" w:fill="FFFFFF"/>
              <w:jc w:val="both"/>
              <w:rPr>
                <w:lang w:val="uk-UA" w:eastAsia="uk-UA"/>
              </w:rPr>
            </w:pPr>
          </w:p>
          <w:p w14:paraId="4DC887DA" w14:textId="77777777" w:rsidR="00667B11" w:rsidRPr="00D159D0" w:rsidRDefault="00667B11" w:rsidP="004976F9">
            <w:pPr>
              <w:shd w:val="clear" w:color="auto" w:fill="FFFFFF"/>
              <w:jc w:val="both"/>
              <w:rPr>
                <w:lang w:val="uk-UA" w:eastAsia="uk-UA"/>
              </w:rPr>
            </w:pPr>
          </w:p>
          <w:p w14:paraId="21109309" w14:textId="77777777" w:rsidR="00667B11" w:rsidRPr="00D159D0" w:rsidRDefault="00667B11" w:rsidP="004976F9">
            <w:pPr>
              <w:shd w:val="clear" w:color="auto" w:fill="FFFFFF"/>
              <w:jc w:val="both"/>
              <w:rPr>
                <w:lang w:val="uk-UA" w:eastAsia="uk-UA"/>
              </w:rPr>
            </w:pPr>
          </w:p>
          <w:p w14:paraId="13E575C5" w14:textId="77777777" w:rsidR="00667B11" w:rsidRPr="00D159D0" w:rsidRDefault="00667B11" w:rsidP="004976F9">
            <w:pPr>
              <w:shd w:val="clear" w:color="auto" w:fill="FFFFFF"/>
              <w:jc w:val="both"/>
              <w:rPr>
                <w:lang w:val="uk-UA" w:eastAsia="uk-UA"/>
              </w:rPr>
            </w:pPr>
          </w:p>
          <w:p w14:paraId="64E3D491" w14:textId="77777777" w:rsidR="00667B11" w:rsidRPr="00D159D0" w:rsidRDefault="00667B11" w:rsidP="004976F9">
            <w:pPr>
              <w:shd w:val="clear" w:color="auto" w:fill="FFFFFF"/>
              <w:jc w:val="both"/>
              <w:rPr>
                <w:lang w:val="uk-UA" w:eastAsia="uk-UA"/>
              </w:rPr>
            </w:pPr>
          </w:p>
          <w:p w14:paraId="135E9BE4" w14:textId="77777777" w:rsidR="00667B11" w:rsidRPr="00D159D0" w:rsidRDefault="00667B11" w:rsidP="004976F9">
            <w:pPr>
              <w:shd w:val="clear" w:color="auto" w:fill="FFFFFF"/>
              <w:jc w:val="both"/>
              <w:rPr>
                <w:lang w:val="uk-UA" w:eastAsia="uk-UA"/>
              </w:rPr>
            </w:pPr>
          </w:p>
          <w:p w14:paraId="1D8FA8A4" w14:textId="77777777" w:rsidR="007428D4" w:rsidRPr="00D159D0" w:rsidRDefault="007428D4" w:rsidP="004976F9">
            <w:pPr>
              <w:shd w:val="clear" w:color="auto" w:fill="FFFFFF"/>
              <w:jc w:val="both"/>
              <w:rPr>
                <w:lang w:val="uk-UA" w:eastAsia="uk-UA"/>
              </w:rPr>
            </w:pPr>
          </w:p>
          <w:p w14:paraId="22905D99" w14:textId="77777777" w:rsidR="00667B11" w:rsidRPr="00D159D0" w:rsidRDefault="003E6094" w:rsidP="004976F9">
            <w:pPr>
              <w:shd w:val="clear" w:color="auto" w:fill="FFFFFF"/>
              <w:jc w:val="both"/>
              <w:rPr>
                <w:b/>
                <w:lang w:val="uk-UA" w:eastAsia="uk-UA"/>
              </w:rPr>
            </w:pPr>
            <w:r w:rsidRPr="00D159D0">
              <w:rPr>
                <w:b/>
                <w:lang w:val="uk-UA" w:eastAsia="uk-UA"/>
              </w:rPr>
              <w:t>Зміни не пропонувались</w:t>
            </w:r>
          </w:p>
          <w:p w14:paraId="17636F4E" w14:textId="77777777" w:rsidR="003E6094" w:rsidRPr="00D159D0" w:rsidRDefault="003E6094" w:rsidP="004976F9">
            <w:pPr>
              <w:shd w:val="clear" w:color="auto" w:fill="FFFFFF"/>
              <w:jc w:val="both"/>
              <w:rPr>
                <w:shd w:val="clear" w:color="auto" w:fill="FFFFFF"/>
                <w:lang w:val="uk-UA"/>
              </w:rPr>
            </w:pPr>
          </w:p>
          <w:p w14:paraId="5CB1CA11" w14:textId="77777777" w:rsidR="00667B11" w:rsidRPr="00D159D0" w:rsidRDefault="003E6094" w:rsidP="004976F9">
            <w:pPr>
              <w:shd w:val="clear" w:color="auto" w:fill="FFFFFF"/>
              <w:jc w:val="both"/>
              <w:rPr>
                <w:lang w:val="uk-UA" w:eastAsia="uk-UA"/>
              </w:rPr>
            </w:pPr>
            <w:r w:rsidRPr="00D159D0">
              <w:rPr>
                <w:shd w:val="clear" w:color="auto" w:fill="FFFFFF"/>
                <w:lang w:val="uk-UA"/>
              </w:rPr>
              <w:t xml:space="preserve">активи, віднесені до категорії 2 - активи, створені після переходу на стимулююче регулювання: у межах надання послуг з приєднання; у межах надання послуги з перенесення об'єктів електроенергетики за ініціативою користувача системи розподілу або власника земельної ділянки, які мають намір спорудити або реконструювати будівлі, дороги, мости або інші об'єкти архітектури; у межах схваленої інвестиційної програми, у тому числі за рахунок надходжень за </w:t>
            </w:r>
            <w:proofErr w:type="spellStart"/>
            <w:r w:rsidRPr="00D159D0">
              <w:rPr>
                <w:shd w:val="clear" w:color="auto" w:fill="FFFFFF"/>
                <w:lang w:val="uk-UA"/>
              </w:rPr>
              <w:t>перетоки</w:t>
            </w:r>
            <w:proofErr w:type="spellEnd"/>
            <w:r w:rsidRPr="00D159D0">
              <w:rPr>
                <w:shd w:val="clear" w:color="auto" w:fill="FFFFFF"/>
                <w:lang w:val="uk-UA"/>
              </w:rPr>
              <w:t xml:space="preserve"> реактивної електричної енергії, за винятком активів, віднесених до категорії 1; </w:t>
            </w:r>
            <w:r w:rsidRPr="00D159D0">
              <w:rPr>
                <w:b/>
                <w:shd w:val="clear" w:color="auto" w:fill="FFFFFF"/>
                <w:lang w:val="uk-UA"/>
              </w:rPr>
              <w:t>унаслідок обґрунтованої закупівлі поза заходами інвестиційної програми активів для здійснення ліцензованої діяльності;</w:t>
            </w:r>
          </w:p>
          <w:p w14:paraId="2BA1DA00" w14:textId="77777777" w:rsidR="00667B11" w:rsidRPr="00D159D0" w:rsidRDefault="00667B11" w:rsidP="004976F9">
            <w:pPr>
              <w:shd w:val="clear" w:color="auto" w:fill="FFFFFF"/>
              <w:jc w:val="both"/>
              <w:rPr>
                <w:lang w:val="uk-UA" w:eastAsia="uk-UA"/>
              </w:rPr>
            </w:pPr>
          </w:p>
          <w:p w14:paraId="7B34F415" w14:textId="77777777" w:rsidR="00667B11" w:rsidRPr="00D159D0" w:rsidRDefault="00667B11" w:rsidP="004976F9">
            <w:pPr>
              <w:shd w:val="clear" w:color="auto" w:fill="FFFFFF"/>
              <w:jc w:val="both"/>
              <w:rPr>
                <w:lang w:val="uk-UA" w:eastAsia="uk-UA"/>
              </w:rPr>
            </w:pPr>
          </w:p>
          <w:p w14:paraId="3984D1C6" w14:textId="77777777" w:rsidR="00667B11" w:rsidRPr="00D159D0" w:rsidRDefault="00667B11" w:rsidP="004976F9">
            <w:pPr>
              <w:shd w:val="clear" w:color="auto" w:fill="FFFFFF"/>
              <w:jc w:val="both"/>
              <w:rPr>
                <w:lang w:val="uk-UA" w:eastAsia="uk-UA"/>
              </w:rPr>
            </w:pPr>
          </w:p>
          <w:p w14:paraId="3770746B" w14:textId="77777777" w:rsidR="00667B11" w:rsidRPr="00D159D0" w:rsidRDefault="00667B11" w:rsidP="004976F9">
            <w:pPr>
              <w:shd w:val="clear" w:color="auto" w:fill="FFFFFF"/>
              <w:jc w:val="both"/>
              <w:rPr>
                <w:lang w:val="uk-UA" w:eastAsia="uk-UA"/>
              </w:rPr>
            </w:pPr>
          </w:p>
          <w:p w14:paraId="702EFE64" w14:textId="77777777" w:rsidR="00667B11" w:rsidRPr="00D159D0" w:rsidRDefault="00667B11" w:rsidP="004976F9">
            <w:pPr>
              <w:shd w:val="clear" w:color="auto" w:fill="FFFFFF"/>
              <w:jc w:val="both"/>
              <w:rPr>
                <w:lang w:val="uk-UA" w:eastAsia="uk-UA"/>
              </w:rPr>
            </w:pPr>
          </w:p>
          <w:p w14:paraId="55E23425" w14:textId="77777777" w:rsidR="00667B11" w:rsidRPr="00D159D0" w:rsidRDefault="00667B11" w:rsidP="004976F9">
            <w:pPr>
              <w:shd w:val="clear" w:color="auto" w:fill="FFFFFF"/>
              <w:jc w:val="both"/>
              <w:rPr>
                <w:lang w:val="uk-UA" w:eastAsia="uk-UA"/>
              </w:rPr>
            </w:pPr>
          </w:p>
          <w:p w14:paraId="61F745FB" w14:textId="77777777" w:rsidR="00667B11" w:rsidRPr="00D159D0" w:rsidRDefault="00667B11" w:rsidP="004976F9">
            <w:pPr>
              <w:shd w:val="clear" w:color="auto" w:fill="FFFFFF"/>
              <w:jc w:val="both"/>
              <w:rPr>
                <w:lang w:val="uk-UA" w:eastAsia="uk-UA"/>
              </w:rPr>
            </w:pPr>
          </w:p>
          <w:p w14:paraId="6644A684" w14:textId="77777777" w:rsidR="00667B11" w:rsidRPr="00D159D0" w:rsidRDefault="00667B11" w:rsidP="004976F9">
            <w:pPr>
              <w:shd w:val="clear" w:color="auto" w:fill="FFFFFF"/>
              <w:jc w:val="both"/>
              <w:rPr>
                <w:lang w:val="uk-UA" w:eastAsia="uk-UA"/>
              </w:rPr>
            </w:pPr>
          </w:p>
          <w:p w14:paraId="72B50B37" w14:textId="77777777" w:rsidR="00667B11" w:rsidRPr="00D159D0" w:rsidRDefault="00667B11" w:rsidP="004976F9">
            <w:pPr>
              <w:shd w:val="clear" w:color="auto" w:fill="FFFFFF"/>
              <w:jc w:val="both"/>
              <w:rPr>
                <w:lang w:val="uk-UA" w:eastAsia="uk-UA"/>
              </w:rPr>
            </w:pPr>
          </w:p>
          <w:p w14:paraId="267C2116" w14:textId="77777777" w:rsidR="00667B11" w:rsidRPr="00D159D0" w:rsidRDefault="00667B11" w:rsidP="004976F9">
            <w:pPr>
              <w:shd w:val="clear" w:color="auto" w:fill="FFFFFF"/>
              <w:jc w:val="both"/>
              <w:rPr>
                <w:lang w:val="uk-UA" w:eastAsia="uk-UA"/>
              </w:rPr>
            </w:pPr>
          </w:p>
          <w:p w14:paraId="030E163F" w14:textId="77777777" w:rsidR="00667B11" w:rsidRPr="00D159D0" w:rsidRDefault="00667B11" w:rsidP="004976F9">
            <w:pPr>
              <w:shd w:val="clear" w:color="auto" w:fill="FFFFFF"/>
              <w:jc w:val="both"/>
              <w:rPr>
                <w:lang w:val="uk-UA" w:eastAsia="uk-UA"/>
              </w:rPr>
            </w:pPr>
          </w:p>
          <w:p w14:paraId="4E782CC7" w14:textId="77777777" w:rsidR="00667B11" w:rsidRPr="00D159D0" w:rsidRDefault="00667B11" w:rsidP="004976F9">
            <w:pPr>
              <w:shd w:val="clear" w:color="auto" w:fill="FFFFFF"/>
              <w:jc w:val="both"/>
              <w:rPr>
                <w:lang w:val="uk-UA" w:eastAsia="uk-UA"/>
              </w:rPr>
            </w:pPr>
          </w:p>
          <w:p w14:paraId="735AA97B" w14:textId="77777777" w:rsidR="00667B11" w:rsidRPr="00D159D0" w:rsidRDefault="00667B11" w:rsidP="004976F9">
            <w:pPr>
              <w:shd w:val="clear" w:color="auto" w:fill="FFFFFF"/>
              <w:jc w:val="both"/>
              <w:rPr>
                <w:lang w:val="uk-UA" w:eastAsia="uk-UA"/>
              </w:rPr>
            </w:pPr>
          </w:p>
          <w:p w14:paraId="7824C6B2" w14:textId="77777777" w:rsidR="00667B11" w:rsidRPr="00D159D0" w:rsidRDefault="00667B11" w:rsidP="004976F9">
            <w:pPr>
              <w:shd w:val="clear" w:color="auto" w:fill="FFFFFF"/>
              <w:jc w:val="both"/>
              <w:rPr>
                <w:lang w:val="uk-UA" w:eastAsia="uk-UA"/>
              </w:rPr>
            </w:pPr>
          </w:p>
          <w:p w14:paraId="35E793F9" w14:textId="77777777" w:rsidR="00667B11" w:rsidRPr="00D159D0" w:rsidRDefault="00667B11" w:rsidP="004976F9">
            <w:pPr>
              <w:shd w:val="clear" w:color="auto" w:fill="FFFFFF"/>
              <w:jc w:val="both"/>
              <w:rPr>
                <w:lang w:val="uk-UA" w:eastAsia="uk-UA"/>
              </w:rPr>
            </w:pPr>
          </w:p>
          <w:p w14:paraId="1024944C" w14:textId="77777777" w:rsidR="003E6094" w:rsidRPr="00D159D0" w:rsidRDefault="003E6094" w:rsidP="004976F9">
            <w:pPr>
              <w:shd w:val="clear" w:color="auto" w:fill="FFFFFF"/>
              <w:jc w:val="both"/>
              <w:rPr>
                <w:lang w:val="uk-UA" w:eastAsia="uk-UA"/>
              </w:rPr>
            </w:pPr>
          </w:p>
          <w:p w14:paraId="6659DD1B" w14:textId="77777777" w:rsidR="003E6094" w:rsidRPr="00D159D0" w:rsidRDefault="003E6094" w:rsidP="004976F9">
            <w:pPr>
              <w:shd w:val="clear" w:color="auto" w:fill="FFFFFF"/>
              <w:jc w:val="both"/>
              <w:rPr>
                <w:lang w:val="uk-UA" w:eastAsia="uk-UA"/>
              </w:rPr>
            </w:pPr>
          </w:p>
          <w:p w14:paraId="2084492D" w14:textId="77777777" w:rsidR="003E6094" w:rsidRPr="00D159D0" w:rsidRDefault="003E6094" w:rsidP="004976F9">
            <w:pPr>
              <w:shd w:val="clear" w:color="auto" w:fill="FFFFFF"/>
              <w:jc w:val="both"/>
              <w:rPr>
                <w:lang w:val="uk-UA" w:eastAsia="uk-UA"/>
              </w:rPr>
            </w:pPr>
          </w:p>
          <w:p w14:paraId="0DF7FA33" w14:textId="77777777" w:rsidR="003E6094" w:rsidRPr="00D159D0" w:rsidRDefault="003E6094" w:rsidP="004976F9">
            <w:pPr>
              <w:shd w:val="clear" w:color="auto" w:fill="FFFFFF"/>
              <w:jc w:val="both"/>
              <w:rPr>
                <w:lang w:val="uk-UA" w:eastAsia="uk-UA"/>
              </w:rPr>
            </w:pPr>
          </w:p>
          <w:p w14:paraId="7D462880" w14:textId="77777777" w:rsidR="003E6094" w:rsidRPr="00D159D0" w:rsidRDefault="003E6094" w:rsidP="004976F9">
            <w:pPr>
              <w:shd w:val="clear" w:color="auto" w:fill="FFFFFF"/>
              <w:jc w:val="both"/>
              <w:rPr>
                <w:lang w:val="uk-UA" w:eastAsia="uk-UA"/>
              </w:rPr>
            </w:pPr>
          </w:p>
          <w:p w14:paraId="078CBCA0" w14:textId="77777777" w:rsidR="003E6094" w:rsidRPr="00D159D0" w:rsidRDefault="003E6094" w:rsidP="004976F9">
            <w:pPr>
              <w:shd w:val="clear" w:color="auto" w:fill="FFFFFF"/>
              <w:jc w:val="both"/>
              <w:rPr>
                <w:lang w:val="uk-UA" w:eastAsia="uk-UA"/>
              </w:rPr>
            </w:pPr>
          </w:p>
          <w:p w14:paraId="3D2CFEFF" w14:textId="77777777" w:rsidR="003E6094" w:rsidRPr="00D159D0" w:rsidRDefault="003E6094" w:rsidP="004976F9">
            <w:pPr>
              <w:shd w:val="clear" w:color="auto" w:fill="FFFFFF"/>
              <w:jc w:val="both"/>
              <w:rPr>
                <w:lang w:val="uk-UA" w:eastAsia="uk-UA"/>
              </w:rPr>
            </w:pPr>
          </w:p>
          <w:p w14:paraId="023F514F" w14:textId="77777777" w:rsidR="003E6094" w:rsidRPr="00D159D0" w:rsidRDefault="003E6094" w:rsidP="004976F9">
            <w:pPr>
              <w:shd w:val="clear" w:color="auto" w:fill="FFFFFF"/>
              <w:jc w:val="both"/>
              <w:rPr>
                <w:lang w:val="uk-UA" w:eastAsia="uk-UA"/>
              </w:rPr>
            </w:pPr>
          </w:p>
          <w:p w14:paraId="521F00EA" w14:textId="77777777" w:rsidR="003E6094" w:rsidRPr="00D159D0" w:rsidRDefault="003E6094" w:rsidP="004976F9">
            <w:pPr>
              <w:shd w:val="clear" w:color="auto" w:fill="FFFFFF"/>
              <w:jc w:val="both"/>
              <w:rPr>
                <w:lang w:val="uk-UA" w:eastAsia="uk-UA"/>
              </w:rPr>
            </w:pPr>
          </w:p>
          <w:p w14:paraId="0A72FA37" w14:textId="77777777" w:rsidR="003E6094" w:rsidRPr="00D159D0" w:rsidRDefault="003E6094" w:rsidP="004976F9">
            <w:pPr>
              <w:shd w:val="clear" w:color="auto" w:fill="FFFFFF"/>
              <w:jc w:val="both"/>
              <w:rPr>
                <w:lang w:val="uk-UA" w:eastAsia="uk-UA"/>
              </w:rPr>
            </w:pPr>
          </w:p>
          <w:p w14:paraId="77F5B4FE" w14:textId="77777777" w:rsidR="003E6094" w:rsidRPr="00D159D0" w:rsidRDefault="003E6094" w:rsidP="004976F9">
            <w:pPr>
              <w:shd w:val="clear" w:color="auto" w:fill="FFFFFF"/>
              <w:jc w:val="both"/>
              <w:rPr>
                <w:lang w:val="uk-UA" w:eastAsia="uk-UA"/>
              </w:rPr>
            </w:pPr>
          </w:p>
          <w:p w14:paraId="282D6A23" w14:textId="77777777" w:rsidR="003E6094" w:rsidRPr="00D159D0" w:rsidRDefault="003E6094" w:rsidP="004976F9">
            <w:pPr>
              <w:shd w:val="clear" w:color="auto" w:fill="FFFFFF"/>
              <w:jc w:val="both"/>
              <w:rPr>
                <w:lang w:val="uk-UA" w:eastAsia="uk-UA"/>
              </w:rPr>
            </w:pPr>
          </w:p>
          <w:p w14:paraId="714D8FE9" w14:textId="77777777" w:rsidR="003E6094" w:rsidRPr="00D159D0" w:rsidRDefault="003E6094" w:rsidP="004976F9">
            <w:pPr>
              <w:shd w:val="clear" w:color="auto" w:fill="FFFFFF"/>
              <w:jc w:val="both"/>
              <w:rPr>
                <w:lang w:val="uk-UA" w:eastAsia="uk-UA"/>
              </w:rPr>
            </w:pPr>
          </w:p>
          <w:p w14:paraId="4796DD9F" w14:textId="77777777" w:rsidR="003E6094" w:rsidRPr="00D159D0" w:rsidRDefault="003E6094" w:rsidP="004976F9">
            <w:pPr>
              <w:shd w:val="clear" w:color="auto" w:fill="FFFFFF"/>
              <w:jc w:val="both"/>
              <w:rPr>
                <w:lang w:val="uk-UA" w:eastAsia="uk-UA"/>
              </w:rPr>
            </w:pPr>
          </w:p>
          <w:p w14:paraId="01C0FFE5" w14:textId="77777777" w:rsidR="003E6094" w:rsidRPr="00D159D0" w:rsidRDefault="003E6094" w:rsidP="004976F9">
            <w:pPr>
              <w:shd w:val="clear" w:color="auto" w:fill="FFFFFF"/>
              <w:jc w:val="both"/>
              <w:rPr>
                <w:lang w:val="uk-UA" w:eastAsia="uk-UA"/>
              </w:rPr>
            </w:pPr>
          </w:p>
          <w:p w14:paraId="6425B394" w14:textId="77777777" w:rsidR="003E6094" w:rsidRPr="00D159D0" w:rsidRDefault="003E6094" w:rsidP="004976F9">
            <w:pPr>
              <w:shd w:val="clear" w:color="auto" w:fill="FFFFFF"/>
              <w:jc w:val="both"/>
              <w:rPr>
                <w:lang w:val="uk-UA" w:eastAsia="uk-UA"/>
              </w:rPr>
            </w:pPr>
          </w:p>
          <w:p w14:paraId="1567283C" w14:textId="77777777" w:rsidR="003E6094" w:rsidRPr="00D159D0" w:rsidRDefault="003E6094" w:rsidP="004976F9">
            <w:pPr>
              <w:shd w:val="clear" w:color="auto" w:fill="FFFFFF"/>
              <w:jc w:val="both"/>
              <w:rPr>
                <w:lang w:val="uk-UA" w:eastAsia="uk-UA"/>
              </w:rPr>
            </w:pPr>
          </w:p>
          <w:p w14:paraId="317F4CC1" w14:textId="77777777" w:rsidR="003E6094" w:rsidRPr="00D159D0" w:rsidRDefault="003E6094" w:rsidP="004976F9">
            <w:pPr>
              <w:shd w:val="clear" w:color="auto" w:fill="FFFFFF"/>
              <w:jc w:val="both"/>
              <w:rPr>
                <w:lang w:val="uk-UA" w:eastAsia="uk-UA"/>
              </w:rPr>
            </w:pPr>
          </w:p>
          <w:p w14:paraId="7BB06279" w14:textId="77777777" w:rsidR="003E6094" w:rsidRPr="00D159D0" w:rsidRDefault="003E6094" w:rsidP="004976F9">
            <w:pPr>
              <w:shd w:val="clear" w:color="auto" w:fill="FFFFFF"/>
              <w:jc w:val="both"/>
              <w:rPr>
                <w:lang w:val="uk-UA" w:eastAsia="uk-UA"/>
              </w:rPr>
            </w:pPr>
          </w:p>
          <w:p w14:paraId="38BEBE68" w14:textId="77777777" w:rsidR="003E6094" w:rsidRPr="00D159D0" w:rsidRDefault="003E6094" w:rsidP="004976F9">
            <w:pPr>
              <w:shd w:val="clear" w:color="auto" w:fill="FFFFFF"/>
              <w:jc w:val="both"/>
              <w:rPr>
                <w:lang w:val="uk-UA" w:eastAsia="uk-UA"/>
              </w:rPr>
            </w:pPr>
          </w:p>
          <w:p w14:paraId="089B7EC4" w14:textId="77777777" w:rsidR="003E6094" w:rsidRPr="00D159D0" w:rsidRDefault="003E6094" w:rsidP="004976F9">
            <w:pPr>
              <w:shd w:val="clear" w:color="auto" w:fill="FFFFFF"/>
              <w:jc w:val="both"/>
              <w:rPr>
                <w:lang w:val="uk-UA" w:eastAsia="uk-UA"/>
              </w:rPr>
            </w:pPr>
          </w:p>
          <w:p w14:paraId="505AD6A8" w14:textId="77777777" w:rsidR="003E6094" w:rsidRPr="00D159D0" w:rsidRDefault="003E6094" w:rsidP="004976F9">
            <w:pPr>
              <w:shd w:val="clear" w:color="auto" w:fill="FFFFFF"/>
              <w:jc w:val="both"/>
              <w:rPr>
                <w:lang w:val="uk-UA" w:eastAsia="uk-UA"/>
              </w:rPr>
            </w:pPr>
          </w:p>
          <w:p w14:paraId="47E9C060" w14:textId="77777777" w:rsidR="003E6094" w:rsidRPr="00D159D0" w:rsidRDefault="003E6094" w:rsidP="004976F9">
            <w:pPr>
              <w:shd w:val="clear" w:color="auto" w:fill="FFFFFF"/>
              <w:jc w:val="both"/>
              <w:rPr>
                <w:lang w:val="uk-UA" w:eastAsia="uk-UA"/>
              </w:rPr>
            </w:pPr>
          </w:p>
          <w:p w14:paraId="6D85F871" w14:textId="77777777" w:rsidR="003E6094" w:rsidRPr="00D159D0" w:rsidRDefault="003E6094" w:rsidP="004976F9">
            <w:pPr>
              <w:shd w:val="clear" w:color="auto" w:fill="FFFFFF"/>
              <w:jc w:val="both"/>
              <w:rPr>
                <w:lang w:val="uk-UA" w:eastAsia="uk-UA"/>
              </w:rPr>
            </w:pPr>
          </w:p>
          <w:p w14:paraId="4798F186" w14:textId="77777777" w:rsidR="003E6094" w:rsidRPr="00D159D0" w:rsidRDefault="003E6094" w:rsidP="004976F9">
            <w:pPr>
              <w:shd w:val="clear" w:color="auto" w:fill="FFFFFF"/>
              <w:jc w:val="both"/>
              <w:rPr>
                <w:lang w:val="uk-UA" w:eastAsia="uk-UA"/>
              </w:rPr>
            </w:pPr>
          </w:p>
          <w:p w14:paraId="51767FDD" w14:textId="77777777" w:rsidR="003E6094" w:rsidRPr="00D159D0" w:rsidRDefault="003E6094" w:rsidP="004976F9">
            <w:pPr>
              <w:shd w:val="clear" w:color="auto" w:fill="FFFFFF"/>
              <w:jc w:val="both"/>
              <w:rPr>
                <w:lang w:val="uk-UA" w:eastAsia="uk-UA"/>
              </w:rPr>
            </w:pPr>
          </w:p>
          <w:p w14:paraId="4A14277D" w14:textId="77777777" w:rsidR="003E6094" w:rsidRPr="00D159D0" w:rsidRDefault="003E6094" w:rsidP="004976F9">
            <w:pPr>
              <w:shd w:val="clear" w:color="auto" w:fill="FFFFFF"/>
              <w:jc w:val="both"/>
              <w:rPr>
                <w:lang w:val="uk-UA" w:eastAsia="uk-UA"/>
              </w:rPr>
            </w:pPr>
          </w:p>
          <w:p w14:paraId="023BB6F6" w14:textId="77777777" w:rsidR="003E6094" w:rsidRPr="00D159D0" w:rsidRDefault="003E6094" w:rsidP="004976F9">
            <w:pPr>
              <w:shd w:val="clear" w:color="auto" w:fill="FFFFFF"/>
              <w:jc w:val="both"/>
              <w:rPr>
                <w:lang w:val="uk-UA" w:eastAsia="uk-UA"/>
              </w:rPr>
            </w:pPr>
          </w:p>
          <w:p w14:paraId="47E6B8F5" w14:textId="77777777" w:rsidR="003E6094" w:rsidRPr="00D159D0" w:rsidRDefault="003E6094" w:rsidP="004976F9">
            <w:pPr>
              <w:shd w:val="clear" w:color="auto" w:fill="FFFFFF"/>
              <w:jc w:val="both"/>
              <w:rPr>
                <w:lang w:val="uk-UA" w:eastAsia="uk-UA"/>
              </w:rPr>
            </w:pPr>
          </w:p>
          <w:p w14:paraId="795274AE" w14:textId="77777777" w:rsidR="003E6094" w:rsidRPr="00D159D0" w:rsidRDefault="003E6094" w:rsidP="004976F9">
            <w:pPr>
              <w:shd w:val="clear" w:color="auto" w:fill="FFFFFF"/>
              <w:jc w:val="both"/>
              <w:rPr>
                <w:lang w:val="uk-UA" w:eastAsia="uk-UA"/>
              </w:rPr>
            </w:pPr>
          </w:p>
          <w:p w14:paraId="6B533AB5" w14:textId="77777777" w:rsidR="003E6094" w:rsidRPr="00D159D0" w:rsidRDefault="003E6094" w:rsidP="004976F9">
            <w:pPr>
              <w:shd w:val="clear" w:color="auto" w:fill="FFFFFF"/>
              <w:jc w:val="both"/>
              <w:rPr>
                <w:lang w:val="uk-UA" w:eastAsia="uk-UA"/>
              </w:rPr>
            </w:pPr>
          </w:p>
          <w:p w14:paraId="73002990" w14:textId="77777777" w:rsidR="003E6094" w:rsidRPr="00D159D0" w:rsidRDefault="003E6094" w:rsidP="004976F9">
            <w:pPr>
              <w:shd w:val="clear" w:color="auto" w:fill="FFFFFF"/>
              <w:jc w:val="both"/>
              <w:rPr>
                <w:lang w:val="uk-UA" w:eastAsia="uk-UA"/>
              </w:rPr>
            </w:pPr>
          </w:p>
          <w:p w14:paraId="6847643C" w14:textId="77777777" w:rsidR="003E6094" w:rsidRPr="00D159D0" w:rsidRDefault="003E6094" w:rsidP="004976F9">
            <w:pPr>
              <w:shd w:val="clear" w:color="auto" w:fill="FFFFFF"/>
              <w:jc w:val="both"/>
              <w:rPr>
                <w:lang w:val="uk-UA" w:eastAsia="uk-UA"/>
              </w:rPr>
            </w:pPr>
          </w:p>
          <w:p w14:paraId="15DD336E" w14:textId="77777777" w:rsidR="003E6094" w:rsidRPr="00D159D0" w:rsidRDefault="003E6094" w:rsidP="004976F9">
            <w:pPr>
              <w:shd w:val="clear" w:color="auto" w:fill="FFFFFF"/>
              <w:jc w:val="both"/>
              <w:rPr>
                <w:lang w:val="uk-UA" w:eastAsia="uk-UA"/>
              </w:rPr>
            </w:pPr>
          </w:p>
          <w:p w14:paraId="620AD06F" w14:textId="77777777" w:rsidR="003E6094" w:rsidRPr="00D159D0" w:rsidRDefault="003E6094" w:rsidP="004976F9">
            <w:pPr>
              <w:shd w:val="clear" w:color="auto" w:fill="FFFFFF"/>
              <w:jc w:val="both"/>
              <w:rPr>
                <w:lang w:val="uk-UA" w:eastAsia="uk-UA"/>
              </w:rPr>
            </w:pPr>
          </w:p>
          <w:p w14:paraId="53EB2B7B" w14:textId="77777777" w:rsidR="003E6094" w:rsidRPr="00D159D0" w:rsidRDefault="003E6094" w:rsidP="004976F9">
            <w:pPr>
              <w:shd w:val="clear" w:color="auto" w:fill="FFFFFF"/>
              <w:jc w:val="both"/>
              <w:rPr>
                <w:lang w:val="uk-UA" w:eastAsia="uk-UA"/>
              </w:rPr>
            </w:pPr>
          </w:p>
          <w:p w14:paraId="7FF002DE" w14:textId="77777777" w:rsidR="003E6094" w:rsidRPr="00D159D0" w:rsidRDefault="003E6094" w:rsidP="004976F9">
            <w:pPr>
              <w:shd w:val="clear" w:color="auto" w:fill="FFFFFF"/>
              <w:jc w:val="both"/>
              <w:rPr>
                <w:lang w:val="uk-UA" w:eastAsia="uk-UA"/>
              </w:rPr>
            </w:pPr>
          </w:p>
          <w:p w14:paraId="35AB0226" w14:textId="77777777" w:rsidR="003E6094" w:rsidRPr="00D159D0" w:rsidRDefault="003E6094" w:rsidP="004976F9">
            <w:pPr>
              <w:shd w:val="clear" w:color="auto" w:fill="FFFFFF"/>
              <w:jc w:val="both"/>
              <w:rPr>
                <w:lang w:val="uk-UA" w:eastAsia="uk-UA"/>
              </w:rPr>
            </w:pPr>
          </w:p>
          <w:p w14:paraId="7C7E3D40" w14:textId="77777777" w:rsidR="003E6094" w:rsidRPr="00D159D0" w:rsidRDefault="003E6094" w:rsidP="004976F9">
            <w:pPr>
              <w:shd w:val="clear" w:color="auto" w:fill="FFFFFF"/>
              <w:jc w:val="both"/>
              <w:rPr>
                <w:lang w:val="uk-UA" w:eastAsia="uk-UA"/>
              </w:rPr>
            </w:pPr>
          </w:p>
          <w:p w14:paraId="1200AB1A" w14:textId="77777777" w:rsidR="003E6094" w:rsidRPr="00D159D0" w:rsidRDefault="003E6094" w:rsidP="004976F9">
            <w:pPr>
              <w:shd w:val="clear" w:color="auto" w:fill="FFFFFF"/>
              <w:jc w:val="both"/>
              <w:rPr>
                <w:lang w:val="uk-UA" w:eastAsia="uk-UA"/>
              </w:rPr>
            </w:pPr>
          </w:p>
          <w:p w14:paraId="06BF27DD" w14:textId="77777777" w:rsidR="003E6094" w:rsidRPr="00D159D0" w:rsidRDefault="003E6094" w:rsidP="004976F9">
            <w:pPr>
              <w:shd w:val="clear" w:color="auto" w:fill="FFFFFF"/>
              <w:jc w:val="both"/>
              <w:rPr>
                <w:lang w:val="uk-UA" w:eastAsia="uk-UA"/>
              </w:rPr>
            </w:pPr>
          </w:p>
          <w:p w14:paraId="6E68F5A4" w14:textId="77777777" w:rsidR="003E6094" w:rsidRPr="00D159D0" w:rsidRDefault="003E6094" w:rsidP="004976F9">
            <w:pPr>
              <w:shd w:val="clear" w:color="auto" w:fill="FFFFFF"/>
              <w:jc w:val="both"/>
              <w:rPr>
                <w:lang w:val="uk-UA" w:eastAsia="uk-UA"/>
              </w:rPr>
            </w:pPr>
          </w:p>
          <w:p w14:paraId="4BA482CC" w14:textId="77777777" w:rsidR="003E6094" w:rsidRPr="00D159D0" w:rsidRDefault="003E6094" w:rsidP="004976F9">
            <w:pPr>
              <w:pStyle w:val="tj"/>
              <w:shd w:val="clear" w:color="auto" w:fill="FFFFFF"/>
              <w:spacing w:before="0" w:beforeAutospacing="0" w:after="0" w:afterAutospacing="0"/>
              <w:jc w:val="both"/>
            </w:pPr>
            <w:r w:rsidRPr="00D159D0">
              <w:t xml:space="preserve">активи, віднесені до категорії 3 – активи, отримані ліцензіатами після переходу на стимулююче регулювання </w:t>
            </w:r>
            <w:r w:rsidRPr="00D159D0">
              <w:rPr>
                <w:b/>
              </w:rPr>
              <w:t>на безповоротній</w:t>
            </w:r>
            <w:r w:rsidRPr="00D159D0">
              <w:t xml:space="preserve"> та безоплатній основі </w:t>
            </w:r>
            <w:r w:rsidRPr="00D159D0">
              <w:rPr>
                <w:b/>
              </w:rPr>
              <w:t>(у тому числі нерухоме майно, отримане у вигляді гуманітарної допомоги, витрати на встановлення якого передбачено в межах заходів схваленої інвестиційної програми, а також надання послуг з приєднання). При цьому витрати на встановлення гуманітарного обладнання відносяться до відповідної категорії;»;</w:t>
            </w:r>
          </w:p>
          <w:p w14:paraId="013AAD72" w14:textId="77777777" w:rsidR="003E6094" w:rsidRPr="00D159D0" w:rsidRDefault="003E6094" w:rsidP="004976F9">
            <w:pPr>
              <w:shd w:val="clear" w:color="auto" w:fill="FFFFFF"/>
              <w:jc w:val="both"/>
              <w:rPr>
                <w:lang w:val="uk-UA" w:eastAsia="uk-UA"/>
              </w:rPr>
            </w:pPr>
          </w:p>
          <w:p w14:paraId="431CA004" w14:textId="77777777" w:rsidR="003E6094" w:rsidRPr="00D159D0" w:rsidRDefault="003E6094" w:rsidP="004976F9">
            <w:pPr>
              <w:shd w:val="clear" w:color="auto" w:fill="FFFFFF"/>
              <w:jc w:val="both"/>
              <w:rPr>
                <w:lang w:val="uk-UA" w:eastAsia="uk-UA"/>
              </w:rPr>
            </w:pPr>
          </w:p>
          <w:p w14:paraId="3C339CBC" w14:textId="77777777" w:rsidR="003E6094" w:rsidRPr="00D159D0" w:rsidRDefault="003E6094" w:rsidP="004976F9">
            <w:pPr>
              <w:shd w:val="clear" w:color="auto" w:fill="FFFFFF"/>
              <w:jc w:val="both"/>
              <w:rPr>
                <w:lang w:val="uk-UA" w:eastAsia="uk-UA"/>
              </w:rPr>
            </w:pPr>
          </w:p>
          <w:p w14:paraId="2310B117" w14:textId="77777777" w:rsidR="003E6094" w:rsidRPr="00D159D0" w:rsidRDefault="003E6094" w:rsidP="004976F9">
            <w:pPr>
              <w:shd w:val="clear" w:color="auto" w:fill="FFFFFF"/>
              <w:jc w:val="both"/>
              <w:rPr>
                <w:lang w:val="uk-UA" w:eastAsia="uk-UA"/>
              </w:rPr>
            </w:pPr>
          </w:p>
          <w:p w14:paraId="52667C32" w14:textId="77777777" w:rsidR="003E6094" w:rsidRPr="00D159D0" w:rsidRDefault="003E6094" w:rsidP="004976F9">
            <w:pPr>
              <w:shd w:val="clear" w:color="auto" w:fill="FFFFFF"/>
              <w:jc w:val="both"/>
              <w:rPr>
                <w:lang w:val="uk-UA" w:eastAsia="uk-UA"/>
              </w:rPr>
            </w:pPr>
          </w:p>
          <w:p w14:paraId="40B776E3" w14:textId="77777777" w:rsidR="003E6094" w:rsidRPr="00D159D0" w:rsidRDefault="003E6094" w:rsidP="004976F9">
            <w:pPr>
              <w:shd w:val="clear" w:color="auto" w:fill="FFFFFF"/>
              <w:jc w:val="both"/>
              <w:rPr>
                <w:lang w:val="uk-UA" w:eastAsia="uk-UA"/>
              </w:rPr>
            </w:pPr>
          </w:p>
          <w:p w14:paraId="5958AB72" w14:textId="77777777" w:rsidR="003E6094" w:rsidRPr="00D159D0" w:rsidRDefault="003E6094" w:rsidP="004976F9">
            <w:pPr>
              <w:shd w:val="clear" w:color="auto" w:fill="FFFFFF"/>
              <w:jc w:val="both"/>
              <w:rPr>
                <w:lang w:val="uk-UA" w:eastAsia="uk-UA"/>
              </w:rPr>
            </w:pPr>
          </w:p>
          <w:p w14:paraId="39B60B1B" w14:textId="77777777" w:rsidR="003E6094" w:rsidRPr="00D159D0" w:rsidRDefault="003E6094" w:rsidP="004976F9">
            <w:pPr>
              <w:shd w:val="clear" w:color="auto" w:fill="FFFFFF"/>
              <w:jc w:val="both"/>
              <w:rPr>
                <w:lang w:val="uk-UA" w:eastAsia="uk-UA"/>
              </w:rPr>
            </w:pPr>
          </w:p>
          <w:p w14:paraId="17D4EAB8" w14:textId="77777777" w:rsidR="003E6094" w:rsidRPr="00D159D0" w:rsidRDefault="003E6094" w:rsidP="004976F9">
            <w:pPr>
              <w:shd w:val="clear" w:color="auto" w:fill="FFFFFF"/>
              <w:jc w:val="both"/>
              <w:rPr>
                <w:lang w:val="uk-UA" w:eastAsia="uk-UA"/>
              </w:rPr>
            </w:pPr>
          </w:p>
          <w:p w14:paraId="5E3D5B80" w14:textId="77777777" w:rsidR="003E6094" w:rsidRPr="00D159D0" w:rsidRDefault="003E6094" w:rsidP="004976F9">
            <w:pPr>
              <w:shd w:val="clear" w:color="auto" w:fill="FFFFFF"/>
              <w:jc w:val="both"/>
              <w:rPr>
                <w:lang w:val="uk-UA" w:eastAsia="uk-UA"/>
              </w:rPr>
            </w:pPr>
          </w:p>
          <w:p w14:paraId="72EC225A" w14:textId="77777777" w:rsidR="003E6094" w:rsidRPr="00D159D0" w:rsidRDefault="003E6094" w:rsidP="004976F9">
            <w:pPr>
              <w:shd w:val="clear" w:color="auto" w:fill="FFFFFF"/>
              <w:jc w:val="both"/>
              <w:rPr>
                <w:lang w:val="uk-UA" w:eastAsia="uk-UA"/>
              </w:rPr>
            </w:pPr>
          </w:p>
          <w:p w14:paraId="67EEC344" w14:textId="77777777" w:rsidR="00667B11" w:rsidRPr="00D159D0" w:rsidRDefault="00667B11" w:rsidP="004976F9">
            <w:pPr>
              <w:shd w:val="clear" w:color="auto" w:fill="FFFFFF"/>
              <w:jc w:val="both"/>
              <w:rPr>
                <w:lang w:val="uk-UA" w:eastAsia="uk-UA"/>
              </w:rPr>
            </w:pPr>
          </w:p>
          <w:p w14:paraId="4DC5E92F" w14:textId="77777777" w:rsidR="00667B11" w:rsidRPr="00D159D0" w:rsidRDefault="00667B11" w:rsidP="004976F9">
            <w:pPr>
              <w:shd w:val="clear" w:color="auto" w:fill="FFFFFF"/>
              <w:jc w:val="both"/>
              <w:rPr>
                <w:lang w:val="uk-UA" w:eastAsia="uk-UA"/>
              </w:rPr>
            </w:pPr>
          </w:p>
          <w:p w14:paraId="3C8F95FA" w14:textId="77777777" w:rsidR="00667B11" w:rsidRPr="00D159D0" w:rsidRDefault="00667B11" w:rsidP="004976F9">
            <w:pPr>
              <w:shd w:val="clear" w:color="auto" w:fill="FFFFFF"/>
              <w:jc w:val="both"/>
              <w:rPr>
                <w:lang w:val="uk-UA" w:eastAsia="uk-UA"/>
              </w:rPr>
            </w:pPr>
          </w:p>
        </w:tc>
        <w:tc>
          <w:tcPr>
            <w:tcW w:w="5954" w:type="dxa"/>
          </w:tcPr>
          <w:p w14:paraId="6B7972DB" w14:textId="77777777" w:rsidR="003E6094" w:rsidRPr="00D159D0" w:rsidRDefault="003E6094" w:rsidP="004976F9">
            <w:pPr>
              <w:jc w:val="both"/>
              <w:rPr>
                <w:b/>
                <w:bCs/>
                <w:lang w:val="uk-UA" w:eastAsia="uk-UA"/>
              </w:rPr>
            </w:pPr>
            <w:r w:rsidRPr="00D159D0">
              <w:rPr>
                <w:b/>
                <w:bCs/>
                <w:lang w:val="uk-UA" w:eastAsia="uk-UA"/>
              </w:rPr>
              <w:lastRenderedPageBreak/>
              <w:t>ПРАТ «ЛЬВІВОБЛЕНЕРГО» лист від 17.07.2024 № 122-07-4275</w:t>
            </w:r>
          </w:p>
          <w:p w14:paraId="2D383000" w14:textId="77777777" w:rsidR="003E6094" w:rsidRPr="00D159D0" w:rsidRDefault="003E6094" w:rsidP="004976F9">
            <w:pPr>
              <w:pStyle w:val="3"/>
              <w:shd w:val="clear" w:color="auto" w:fill="FFFFFF"/>
              <w:spacing w:before="0" w:after="0"/>
              <w:ind w:left="-78"/>
              <w:jc w:val="both"/>
              <w:outlineLvl w:val="2"/>
              <w:rPr>
                <w:rFonts w:ascii="Times New Roman" w:hAnsi="Times New Roman"/>
                <w:sz w:val="24"/>
                <w:szCs w:val="24"/>
                <w:lang w:eastAsia="uk-UA"/>
              </w:rPr>
            </w:pPr>
            <w:r w:rsidRPr="00D159D0">
              <w:rPr>
                <w:rFonts w:ascii="Times New Roman" w:hAnsi="Times New Roman"/>
                <w:sz w:val="24"/>
                <w:szCs w:val="24"/>
              </w:rPr>
              <w:t>1. Загальні положення</w:t>
            </w:r>
          </w:p>
          <w:p w14:paraId="5F962DF7" w14:textId="77777777" w:rsidR="003E6094" w:rsidRPr="00D159D0" w:rsidRDefault="003E6094" w:rsidP="004976F9">
            <w:pPr>
              <w:pStyle w:val="tj"/>
              <w:shd w:val="clear" w:color="auto" w:fill="FFFFFF"/>
              <w:tabs>
                <w:tab w:val="left" w:pos="3984"/>
              </w:tabs>
              <w:spacing w:before="0" w:beforeAutospacing="0" w:after="0" w:afterAutospacing="0"/>
              <w:ind w:left="-106" w:firstLine="142"/>
              <w:jc w:val="both"/>
            </w:pPr>
            <w:r w:rsidRPr="00D159D0">
              <w:t>1.1. Цей Порядок регулює відносини щодо формування ліцензіатами та/або суб'єктами господарювання, які планують здійснювати діяльність з розподілу електричної енергії (далі - ліцензіати), тарифів на послуги з розподілу електричної енергії та встановлення цих тарифів НКРЕКП.</w:t>
            </w:r>
          </w:p>
          <w:p w14:paraId="1F6E3EE4" w14:textId="77777777" w:rsidR="003E6094" w:rsidRPr="00D159D0" w:rsidRDefault="003E6094" w:rsidP="004976F9">
            <w:pPr>
              <w:pStyle w:val="tj"/>
              <w:shd w:val="clear" w:color="auto" w:fill="FFFFFF"/>
              <w:spacing w:before="0" w:beforeAutospacing="0" w:after="0" w:afterAutospacing="0"/>
              <w:jc w:val="both"/>
            </w:pPr>
            <w:r w:rsidRPr="00D159D0">
              <w:t>1.2. У цьому Порядку терміни вживаються в таких значеннях:</w:t>
            </w:r>
          </w:p>
          <w:p w14:paraId="636F625B" w14:textId="77777777" w:rsidR="00667B11" w:rsidRPr="00D159D0" w:rsidRDefault="003E6094" w:rsidP="004976F9">
            <w:pPr>
              <w:jc w:val="both"/>
              <w:rPr>
                <w:i/>
                <w:u w:val="single"/>
                <w:lang w:val="uk-UA"/>
              </w:rPr>
            </w:pPr>
            <w:r w:rsidRPr="00D159D0">
              <w:rPr>
                <w:lang w:val="uk-UA"/>
              </w:rPr>
              <w:t xml:space="preserve">активи, віднесені до категорії 1 - активи, створені після переходу на стимулююче регулювання, у межах схваленої інвестиційної програми за рахунок джерел фінансування: амортизація, прибуток (обов'язкові реінвестиції), прибуток (додаткові реінвестиції), власні кошти (крім коштів, які визначені як обов'язкове джерело інвестиційної програми, відповідно до Порядку розроблення та подання на затвердження планів розвитку систем розподілу та інвестиційних програм операторів систем розподілу, затвердженого постановою НКРЕКП від 04 вересня 2018 року № 955 </w:t>
            </w:r>
            <w:r w:rsidRPr="00D159D0">
              <w:rPr>
                <w:lang w:val="uk-UA"/>
              </w:rPr>
              <w:lastRenderedPageBreak/>
              <w:t xml:space="preserve">(далі - Порядок формування інвестиційних програм)), залучені кошти, зекономлені кошти при здійсненні операційної діяльності та/або виконанні інвестиційної програми, </w:t>
            </w:r>
            <w:r w:rsidRPr="00D159D0">
              <w:rPr>
                <w:i/>
                <w:lang w:val="uk-UA"/>
              </w:rPr>
              <w:t>а також</w:t>
            </w:r>
            <w:r w:rsidRPr="00D159D0">
              <w:rPr>
                <w:i/>
                <w:u w:val="single"/>
                <w:lang w:val="uk-UA"/>
              </w:rPr>
              <w:t xml:space="preserve"> джерело «Додатково отриманий дохід за результатом діяльності року», який встановлено за результатом заходу державного контролю».</w:t>
            </w:r>
          </w:p>
          <w:p w14:paraId="431D195F" w14:textId="77777777" w:rsidR="003E6094" w:rsidRPr="00D159D0" w:rsidRDefault="003E6094" w:rsidP="004976F9">
            <w:pPr>
              <w:jc w:val="both"/>
              <w:rPr>
                <w:lang w:val="uk-UA"/>
              </w:rPr>
            </w:pPr>
          </w:p>
          <w:p w14:paraId="4E6322F5" w14:textId="77777777" w:rsidR="003E6094" w:rsidRPr="00D159D0" w:rsidRDefault="003E6094" w:rsidP="004976F9">
            <w:pPr>
              <w:jc w:val="both"/>
              <w:rPr>
                <w:lang w:val="uk-UA"/>
              </w:rPr>
            </w:pPr>
            <w:r w:rsidRPr="00D159D0">
              <w:rPr>
                <w:lang w:val="uk-UA"/>
              </w:rPr>
              <w:t>Оскільки «Додатково отриманий дохід за результатами діяльності» відображає дохід за рахунок діяльності з розподілу, пропонуємо активи, що реалізовані у інвестиційній програмі ОСР згідно з цим джерелом відносити до 1 категорії.</w:t>
            </w:r>
          </w:p>
          <w:p w14:paraId="4C40FBDA" w14:textId="77777777" w:rsidR="003E6094" w:rsidRPr="00D159D0" w:rsidRDefault="003E6094" w:rsidP="004976F9">
            <w:pPr>
              <w:jc w:val="both"/>
              <w:rPr>
                <w:b/>
                <w:lang w:val="uk-UA"/>
              </w:rPr>
            </w:pPr>
          </w:p>
          <w:p w14:paraId="740AB4C8" w14:textId="77777777" w:rsidR="007E2481" w:rsidRPr="00D159D0" w:rsidRDefault="007E2481" w:rsidP="004976F9">
            <w:pPr>
              <w:jc w:val="both"/>
              <w:rPr>
                <w:b/>
                <w:bCs/>
                <w:lang w:val="uk-UA"/>
              </w:rPr>
            </w:pPr>
          </w:p>
          <w:p w14:paraId="59C64DA6" w14:textId="77777777" w:rsidR="003E6094" w:rsidRPr="00D159D0" w:rsidRDefault="003E6094" w:rsidP="004976F9">
            <w:pPr>
              <w:jc w:val="both"/>
              <w:rPr>
                <w:b/>
                <w:lang w:val="uk-UA"/>
              </w:rPr>
            </w:pPr>
            <w:r w:rsidRPr="00D159D0">
              <w:rPr>
                <w:b/>
                <w:bCs/>
                <w:lang w:val="uk-UA"/>
              </w:rPr>
              <w:t xml:space="preserve">АТ «ЖИТОМИРОБЛЕНЕРГО» лист від 17.07.2024 № </w:t>
            </w:r>
            <w:r w:rsidRPr="00D159D0">
              <w:rPr>
                <w:b/>
                <w:lang w:val="uk-UA"/>
              </w:rPr>
              <w:t>05/23984</w:t>
            </w:r>
          </w:p>
          <w:p w14:paraId="279DAFD9" w14:textId="77777777" w:rsidR="003E6094" w:rsidRPr="00D159D0" w:rsidRDefault="003E6094" w:rsidP="004976F9">
            <w:pPr>
              <w:pStyle w:val="rvps2"/>
              <w:shd w:val="clear" w:color="auto" w:fill="FFFFFF"/>
              <w:spacing w:before="0" w:beforeAutospacing="0" w:after="0" w:afterAutospacing="0"/>
              <w:jc w:val="both"/>
              <w:rPr>
                <w:b/>
                <w:shd w:val="clear" w:color="auto" w:fill="FFFFFF"/>
              </w:rPr>
            </w:pPr>
            <w:r w:rsidRPr="00D159D0">
              <w:rPr>
                <w:shd w:val="clear" w:color="auto" w:fill="FFFFFF"/>
              </w:rPr>
              <w:t xml:space="preserve">активи, віднесені до категорії 2 - активи, створені після переходу на стимулююче регулювання: у межах надання послуг з приєднання; у межах надання послуги з перенесення об'єктів електроенергетики за ініціативою користувача системи розподілу або власника земельної ділянки, які мають намір спорудити або реконструювати будівлі, дороги, мости або інші об'єкти архітектури; у межах схваленої інвестиційної програми, у тому числі за рахунок надходжень за </w:t>
            </w:r>
            <w:proofErr w:type="spellStart"/>
            <w:r w:rsidRPr="00D159D0">
              <w:rPr>
                <w:shd w:val="clear" w:color="auto" w:fill="FFFFFF"/>
              </w:rPr>
              <w:t>перетоки</w:t>
            </w:r>
            <w:proofErr w:type="spellEnd"/>
            <w:r w:rsidRPr="00D159D0">
              <w:rPr>
                <w:shd w:val="clear" w:color="auto" w:fill="FFFFFF"/>
              </w:rPr>
              <w:t xml:space="preserve"> реактивної електричної енергії, за винятком активів, віднесених до категорії 1; </w:t>
            </w:r>
            <w:r w:rsidRPr="00D159D0">
              <w:rPr>
                <w:b/>
                <w:shd w:val="clear" w:color="auto" w:fill="FFFFFF"/>
              </w:rPr>
              <w:t xml:space="preserve">унаслідок обґрунтованої закупівлі поза заходами інвестиційної програми активів для здійснення ліцензованої діяльності, включення яких до регуляторної бази активів відповідного ліцензіата відбувається за рішенням такого ліцензіата на підставі первинної документації (актів виконаних робіт, актів вартості устаткування зі створення цих активів, актів введення в експлуатацію основних засобів, </w:t>
            </w:r>
            <w:bookmarkStart w:id="0" w:name="n454"/>
            <w:bookmarkEnd w:id="0"/>
            <w:r w:rsidRPr="00D159D0">
              <w:rPr>
                <w:b/>
                <w:shd w:val="clear" w:color="auto" w:fill="FFFFFF"/>
              </w:rPr>
              <w:t xml:space="preserve">актів готовності </w:t>
            </w:r>
            <w:r w:rsidRPr="00D159D0">
              <w:rPr>
                <w:b/>
                <w:shd w:val="clear" w:color="auto" w:fill="FFFFFF"/>
              </w:rPr>
              <w:lastRenderedPageBreak/>
              <w:t>об’єкта електроенергетики до експлуатації технічно переоснащених або замінених складових частин об'єктів електричних мереж).</w:t>
            </w:r>
          </w:p>
          <w:p w14:paraId="676FE9CD" w14:textId="77777777" w:rsidR="003E6094" w:rsidRPr="00D159D0" w:rsidRDefault="003E6094" w:rsidP="00EE26FC">
            <w:pPr>
              <w:jc w:val="both"/>
              <w:rPr>
                <w:i/>
                <w:lang w:val="uk-UA"/>
              </w:rPr>
            </w:pPr>
            <w:r w:rsidRPr="00D159D0">
              <w:rPr>
                <w:i/>
                <w:lang w:val="uk-UA"/>
              </w:rPr>
              <w:t xml:space="preserve">АТ «ЖИТОМИРОБЛЕНЕРГО» неодноразово зверталося до НКРЕКП щодо включення до 2 категорії активів для здійснення ліцензованої діяльності, джерелом фінансування яких є обґрунтована закупівля поза заходами інвестиційної програми. Натомість, у своїх відповідях НКРЕКП зазначало, що включення до 2 категорії таких активів, джерелом фінансування яких є обґрунтована закупівля поза заходами інвестиційної програми потребує обов’язкового </w:t>
            </w:r>
            <w:r w:rsidRPr="00D159D0">
              <w:rPr>
                <w:i/>
                <w:u w:val="single"/>
                <w:lang w:val="uk-UA"/>
              </w:rPr>
              <w:t>попереднього</w:t>
            </w:r>
            <w:r w:rsidRPr="00D159D0">
              <w:rPr>
                <w:i/>
                <w:lang w:val="uk-UA"/>
              </w:rPr>
              <w:t xml:space="preserve"> (до моменту виконання таких робіт і створення таких активів) письмового погодження НКРЕКП.</w:t>
            </w:r>
          </w:p>
          <w:p w14:paraId="4B6952BC" w14:textId="77777777" w:rsidR="003E6094" w:rsidRPr="00D159D0" w:rsidRDefault="003E6094" w:rsidP="00EE26FC">
            <w:pPr>
              <w:jc w:val="both"/>
              <w:rPr>
                <w:i/>
                <w:lang w:val="uk-UA"/>
              </w:rPr>
            </w:pPr>
            <w:r w:rsidRPr="00D159D0">
              <w:rPr>
                <w:i/>
                <w:lang w:val="uk-UA"/>
              </w:rPr>
              <w:t>Разом з тим, вимогами діючих нормативних документів, що регламентують питання створення та ведення регуляторних баз активів, такий критерій, як попереднє письмове погодження зі сторони НКРЕКП створення активів у РБА відсутнє. Більше того не визначеним залишається вичерпний перелік документів для подібного погодження.</w:t>
            </w:r>
          </w:p>
          <w:p w14:paraId="2297DA67" w14:textId="77777777" w:rsidR="003E6094" w:rsidRPr="00D159D0" w:rsidRDefault="003E6094" w:rsidP="004976F9">
            <w:pPr>
              <w:ind w:firstLine="709"/>
              <w:jc w:val="both"/>
              <w:rPr>
                <w:i/>
                <w:lang w:val="uk-UA"/>
              </w:rPr>
            </w:pPr>
            <w:r w:rsidRPr="00D159D0">
              <w:rPr>
                <w:i/>
                <w:lang w:val="uk-UA"/>
              </w:rPr>
              <w:t>Важливим є те, що зазначені активи створюються на підставі скарг, аварійних ситуацій, стихійних лих, військових дій, тобто час від моменту прийняття рішення про їх створення до моменту їх створення є настільки стислим, що не витримує можливості здійснення процедури попереднього погодження.</w:t>
            </w:r>
          </w:p>
          <w:p w14:paraId="36A26EAC" w14:textId="77777777" w:rsidR="003E6094" w:rsidRPr="00D159D0" w:rsidRDefault="003E6094" w:rsidP="004976F9">
            <w:pPr>
              <w:ind w:firstLine="709"/>
              <w:jc w:val="both"/>
              <w:rPr>
                <w:i/>
                <w:lang w:val="uk-UA"/>
              </w:rPr>
            </w:pPr>
            <w:r w:rsidRPr="00D159D0">
              <w:rPr>
                <w:i/>
                <w:lang w:val="uk-UA"/>
              </w:rPr>
              <w:t xml:space="preserve">До того ж вартість створення таких активів визначатиметься згідно із СОУ-Н МЕВ 45.2-37472933-44:2016 «Укрупнені показники вартості будівництва підстанцій напругою від 6 кВ до 150 кВ та ліній </w:t>
            </w:r>
            <w:proofErr w:type="spellStart"/>
            <w:r w:rsidRPr="00D159D0">
              <w:rPr>
                <w:i/>
                <w:lang w:val="uk-UA"/>
              </w:rPr>
              <w:t>електропередавання</w:t>
            </w:r>
            <w:proofErr w:type="spellEnd"/>
            <w:r w:rsidRPr="00D159D0">
              <w:rPr>
                <w:i/>
                <w:lang w:val="uk-UA"/>
              </w:rPr>
              <w:t xml:space="preserve"> напругою від 0,38 кВ до 150 кВ. Норми», Кошторисних норм України у будівництві «Настанова з визначення вартості будівництва», затверджених наказом Міністерства розвитку громад </w:t>
            </w:r>
            <w:r w:rsidRPr="00D159D0">
              <w:rPr>
                <w:i/>
                <w:lang w:val="uk-UA"/>
              </w:rPr>
              <w:lastRenderedPageBreak/>
              <w:t>та територій України від 01 листопада 2021 року № 281, Порядку розрахунку розміру кошторисної заробітної плати, який враховується при визначенні вартості будівництва об'єктів, затверджений наказом Міністерства регіонального розвитку, будівництва та житлово-комунального господарства України від 20 жовтня 2016 року № 281. Для прикладу дані норми застосовуються для визначення вартості робіт з надання послуг з приєднання (Методика (порядок) формування плати за приєднання до системи передачі та системи розподілу, затверджена постановою НКРЕКП від 18.12.2018 року).</w:t>
            </w:r>
          </w:p>
          <w:p w14:paraId="107C7A61" w14:textId="77777777" w:rsidR="003E6094" w:rsidRPr="00D159D0" w:rsidRDefault="003E6094" w:rsidP="004976F9">
            <w:pPr>
              <w:jc w:val="both"/>
              <w:rPr>
                <w:i/>
                <w:lang w:val="uk-UA"/>
              </w:rPr>
            </w:pPr>
            <w:r w:rsidRPr="00D159D0">
              <w:rPr>
                <w:i/>
                <w:lang w:val="uk-UA"/>
              </w:rPr>
              <w:t>Саме тому, враховуючи вищезазначене, просимо викласти абзац 3 пункту 1.2. у запропонованій редакції.</w:t>
            </w:r>
          </w:p>
          <w:p w14:paraId="126F9011" w14:textId="77777777" w:rsidR="003E6094" w:rsidRPr="00D159D0" w:rsidRDefault="003E6094" w:rsidP="004976F9">
            <w:pPr>
              <w:jc w:val="both"/>
              <w:rPr>
                <w:b/>
                <w:lang w:val="uk-UA"/>
              </w:rPr>
            </w:pPr>
          </w:p>
          <w:p w14:paraId="7A452796" w14:textId="77777777" w:rsidR="003E6094" w:rsidRPr="00D159D0" w:rsidRDefault="003E6094" w:rsidP="004976F9">
            <w:pPr>
              <w:jc w:val="both"/>
              <w:rPr>
                <w:b/>
                <w:lang w:val="uk-UA"/>
              </w:rPr>
            </w:pPr>
          </w:p>
          <w:p w14:paraId="4A0CA0D3" w14:textId="77777777" w:rsidR="003E6094" w:rsidRPr="00D159D0" w:rsidRDefault="003E6094" w:rsidP="004976F9">
            <w:pPr>
              <w:jc w:val="both"/>
              <w:rPr>
                <w:b/>
                <w:lang w:val="uk-UA"/>
              </w:rPr>
            </w:pPr>
            <w:r w:rsidRPr="00D159D0">
              <w:rPr>
                <w:b/>
                <w:lang w:val="uk-UA"/>
              </w:rPr>
              <w:t>ПАТ «ЗАПОРІЖЖЯОБЛЕНЕРГО» лист від 12.07.2024 № 001-33/638</w:t>
            </w:r>
          </w:p>
          <w:p w14:paraId="618297E4" w14:textId="77777777" w:rsidR="003E6094" w:rsidRPr="00D159D0" w:rsidRDefault="003E6094" w:rsidP="004976F9">
            <w:pPr>
              <w:pStyle w:val="tj"/>
              <w:shd w:val="clear" w:color="auto" w:fill="FFFFFF"/>
              <w:spacing w:before="0" w:beforeAutospacing="0" w:after="0" w:afterAutospacing="0"/>
              <w:jc w:val="both"/>
              <w:rPr>
                <w:lang w:eastAsia="zh-CN"/>
              </w:rPr>
            </w:pPr>
            <w:r w:rsidRPr="00D159D0">
              <w:t xml:space="preserve">Пропонується </w:t>
            </w:r>
            <w:proofErr w:type="spellStart"/>
            <w:r w:rsidRPr="00D159D0">
              <w:t>абз</w:t>
            </w:r>
            <w:proofErr w:type="spellEnd"/>
            <w:r w:rsidRPr="00D159D0">
              <w:t>. 4 пункту 1.2. глави 1 “Загальні положення” викласти в наступній редакції:</w:t>
            </w:r>
          </w:p>
          <w:p w14:paraId="6A09EC7A" w14:textId="77777777" w:rsidR="003E6094" w:rsidRPr="00D159D0" w:rsidRDefault="003E6094" w:rsidP="004976F9">
            <w:pPr>
              <w:jc w:val="both"/>
              <w:rPr>
                <w:lang w:val="uk-UA"/>
              </w:rPr>
            </w:pPr>
            <w:r w:rsidRPr="00D159D0">
              <w:rPr>
                <w:lang w:val="uk-UA"/>
              </w:rPr>
              <w:t xml:space="preserve">«активи, віднесені до категорії 3 – активи, отримані ліцензіатами після переходу на стимулююче регулювання на безповоротній та безоплатній основі, </w:t>
            </w:r>
            <w:r w:rsidRPr="00D159D0">
              <w:rPr>
                <w:b/>
                <w:lang w:val="uk-UA"/>
              </w:rPr>
              <w:t>а також у рамках гуманітарної допомоги</w:t>
            </w:r>
            <w:r w:rsidRPr="00D159D0">
              <w:rPr>
                <w:rFonts w:eastAsia="Calibri"/>
                <w:b/>
                <w:lang w:val="uk-UA" w:eastAsia="en-US"/>
              </w:rPr>
              <w:t>, у разі їх безпосереднього використання для здійснення ліцензованої діяльності з розподілу електричної енергії</w:t>
            </w:r>
            <w:r w:rsidRPr="00D159D0">
              <w:rPr>
                <w:lang w:val="uk-UA"/>
              </w:rPr>
              <w:t xml:space="preserve"> (у тому числі нерухоме майно, отримане у вигляді гуманітарної допомоги, витрати на встановлення якого передбачено в межах заходів схваленої інвестиційної програми, а також надання послуг з приєднання). При цьому витрати на встановлення гуманітарного обладнання відносяться до відповідної категорії;»;</w:t>
            </w:r>
          </w:p>
          <w:p w14:paraId="19C1FEAE" w14:textId="77777777" w:rsidR="003E6094" w:rsidRPr="00D159D0" w:rsidRDefault="003E6094" w:rsidP="004976F9">
            <w:pPr>
              <w:jc w:val="both"/>
              <w:rPr>
                <w:b/>
                <w:lang w:val="uk-UA"/>
              </w:rPr>
            </w:pPr>
          </w:p>
          <w:p w14:paraId="42542470" w14:textId="77777777" w:rsidR="003E6094" w:rsidRPr="00D159D0" w:rsidRDefault="003E6094" w:rsidP="004976F9">
            <w:pPr>
              <w:pStyle w:val="aa"/>
              <w:shd w:val="clear" w:color="auto" w:fill="FFFFFF"/>
              <w:spacing w:before="0" w:after="0"/>
              <w:ind w:firstLine="180"/>
              <w:jc w:val="both"/>
              <w:textAlignment w:val="baseline"/>
              <w:rPr>
                <w:i/>
                <w:iCs/>
                <w:lang w:val="uk-UA"/>
              </w:rPr>
            </w:pPr>
            <w:r w:rsidRPr="00D159D0">
              <w:rPr>
                <w:rFonts w:eastAsia="Calibri"/>
                <w:i/>
                <w:iCs/>
                <w:lang w:val="uk-UA" w:eastAsia="en-US"/>
              </w:rPr>
              <w:t xml:space="preserve">Відповідно до пункту 3.1 глави 3 Порядку визначення регуляторної бази активів суб’єктів природних </w:t>
            </w:r>
            <w:r w:rsidRPr="00D159D0">
              <w:rPr>
                <w:rFonts w:eastAsia="Calibri"/>
                <w:i/>
                <w:iCs/>
                <w:lang w:val="uk-UA" w:eastAsia="en-US"/>
              </w:rPr>
              <w:lastRenderedPageBreak/>
              <w:t>монополій у сфері електроенергетики, затвердженого постановою НКРЕ від 11.07.2013 № 899 «до складу регуляторної бази активів</w:t>
            </w:r>
            <w:r w:rsidRPr="00D159D0">
              <w:rPr>
                <w:i/>
                <w:iCs/>
                <w:lang w:val="uk-UA"/>
              </w:rPr>
              <w:t>, створеної після переходу до стимулюючого регулювання, включаються активи, створені після переходу до стимулюючого регулювання, які безпосередньо використовуються для здійснення ліцензованої діяльності з розподілу електричної енергії», у тому числі нерухоме та рухоме майно.</w:t>
            </w:r>
          </w:p>
          <w:p w14:paraId="3106C49D" w14:textId="77777777" w:rsidR="003E6094" w:rsidRPr="00D159D0" w:rsidRDefault="003E6094" w:rsidP="004976F9">
            <w:pPr>
              <w:jc w:val="both"/>
              <w:rPr>
                <w:b/>
                <w:lang w:val="uk-UA"/>
              </w:rPr>
            </w:pPr>
            <w:r w:rsidRPr="00D159D0">
              <w:rPr>
                <w:rFonts w:eastAsia="Calibri"/>
                <w:i/>
                <w:iCs/>
                <w:lang w:val="uk-UA" w:eastAsia="en-US"/>
              </w:rPr>
              <w:t>Тому вважаємо доцільним передбачити, що всі активи, отримані у рамках гуманітарної допомоги, у разі їх безпосереднього використання для здійснення ліцензованої діяльності з розподілу електричної енергії, мають бути віднесені до категорії 3.</w:t>
            </w:r>
          </w:p>
        </w:tc>
        <w:tc>
          <w:tcPr>
            <w:tcW w:w="3544" w:type="dxa"/>
          </w:tcPr>
          <w:p w14:paraId="2E35345D" w14:textId="77777777" w:rsidR="00E44C69" w:rsidRPr="00D159D0" w:rsidRDefault="00E44C69" w:rsidP="004B46E9">
            <w:pPr>
              <w:contextualSpacing/>
              <w:jc w:val="both"/>
              <w:rPr>
                <w:rFonts w:eastAsia="Calibri"/>
                <w:b/>
                <w:lang w:val="uk-UA" w:eastAsia="en-US"/>
              </w:rPr>
            </w:pPr>
            <w:r w:rsidRPr="00D159D0">
              <w:rPr>
                <w:rFonts w:eastAsia="Calibri"/>
                <w:b/>
                <w:lang w:val="uk-UA" w:eastAsia="en-US"/>
              </w:rPr>
              <w:lastRenderedPageBreak/>
              <w:t>Не враховано.</w:t>
            </w:r>
          </w:p>
          <w:p w14:paraId="4A269F2A" w14:textId="77777777" w:rsidR="00E44C69" w:rsidRPr="00D159D0" w:rsidRDefault="00E44C69" w:rsidP="004B46E9">
            <w:pPr>
              <w:contextualSpacing/>
              <w:jc w:val="both"/>
              <w:rPr>
                <w:rFonts w:eastAsia="Calibri"/>
                <w:b/>
                <w:lang w:val="uk-UA" w:eastAsia="en-US"/>
              </w:rPr>
            </w:pPr>
            <w:r w:rsidRPr="00D159D0">
              <w:rPr>
                <w:rFonts w:eastAsia="Calibri"/>
                <w:b/>
                <w:lang w:val="uk-UA" w:eastAsia="en-US"/>
              </w:rPr>
              <w:t>Недостатньо обґрунтована пропозиція.</w:t>
            </w:r>
          </w:p>
          <w:p w14:paraId="46B4DDC2" w14:textId="77777777" w:rsidR="00E44C69" w:rsidRPr="00D159D0" w:rsidRDefault="00E44C69" w:rsidP="004B46E9">
            <w:pPr>
              <w:ind w:firstLine="81"/>
              <w:jc w:val="both"/>
              <w:rPr>
                <w:rFonts w:eastAsia="Calibri"/>
                <w:lang w:val="uk-UA" w:eastAsia="en-US"/>
              </w:rPr>
            </w:pPr>
            <w:r w:rsidRPr="00D159D0">
              <w:rPr>
                <w:rFonts w:eastAsia="Calibri"/>
                <w:lang w:val="uk-UA" w:eastAsia="en-US"/>
              </w:rPr>
              <w:t>Основні засоби та елементи інфраструктури об’єктів електроенергетики ліцензіатів з розподілу електричної енергії були придбані за рахунок коштів, передбачених у відповідних тарифах від провадження діяльності та сплачених споживачами (у тому числі населенням) електричної енергії.</w:t>
            </w:r>
          </w:p>
          <w:p w14:paraId="3E677533" w14:textId="2DBDCBA7" w:rsidR="00E44C69" w:rsidRPr="00D159D0" w:rsidRDefault="00E44C69" w:rsidP="00E44C69">
            <w:pPr>
              <w:jc w:val="both"/>
              <w:rPr>
                <w:b/>
                <w:bCs/>
                <w:highlight w:val="green"/>
                <w:u w:val="single"/>
                <w:lang w:val="uk-UA"/>
              </w:rPr>
            </w:pPr>
            <w:r w:rsidRPr="00D159D0">
              <w:rPr>
                <w:rFonts w:eastAsia="Calibri"/>
                <w:lang w:val="uk-UA" w:eastAsia="en-US"/>
              </w:rPr>
              <w:t xml:space="preserve">Отже, додатково отриманий дохід за результатами заходів контролю, має спрямовуватися на заплановані витрати ліцензіатів, які пов’язані з поліпшенням якості надання послуг електропостачання та надійності обслуговування </w:t>
            </w:r>
            <w:r w:rsidRPr="00D159D0">
              <w:rPr>
                <w:rFonts w:eastAsia="Calibri"/>
                <w:lang w:val="uk-UA" w:eastAsia="en-US"/>
              </w:rPr>
              <w:lastRenderedPageBreak/>
              <w:t>споживачів, зокрема на капітальні інвестиції в</w:t>
            </w:r>
            <w:r w:rsidRPr="00D159D0">
              <w:rPr>
                <w:rFonts w:ascii="Calibri" w:eastAsia="Calibri" w:hAnsi="Calibri"/>
                <w:lang w:val="uk-UA" w:eastAsia="en-US"/>
              </w:rPr>
              <w:t xml:space="preserve"> </w:t>
            </w:r>
            <w:r w:rsidRPr="00D159D0">
              <w:rPr>
                <w:rFonts w:eastAsia="Calibri"/>
                <w:lang w:val="uk-UA" w:eastAsia="en-US"/>
              </w:rPr>
              <w:t>будівництво, реконструкцію, модернізацію об'єктів</w:t>
            </w:r>
            <w:r w:rsidR="0047627C" w:rsidRPr="00D159D0">
              <w:rPr>
                <w:rFonts w:eastAsia="Calibri"/>
                <w:lang w:val="uk-UA" w:eastAsia="en-US"/>
              </w:rPr>
              <w:t xml:space="preserve">, </w:t>
            </w:r>
            <w:r w:rsidR="0047627C" w:rsidRPr="00D159D0">
              <w:rPr>
                <w:rFonts w:eastAsia="Calibri"/>
                <w:u w:val="single"/>
                <w:lang w:val="uk-UA" w:eastAsia="en-US"/>
              </w:rPr>
              <w:t>та відноситись до неприбуткової бази активів.</w:t>
            </w:r>
          </w:p>
          <w:p w14:paraId="26137F63" w14:textId="77777777" w:rsidR="00E44C69" w:rsidRPr="00D159D0" w:rsidRDefault="00E44C69" w:rsidP="004976F9">
            <w:pPr>
              <w:jc w:val="both"/>
              <w:rPr>
                <w:b/>
                <w:bCs/>
                <w:highlight w:val="green"/>
                <w:lang w:val="uk-UA"/>
              </w:rPr>
            </w:pPr>
          </w:p>
          <w:p w14:paraId="15EAD833" w14:textId="77777777" w:rsidR="00E44C69" w:rsidRPr="00D159D0" w:rsidRDefault="00E44C69" w:rsidP="004976F9">
            <w:pPr>
              <w:jc w:val="both"/>
              <w:rPr>
                <w:b/>
                <w:bCs/>
                <w:highlight w:val="green"/>
                <w:lang w:val="uk-UA"/>
              </w:rPr>
            </w:pPr>
          </w:p>
          <w:p w14:paraId="36ACD8E8" w14:textId="77777777" w:rsidR="00E44C69" w:rsidRPr="00D159D0" w:rsidRDefault="00E44C69" w:rsidP="004976F9">
            <w:pPr>
              <w:jc w:val="both"/>
              <w:rPr>
                <w:b/>
                <w:bCs/>
                <w:highlight w:val="green"/>
                <w:lang w:val="uk-UA"/>
              </w:rPr>
            </w:pPr>
          </w:p>
          <w:p w14:paraId="3AAC9B37" w14:textId="77777777" w:rsidR="00E44C69" w:rsidRPr="00D159D0" w:rsidRDefault="00E44C69" w:rsidP="004976F9">
            <w:pPr>
              <w:jc w:val="both"/>
              <w:rPr>
                <w:b/>
                <w:bCs/>
                <w:highlight w:val="green"/>
                <w:lang w:val="uk-UA"/>
              </w:rPr>
            </w:pPr>
          </w:p>
          <w:p w14:paraId="36F82630" w14:textId="77777777" w:rsidR="00E44C69" w:rsidRPr="00D159D0" w:rsidRDefault="00E44C69" w:rsidP="004976F9">
            <w:pPr>
              <w:jc w:val="both"/>
              <w:rPr>
                <w:b/>
                <w:bCs/>
                <w:highlight w:val="green"/>
                <w:lang w:val="uk-UA"/>
              </w:rPr>
            </w:pPr>
          </w:p>
          <w:p w14:paraId="12511917" w14:textId="77777777" w:rsidR="00145816" w:rsidRPr="00D159D0" w:rsidRDefault="00145816" w:rsidP="004976F9">
            <w:pPr>
              <w:jc w:val="both"/>
              <w:rPr>
                <w:b/>
                <w:bCs/>
                <w:lang w:val="uk-UA"/>
              </w:rPr>
            </w:pPr>
          </w:p>
          <w:p w14:paraId="415E6460" w14:textId="77777777" w:rsidR="00F90B3A" w:rsidRPr="00D159D0" w:rsidRDefault="00F90B3A" w:rsidP="008703B1">
            <w:pPr>
              <w:jc w:val="both"/>
              <w:rPr>
                <w:b/>
                <w:bCs/>
                <w:lang w:val="uk-UA"/>
              </w:rPr>
            </w:pPr>
          </w:p>
          <w:p w14:paraId="11D2D4C2" w14:textId="77777777" w:rsidR="006343C5" w:rsidRPr="00D159D0" w:rsidRDefault="006343C5" w:rsidP="008703B1">
            <w:pPr>
              <w:jc w:val="both"/>
              <w:rPr>
                <w:b/>
                <w:bCs/>
                <w:lang w:val="uk-UA"/>
              </w:rPr>
            </w:pPr>
          </w:p>
          <w:p w14:paraId="1A5AA6E2" w14:textId="77777777" w:rsidR="004B46E9" w:rsidRPr="00D159D0" w:rsidRDefault="004B46E9" w:rsidP="0047627C">
            <w:pPr>
              <w:widowControl w:val="0"/>
              <w:suppressAutoHyphens/>
              <w:contextualSpacing/>
              <w:jc w:val="both"/>
              <w:rPr>
                <w:b/>
                <w:bCs/>
                <w:lang w:val="uk-UA"/>
              </w:rPr>
            </w:pPr>
          </w:p>
          <w:p w14:paraId="780DB7BC" w14:textId="2CA6E98E" w:rsidR="0047627C" w:rsidRPr="00D159D0" w:rsidRDefault="0047627C" w:rsidP="0047627C">
            <w:pPr>
              <w:widowControl w:val="0"/>
              <w:suppressAutoHyphens/>
              <w:contextualSpacing/>
              <w:jc w:val="both"/>
              <w:rPr>
                <w:b/>
                <w:bCs/>
                <w:lang w:val="uk-UA"/>
              </w:rPr>
            </w:pPr>
            <w:r w:rsidRPr="00D159D0">
              <w:rPr>
                <w:b/>
                <w:bCs/>
                <w:lang w:val="uk-UA"/>
              </w:rPr>
              <w:t>Не враховується</w:t>
            </w:r>
          </w:p>
          <w:p w14:paraId="5D3D7F08" w14:textId="7961240E" w:rsidR="008703B1" w:rsidRPr="00D159D0" w:rsidRDefault="004B46E9" w:rsidP="008703B1">
            <w:pPr>
              <w:jc w:val="both"/>
              <w:rPr>
                <w:b/>
                <w:lang w:val="uk-UA"/>
              </w:rPr>
            </w:pPr>
            <w:r w:rsidRPr="00D159D0">
              <w:rPr>
                <w:b/>
                <w:lang w:val="uk-UA"/>
              </w:rPr>
              <w:t>Недостатньо обґрунтована пропозиція</w:t>
            </w:r>
          </w:p>
          <w:p w14:paraId="1B3F2CAD" w14:textId="1EB13130" w:rsidR="008703B1" w:rsidRPr="00D159D0" w:rsidRDefault="00F90B3A" w:rsidP="00F90B3A">
            <w:pPr>
              <w:jc w:val="both"/>
              <w:rPr>
                <w:lang w:val="uk-UA"/>
              </w:rPr>
            </w:pPr>
            <w:r w:rsidRPr="00D159D0">
              <w:rPr>
                <w:lang w:val="uk-UA"/>
              </w:rPr>
              <w:t xml:space="preserve">Обґрунтованими </w:t>
            </w:r>
            <w:proofErr w:type="spellStart"/>
            <w:r w:rsidRPr="00D159D0">
              <w:rPr>
                <w:lang w:val="uk-UA"/>
              </w:rPr>
              <w:t>закупівлями</w:t>
            </w:r>
            <w:proofErr w:type="spellEnd"/>
            <w:r w:rsidRPr="00D159D0">
              <w:rPr>
                <w:lang w:val="uk-UA"/>
              </w:rPr>
              <w:t xml:space="preserve"> активів, які створені після переходу на стимулююче регулювання, можуть вважатися ті закупівлі, що були попередньо письмово погоджені НКРЕКП</w:t>
            </w:r>
            <w:r w:rsidR="004B46E9" w:rsidRPr="00D159D0">
              <w:rPr>
                <w:lang w:val="uk-UA"/>
              </w:rPr>
              <w:t>.</w:t>
            </w:r>
          </w:p>
          <w:p w14:paraId="61A1A95C" w14:textId="77777777" w:rsidR="008703B1" w:rsidRPr="00D159D0" w:rsidRDefault="008703B1" w:rsidP="00F90B3A">
            <w:pPr>
              <w:jc w:val="both"/>
              <w:rPr>
                <w:lang w:val="uk-UA"/>
              </w:rPr>
            </w:pPr>
            <w:r w:rsidRPr="00D159D0">
              <w:rPr>
                <w:lang w:val="uk-UA"/>
              </w:rPr>
              <w:t xml:space="preserve">Обґрунтування кожної закупівлі має містити </w:t>
            </w:r>
            <w:proofErr w:type="spellStart"/>
            <w:r w:rsidRPr="00D159D0">
              <w:rPr>
                <w:lang w:val="uk-UA"/>
              </w:rPr>
              <w:t>проєктно</w:t>
            </w:r>
            <w:proofErr w:type="spellEnd"/>
            <w:r w:rsidRPr="00D159D0">
              <w:rPr>
                <w:lang w:val="uk-UA"/>
              </w:rPr>
              <w:t xml:space="preserve">-кошторисну документацію з виконання відповідних робіт, розроблену та затверджену відповідно до вимог чинного законодавства, експертні висновки щодо розгляду </w:t>
            </w:r>
            <w:proofErr w:type="spellStart"/>
            <w:r w:rsidRPr="00D159D0">
              <w:rPr>
                <w:lang w:val="uk-UA"/>
              </w:rPr>
              <w:t>проєктно</w:t>
            </w:r>
            <w:proofErr w:type="spellEnd"/>
            <w:r w:rsidRPr="00D159D0">
              <w:rPr>
                <w:lang w:val="uk-UA"/>
              </w:rPr>
              <w:t xml:space="preserve">-кошторисної документації (за необхідності), накази про затвердження </w:t>
            </w:r>
            <w:r w:rsidRPr="00D159D0">
              <w:rPr>
                <w:lang w:val="uk-UA"/>
              </w:rPr>
              <w:lastRenderedPageBreak/>
              <w:t xml:space="preserve">відповідної </w:t>
            </w:r>
            <w:proofErr w:type="spellStart"/>
            <w:r w:rsidRPr="00D159D0">
              <w:rPr>
                <w:lang w:val="uk-UA"/>
              </w:rPr>
              <w:t>проєктно</w:t>
            </w:r>
            <w:proofErr w:type="spellEnd"/>
            <w:r w:rsidRPr="00D159D0">
              <w:rPr>
                <w:lang w:val="uk-UA"/>
              </w:rPr>
              <w:t>-кошторисної</w:t>
            </w:r>
            <w:r w:rsidRPr="00D159D0">
              <w:rPr>
                <w:b/>
                <w:bCs/>
                <w:lang w:val="uk-UA"/>
              </w:rPr>
              <w:t xml:space="preserve"> </w:t>
            </w:r>
            <w:r w:rsidRPr="00D159D0">
              <w:rPr>
                <w:lang w:val="uk-UA"/>
              </w:rPr>
              <w:t>документації, цінові (комерційні) пропозиції (</w:t>
            </w:r>
            <w:proofErr w:type="spellStart"/>
            <w:r w:rsidRPr="00D159D0">
              <w:rPr>
                <w:lang w:val="uk-UA"/>
              </w:rPr>
              <w:t>прайси</w:t>
            </w:r>
            <w:proofErr w:type="spellEnd"/>
            <w:r w:rsidRPr="00D159D0">
              <w:rPr>
                <w:lang w:val="uk-UA"/>
              </w:rPr>
              <w:t>) виробників або їх офіційних представників в Україні, результати публічної закупівлі, відповідні програми/концепції розвитку, що містять перелік запланованих за роками заходів.</w:t>
            </w:r>
          </w:p>
          <w:p w14:paraId="11EB1753" w14:textId="77777777" w:rsidR="00145816" w:rsidRPr="00D159D0" w:rsidRDefault="00145816" w:rsidP="004976F9">
            <w:pPr>
              <w:jc w:val="both"/>
              <w:rPr>
                <w:lang w:val="uk-UA"/>
              </w:rPr>
            </w:pPr>
          </w:p>
          <w:p w14:paraId="02EA8A05" w14:textId="1B4D9391" w:rsidR="00145816" w:rsidRPr="00D159D0" w:rsidRDefault="006E2A0F" w:rsidP="004976F9">
            <w:pPr>
              <w:jc w:val="both"/>
              <w:rPr>
                <w:b/>
                <w:bCs/>
                <w:lang w:val="uk-UA"/>
              </w:rPr>
            </w:pPr>
            <w:r w:rsidRPr="00D159D0">
              <w:rPr>
                <w:b/>
                <w:bCs/>
                <w:lang w:val="uk-UA"/>
              </w:rPr>
              <w:t>Пропонується наступна редакція:</w:t>
            </w:r>
          </w:p>
          <w:p w14:paraId="71C8776D" w14:textId="4A484AD7" w:rsidR="006E2A0F" w:rsidRPr="00D159D0" w:rsidRDefault="006E2A0F" w:rsidP="006E2A0F">
            <w:pPr>
              <w:jc w:val="both"/>
              <w:rPr>
                <w:b/>
                <w:u w:val="single"/>
                <w:lang w:val="uk-UA"/>
              </w:rPr>
            </w:pPr>
            <w:r w:rsidRPr="00D159D0">
              <w:rPr>
                <w:shd w:val="clear" w:color="auto" w:fill="FFFFFF"/>
                <w:lang w:val="uk-UA"/>
              </w:rPr>
              <w:t xml:space="preserve">«активи, віднесені до категорії 2 - активи, створені після переходу на стимулююче регулювання: у межах надання послуг з приєднання; у межах надання послуги з перенесення об'єктів електроенергетики за ініціативою користувача системи розподілу або власника земельної ділянки, які мають намір спорудити або реконструювати будівлі, дороги, мости або інші об'єкти архітектури; у межах схваленої інвестиційної програми, у тому числі за рахунок надходжень за </w:t>
            </w:r>
            <w:proofErr w:type="spellStart"/>
            <w:r w:rsidRPr="00D159D0">
              <w:rPr>
                <w:shd w:val="clear" w:color="auto" w:fill="FFFFFF"/>
                <w:lang w:val="uk-UA"/>
              </w:rPr>
              <w:t>перетоки</w:t>
            </w:r>
            <w:proofErr w:type="spellEnd"/>
            <w:r w:rsidRPr="00D159D0">
              <w:rPr>
                <w:shd w:val="clear" w:color="auto" w:fill="FFFFFF"/>
                <w:lang w:val="uk-UA"/>
              </w:rPr>
              <w:t xml:space="preserve"> реактивної електричної енергії, за винятком активів, віднесених до категорії 1; </w:t>
            </w:r>
            <w:r w:rsidRPr="00D159D0">
              <w:rPr>
                <w:b/>
                <w:shd w:val="clear" w:color="auto" w:fill="FFFFFF"/>
                <w:lang w:val="uk-UA"/>
              </w:rPr>
              <w:t xml:space="preserve">унаслідок обґрунтованої закупівлі поза заходами інвестиційної програми активів для здійснення </w:t>
            </w:r>
            <w:r w:rsidRPr="00D159D0">
              <w:rPr>
                <w:b/>
                <w:shd w:val="clear" w:color="auto" w:fill="FFFFFF"/>
                <w:lang w:val="uk-UA"/>
              </w:rPr>
              <w:lastRenderedPageBreak/>
              <w:t xml:space="preserve">ліцензованої діяльності, </w:t>
            </w:r>
            <w:r w:rsidRPr="00D159D0">
              <w:rPr>
                <w:b/>
                <w:u w:val="single"/>
                <w:shd w:val="clear" w:color="auto" w:fill="FFFFFF"/>
                <w:lang w:val="uk-UA"/>
              </w:rPr>
              <w:t>за умови отримання</w:t>
            </w:r>
            <w:r w:rsidRPr="00D159D0">
              <w:rPr>
                <w:b/>
                <w:u w:val="single"/>
                <w:lang w:val="uk-UA"/>
              </w:rPr>
              <w:t xml:space="preserve"> попереднього письмового погодження НКРЕКП</w:t>
            </w:r>
            <w:r w:rsidRPr="00D159D0">
              <w:rPr>
                <w:b/>
                <w:u w:val="single"/>
                <w:shd w:val="clear" w:color="auto" w:fill="FFFFFF"/>
                <w:lang w:val="uk-UA"/>
              </w:rPr>
              <w:t>;».</w:t>
            </w:r>
          </w:p>
          <w:p w14:paraId="788E25D9" w14:textId="77777777" w:rsidR="006E2A0F" w:rsidRPr="00D159D0" w:rsidRDefault="006E2A0F" w:rsidP="004976F9">
            <w:pPr>
              <w:jc w:val="both"/>
              <w:rPr>
                <w:b/>
                <w:bCs/>
                <w:lang w:val="uk-UA"/>
              </w:rPr>
            </w:pPr>
          </w:p>
          <w:p w14:paraId="7ABDA480" w14:textId="77777777" w:rsidR="00145816" w:rsidRPr="00D159D0" w:rsidRDefault="00145816" w:rsidP="004976F9">
            <w:pPr>
              <w:jc w:val="both"/>
              <w:rPr>
                <w:b/>
                <w:bCs/>
                <w:lang w:val="uk-UA"/>
              </w:rPr>
            </w:pPr>
          </w:p>
          <w:p w14:paraId="585CB5AA" w14:textId="77777777" w:rsidR="00145816" w:rsidRPr="00D159D0" w:rsidRDefault="00145816" w:rsidP="004976F9">
            <w:pPr>
              <w:jc w:val="both"/>
              <w:rPr>
                <w:b/>
                <w:bCs/>
                <w:lang w:val="uk-UA"/>
              </w:rPr>
            </w:pPr>
          </w:p>
          <w:p w14:paraId="77B23291" w14:textId="77777777" w:rsidR="00145816" w:rsidRPr="00D159D0" w:rsidRDefault="00145816" w:rsidP="004976F9">
            <w:pPr>
              <w:jc w:val="both"/>
              <w:rPr>
                <w:b/>
                <w:bCs/>
                <w:lang w:val="uk-UA"/>
              </w:rPr>
            </w:pPr>
          </w:p>
          <w:p w14:paraId="0A4ACF87" w14:textId="77777777" w:rsidR="00145816" w:rsidRPr="00D159D0" w:rsidRDefault="00145816" w:rsidP="004976F9">
            <w:pPr>
              <w:jc w:val="both"/>
              <w:rPr>
                <w:b/>
                <w:bCs/>
                <w:lang w:val="uk-UA"/>
              </w:rPr>
            </w:pPr>
          </w:p>
          <w:p w14:paraId="7308226A" w14:textId="77777777" w:rsidR="00145816" w:rsidRPr="00D159D0" w:rsidRDefault="00145816" w:rsidP="004976F9">
            <w:pPr>
              <w:jc w:val="both"/>
              <w:rPr>
                <w:b/>
                <w:bCs/>
                <w:lang w:val="uk-UA"/>
              </w:rPr>
            </w:pPr>
          </w:p>
          <w:p w14:paraId="1A1D3B70" w14:textId="77777777" w:rsidR="00145816" w:rsidRPr="00D159D0" w:rsidRDefault="00145816" w:rsidP="004976F9">
            <w:pPr>
              <w:jc w:val="both"/>
              <w:rPr>
                <w:b/>
                <w:bCs/>
                <w:lang w:val="uk-UA"/>
              </w:rPr>
            </w:pPr>
          </w:p>
          <w:p w14:paraId="6E7E0623" w14:textId="77777777" w:rsidR="00145816" w:rsidRPr="00D159D0" w:rsidRDefault="00145816" w:rsidP="004976F9">
            <w:pPr>
              <w:jc w:val="both"/>
              <w:rPr>
                <w:b/>
                <w:bCs/>
                <w:lang w:val="uk-UA"/>
              </w:rPr>
            </w:pPr>
          </w:p>
          <w:p w14:paraId="73BE4D5F" w14:textId="77777777" w:rsidR="00145816" w:rsidRPr="00D159D0" w:rsidRDefault="00145816" w:rsidP="004976F9">
            <w:pPr>
              <w:jc w:val="both"/>
              <w:rPr>
                <w:b/>
                <w:bCs/>
                <w:lang w:val="uk-UA"/>
              </w:rPr>
            </w:pPr>
          </w:p>
          <w:p w14:paraId="66AB1BA3" w14:textId="77777777" w:rsidR="00145816" w:rsidRPr="00D159D0" w:rsidRDefault="00145816" w:rsidP="004976F9">
            <w:pPr>
              <w:jc w:val="both"/>
              <w:rPr>
                <w:b/>
                <w:bCs/>
                <w:lang w:val="uk-UA"/>
              </w:rPr>
            </w:pPr>
          </w:p>
          <w:p w14:paraId="4D502C3B" w14:textId="77777777" w:rsidR="00145816" w:rsidRPr="00D159D0" w:rsidRDefault="00145816" w:rsidP="004976F9">
            <w:pPr>
              <w:jc w:val="both"/>
              <w:rPr>
                <w:b/>
                <w:bCs/>
                <w:lang w:val="uk-UA"/>
              </w:rPr>
            </w:pPr>
          </w:p>
          <w:p w14:paraId="17BDC27B" w14:textId="77777777" w:rsidR="00145816" w:rsidRPr="00D159D0" w:rsidRDefault="00145816" w:rsidP="000850BC">
            <w:pPr>
              <w:jc w:val="both"/>
              <w:rPr>
                <w:b/>
                <w:bCs/>
                <w:lang w:val="uk-UA"/>
              </w:rPr>
            </w:pPr>
          </w:p>
          <w:p w14:paraId="7453F839" w14:textId="77777777" w:rsidR="00145816" w:rsidRPr="00D159D0" w:rsidRDefault="00145816" w:rsidP="000850BC">
            <w:pPr>
              <w:jc w:val="both"/>
              <w:rPr>
                <w:b/>
                <w:bCs/>
                <w:lang w:val="uk-UA"/>
              </w:rPr>
            </w:pPr>
            <w:r w:rsidRPr="00D159D0">
              <w:rPr>
                <w:b/>
                <w:bCs/>
                <w:lang w:val="uk-UA"/>
              </w:rPr>
              <w:t>Не враховано</w:t>
            </w:r>
          </w:p>
          <w:p w14:paraId="1C956742" w14:textId="77777777" w:rsidR="007428D4" w:rsidRPr="00D159D0" w:rsidRDefault="007428D4" w:rsidP="000850BC">
            <w:pPr>
              <w:contextualSpacing/>
              <w:jc w:val="both"/>
              <w:rPr>
                <w:rFonts w:eastAsia="Calibri"/>
                <w:b/>
                <w:lang w:val="uk-UA" w:eastAsia="en-US"/>
              </w:rPr>
            </w:pPr>
            <w:r w:rsidRPr="00D159D0">
              <w:rPr>
                <w:rFonts w:eastAsia="Calibri"/>
                <w:b/>
                <w:lang w:val="uk-UA" w:eastAsia="en-US"/>
              </w:rPr>
              <w:t>Недостатньо обґрунтована пропозиція.</w:t>
            </w:r>
          </w:p>
          <w:p w14:paraId="546687A2" w14:textId="7F8A0E10" w:rsidR="00145816" w:rsidRPr="00D159D0" w:rsidRDefault="0012666F" w:rsidP="004976F9">
            <w:pPr>
              <w:jc w:val="both"/>
              <w:rPr>
                <w:bCs/>
                <w:lang w:val="uk-UA"/>
              </w:rPr>
            </w:pPr>
            <w:r w:rsidRPr="00D159D0">
              <w:rPr>
                <w:bCs/>
                <w:lang w:val="uk-UA"/>
              </w:rPr>
              <w:t>Активи</w:t>
            </w:r>
            <w:r w:rsidR="003C095D" w:rsidRPr="00D159D0">
              <w:rPr>
                <w:bCs/>
                <w:lang w:val="uk-UA"/>
              </w:rPr>
              <w:t>,</w:t>
            </w:r>
            <w:r w:rsidRPr="00D159D0">
              <w:rPr>
                <w:bCs/>
                <w:lang w:val="uk-UA"/>
              </w:rPr>
              <w:t xml:space="preserve"> отримані в рамках гуманітарної допомоги</w:t>
            </w:r>
            <w:r w:rsidR="003C095D" w:rsidRPr="00D159D0">
              <w:rPr>
                <w:bCs/>
                <w:lang w:val="uk-UA"/>
              </w:rPr>
              <w:t>,</w:t>
            </w:r>
            <w:r w:rsidRPr="00D159D0">
              <w:rPr>
                <w:bCs/>
                <w:lang w:val="uk-UA"/>
              </w:rPr>
              <w:t xml:space="preserve"> можуть </w:t>
            </w:r>
            <w:r w:rsidR="00802EB8" w:rsidRPr="00D159D0">
              <w:rPr>
                <w:bCs/>
                <w:lang w:val="uk-UA"/>
              </w:rPr>
              <w:t>також</w:t>
            </w:r>
            <w:r w:rsidRPr="00D159D0">
              <w:rPr>
                <w:bCs/>
                <w:lang w:val="uk-UA"/>
              </w:rPr>
              <w:t xml:space="preserve"> використ</w:t>
            </w:r>
            <w:r w:rsidR="00802EB8" w:rsidRPr="00D159D0">
              <w:rPr>
                <w:bCs/>
                <w:lang w:val="uk-UA"/>
              </w:rPr>
              <w:t>овуватись</w:t>
            </w:r>
            <w:r w:rsidRPr="00D159D0">
              <w:rPr>
                <w:bCs/>
                <w:lang w:val="uk-UA"/>
              </w:rPr>
              <w:t>, зокрема</w:t>
            </w:r>
            <w:r w:rsidR="00802EB8" w:rsidRPr="00D159D0">
              <w:rPr>
                <w:bCs/>
                <w:lang w:val="uk-UA"/>
              </w:rPr>
              <w:t xml:space="preserve"> </w:t>
            </w:r>
            <w:r w:rsidRPr="00D159D0">
              <w:rPr>
                <w:bCs/>
                <w:lang w:val="uk-UA"/>
              </w:rPr>
              <w:t xml:space="preserve">у рамках програми відновлення, </w:t>
            </w:r>
            <w:r w:rsidR="00802EB8" w:rsidRPr="00D159D0">
              <w:rPr>
                <w:bCs/>
                <w:lang w:val="uk-UA"/>
              </w:rPr>
              <w:t>ремонтної програми або для поповнення ремонтного фонду</w:t>
            </w:r>
            <w:r w:rsidR="007428D4" w:rsidRPr="00D159D0">
              <w:rPr>
                <w:bCs/>
                <w:lang w:val="uk-UA"/>
              </w:rPr>
              <w:t>.</w:t>
            </w:r>
            <w:r w:rsidR="00802EB8" w:rsidRPr="00D159D0">
              <w:rPr>
                <w:bCs/>
                <w:lang w:val="uk-UA"/>
              </w:rPr>
              <w:t xml:space="preserve"> </w:t>
            </w:r>
            <w:r w:rsidR="007428D4" w:rsidRPr="00D159D0">
              <w:rPr>
                <w:bCs/>
                <w:lang w:val="uk-UA"/>
              </w:rPr>
              <w:t>Т</w:t>
            </w:r>
            <w:r w:rsidR="00802EB8" w:rsidRPr="00D159D0">
              <w:rPr>
                <w:bCs/>
                <w:lang w:val="uk-UA"/>
              </w:rPr>
              <w:t>акі активи не включаються до складу РБА</w:t>
            </w:r>
            <w:r w:rsidR="007428D4" w:rsidRPr="00D159D0">
              <w:rPr>
                <w:bCs/>
                <w:lang w:val="uk-UA"/>
              </w:rPr>
              <w:t>.</w:t>
            </w:r>
          </w:p>
          <w:p w14:paraId="2D6BCA7C" w14:textId="41E2BE2A" w:rsidR="00145816" w:rsidRPr="00D159D0" w:rsidRDefault="00145816" w:rsidP="004976F9">
            <w:pPr>
              <w:jc w:val="both"/>
              <w:rPr>
                <w:b/>
                <w:bCs/>
                <w:lang w:val="uk-UA"/>
              </w:rPr>
            </w:pPr>
          </w:p>
        </w:tc>
      </w:tr>
      <w:tr w:rsidR="00D159D0" w:rsidRPr="00D159D0" w14:paraId="2B054D91" w14:textId="77777777" w:rsidTr="00EE26FC">
        <w:tc>
          <w:tcPr>
            <w:tcW w:w="5665" w:type="dxa"/>
          </w:tcPr>
          <w:p w14:paraId="13EAE38E" w14:textId="77777777" w:rsidR="007E2481" w:rsidRPr="00D159D0" w:rsidRDefault="007E2481" w:rsidP="004976F9">
            <w:pPr>
              <w:shd w:val="clear" w:color="auto" w:fill="FFFFFF"/>
              <w:jc w:val="both"/>
              <w:rPr>
                <w:b/>
                <w:lang w:val="uk-UA"/>
              </w:rPr>
            </w:pPr>
            <w:r w:rsidRPr="00D159D0">
              <w:rPr>
                <w:b/>
                <w:lang w:val="uk-UA"/>
              </w:rPr>
              <w:lastRenderedPageBreak/>
              <w:t>Зміни не пропонувались</w:t>
            </w:r>
          </w:p>
          <w:p w14:paraId="35286BEB" w14:textId="77777777" w:rsidR="007E2481" w:rsidRPr="00D159D0" w:rsidRDefault="007E2481" w:rsidP="004976F9">
            <w:pPr>
              <w:shd w:val="clear" w:color="auto" w:fill="FFFFFF"/>
              <w:jc w:val="both"/>
              <w:rPr>
                <w:lang w:val="uk-UA"/>
              </w:rPr>
            </w:pPr>
          </w:p>
          <w:p w14:paraId="6AC0EC16" w14:textId="77777777" w:rsidR="007E2481" w:rsidRPr="00D159D0" w:rsidRDefault="007E2481" w:rsidP="004976F9">
            <w:pPr>
              <w:shd w:val="clear" w:color="auto" w:fill="FFFFFF"/>
              <w:jc w:val="both"/>
              <w:rPr>
                <w:lang w:val="uk-UA"/>
              </w:rPr>
            </w:pPr>
          </w:p>
          <w:p w14:paraId="062E0068" w14:textId="77777777" w:rsidR="007E2481" w:rsidRPr="00D159D0" w:rsidRDefault="007E2481" w:rsidP="004976F9">
            <w:pPr>
              <w:shd w:val="clear" w:color="auto" w:fill="FFFFFF"/>
              <w:jc w:val="both"/>
              <w:rPr>
                <w:lang w:val="uk-UA"/>
              </w:rPr>
            </w:pPr>
          </w:p>
          <w:p w14:paraId="2DD2454A" w14:textId="77777777" w:rsidR="007E2481" w:rsidRPr="00D159D0" w:rsidRDefault="007E2481" w:rsidP="004976F9">
            <w:pPr>
              <w:shd w:val="clear" w:color="auto" w:fill="FFFFFF"/>
              <w:jc w:val="both"/>
              <w:rPr>
                <w:lang w:val="uk-UA"/>
              </w:rPr>
            </w:pPr>
          </w:p>
          <w:p w14:paraId="76B8E180" w14:textId="77777777" w:rsidR="001507FC" w:rsidRPr="00D159D0" w:rsidRDefault="001507FC" w:rsidP="004976F9">
            <w:pPr>
              <w:shd w:val="clear" w:color="auto" w:fill="FFFFFF"/>
              <w:jc w:val="both"/>
              <w:rPr>
                <w:lang w:val="uk-UA"/>
              </w:rPr>
            </w:pPr>
          </w:p>
          <w:p w14:paraId="2DAFDF7E" w14:textId="77777777" w:rsidR="001507FC" w:rsidRPr="00D159D0" w:rsidRDefault="001507FC" w:rsidP="004976F9">
            <w:pPr>
              <w:shd w:val="clear" w:color="auto" w:fill="FFFFFF"/>
              <w:jc w:val="both"/>
              <w:rPr>
                <w:lang w:val="uk-UA"/>
              </w:rPr>
            </w:pPr>
          </w:p>
          <w:p w14:paraId="4F1D9F24" w14:textId="77777777" w:rsidR="007E2481" w:rsidRPr="00D159D0" w:rsidRDefault="007E2481" w:rsidP="004976F9">
            <w:pPr>
              <w:shd w:val="clear" w:color="auto" w:fill="FFFFFF"/>
              <w:jc w:val="both"/>
              <w:rPr>
                <w:lang w:val="uk-UA"/>
              </w:rPr>
            </w:pPr>
            <w:r w:rsidRPr="00D159D0">
              <w:rPr>
                <w:lang w:val="uk-UA"/>
              </w:rPr>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p w14:paraId="3E6F1506" w14:textId="77777777" w:rsidR="007E2481" w:rsidRPr="00D159D0" w:rsidRDefault="00F84FFC" w:rsidP="004976F9">
            <w:pPr>
              <w:shd w:val="clear" w:color="auto" w:fill="D9D9D9" w:themeFill="background1" w:themeFillShade="D9"/>
              <w:jc w:val="both"/>
              <w:rPr>
                <w:i/>
                <w:lang w:val="uk-UA"/>
              </w:rPr>
            </w:pPr>
            <m:oMath>
              <m:sSubSup>
                <m:sSubSupPr>
                  <m:ctrlPr>
                    <w:rPr>
                      <w:rFonts w:ascii="Cambria Math" w:hAnsi="Cambria Math"/>
                      <w:lang w:val="uk-UA"/>
                    </w:rPr>
                  </m:ctrlPr>
                </m:sSubSupPr>
                <m:e>
                  <m:r>
                    <w:rPr>
                      <w:rFonts w:ascii="Cambria Math" w:hAnsi="Cambria Math"/>
                      <w:lang w:val="uk-UA"/>
                    </w:rPr>
                    <m:t>OКB</m:t>
                  </m:r>
                </m:e>
                <m:sub>
                  <m:r>
                    <w:rPr>
                      <w:rFonts w:ascii="Cambria Math" w:hAnsi="Cambria Math"/>
                      <w:lang w:val="uk-UA"/>
                    </w:rPr>
                    <m:t>t</m:t>
                  </m:r>
                </m:sub>
                <m:sup>
                  <m:r>
                    <w:rPr>
                      <w:rFonts w:ascii="Cambria Math" w:hAnsi="Cambria Math"/>
                      <w:lang w:val="uk-UA"/>
                    </w:rPr>
                    <m:t>n</m:t>
                  </m:r>
                </m:sup>
              </m:sSubSup>
            </m:oMath>
            <w:r w:rsidR="007E2481" w:rsidRPr="00D159D0">
              <w:rPr>
                <w:rFonts w:eastAsiaTheme="minorEastAsia"/>
                <w:lang w:val="uk-UA"/>
              </w:rPr>
              <w:t>=(</w:t>
            </w:r>
            <m:oMath>
              <m:sSubSup>
                <m:sSubSupPr>
                  <m:ctrlPr>
                    <w:rPr>
                      <w:rFonts w:ascii="Cambria Math" w:hAnsi="Cambria Math"/>
                      <w:lang w:val="uk-UA"/>
                    </w:rPr>
                  </m:ctrlPr>
                </m:sSubSupPr>
                <m:e>
                  <m:r>
                    <m:rPr>
                      <m:sty m:val="p"/>
                    </m:rPr>
                    <w:rPr>
                      <w:rFonts w:ascii="Cambria Math" w:hAnsi="Cambria Math"/>
                      <w:lang w:val="uk-UA"/>
                    </w:rPr>
                    <m:t>(OКB</m:t>
                  </m:r>
                </m:e>
                <m:sub>
                  <m:r>
                    <m:rPr>
                      <m:sty m:val="p"/>
                    </m:rPr>
                    <w:rPr>
                      <w:rFonts w:ascii="Cambria Math" w:hAnsi="Cambria Math"/>
                      <w:lang w:val="uk-UA"/>
                    </w:rPr>
                    <m:t>t-1</m:t>
                  </m:r>
                </m:sub>
                <m:sup>
                  <m:r>
                    <m:rPr>
                      <m:sty m:val="p"/>
                    </m:rP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r>
                        <m:rPr>
                          <m:sty m:val="p"/>
                        </m:rPr>
                        <w:rPr>
                          <w:rFonts w:ascii="Cambria Math" w:hAnsi="Cambria Math"/>
                          <w:lang w:val="uk-UA"/>
                        </w:rPr>
                        <m:t>-1</m:t>
                      </m:r>
                    </m:sub>
                    <m:sup>
                      <m:r>
                        <w:rPr>
                          <w:rFonts w:ascii="Cambria Math" w:hAnsi="Cambria Math"/>
                          <w:lang w:val="uk-UA"/>
                        </w:rPr>
                        <m:t>n</m:t>
                      </m:r>
                    </m:sup>
                  </m:sSubSup>
                  <m:r>
                    <w:rPr>
                      <w:rFonts w:ascii="Cambria Math" w:hAnsi="Cambria Math"/>
                      <w:lang w:val="uk-UA"/>
                    </w:rPr>
                    <m:t>)*</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ІЦВ</m:t>
                          </m:r>
                        </m:e>
                        <m:sub>
                          <m:r>
                            <w:rPr>
                              <w:rFonts w:ascii="Cambria Math" w:eastAsiaTheme="minorEastAsia" w:hAnsi="Cambria Math"/>
                              <w:lang w:val="uk-UA"/>
                            </w:rPr>
                            <m:t>t</m:t>
                          </m:r>
                        </m:sub>
                        <m:sup>
                          <m:r>
                            <w:rPr>
                              <w:rFonts w:ascii="Cambria Math" w:eastAsiaTheme="minorEastAsia" w:hAnsi="Cambria Math"/>
                              <w:lang w:val="uk-UA"/>
                            </w:rPr>
                            <m:t>n</m:t>
                          </m:r>
                        </m:sup>
                      </m:sSubSup>
                    </m:num>
                    <m:den>
                      <m:r>
                        <w:rPr>
                          <w:rFonts w:ascii="Cambria Math" w:eastAsiaTheme="minorEastAsia" w:hAnsi="Cambria Math"/>
                          <w:lang w:val="uk-UA"/>
                        </w:rPr>
                        <m:t>100</m:t>
                      </m:r>
                    </m:den>
                  </m:f>
                </m:e>
                <m:sub/>
                <m:sup/>
              </m:sSubSup>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)×(1-</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з</m:t>
                      </m:r>
                    </m:sub>
                    <m:sup/>
                  </m:sSubSup>
                  <m:r>
                    <w:rPr>
                      <w:rFonts w:ascii="Cambria Math" w:eastAsiaTheme="minorEastAsia" w:hAnsi="Cambria Math"/>
                      <w:lang w:val="uk-UA"/>
                    </w:rPr>
                    <m:t>+</m:t>
                  </m:r>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інд</m:t>
                      </m:r>
                    </m:sub>
                    <m:sup/>
                  </m:sSubSup>
                </m:num>
                <m:den>
                  <m:r>
                    <w:rPr>
                      <w:rFonts w:ascii="Cambria Math" w:eastAsiaTheme="minorEastAsia" w:hAnsi="Cambria Math"/>
                      <w:lang w:val="uk-UA"/>
                    </w:rPr>
                    <m:t>100</m:t>
                  </m:r>
                </m:den>
              </m:f>
            </m:oMath>
            <w:r w:rsidR="007E2481" w:rsidRPr="00D159D0">
              <w:rPr>
                <w:rFonts w:eastAsiaTheme="minorEastAsia"/>
                <w:lang w:val="uk-UA"/>
              </w:rPr>
              <w:t>)</w:t>
            </w:r>
            <w:r w:rsidR="007E2481" w:rsidRPr="00D159D0">
              <w:rPr>
                <w:lang w:val="uk-UA"/>
              </w:rPr>
              <w:t xml:space="preserve">, </w:t>
            </w:r>
            <w:proofErr w:type="spellStart"/>
            <w:r w:rsidR="007E2481" w:rsidRPr="00D159D0">
              <w:rPr>
                <w:lang w:val="uk-UA"/>
              </w:rPr>
              <w:t>тис.грн</w:t>
            </w:r>
            <w:proofErr w:type="spellEnd"/>
            <w:r w:rsidR="007E2481" w:rsidRPr="00D159D0">
              <w:rPr>
                <w:lang w:val="uk-UA"/>
              </w:rPr>
              <w:t>,  (7)</w:t>
            </w:r>
          </w:p>
          <w:p w14:paraId="46866511" w14:textId="77777777" w:rsidR="007E2481" w:rsidRPr="00D159D0" w:rsidRDefault="007E2481" w:rsidP="004976F9">
            <w:pPr>
              <w:shd w:val="clear" w:color="auto" w:fill="FFFFFF"/>
              <w:ind w:firstLine="450"/>
              <w:jc w:val="both"/>
              <w:rPr>
                <w:lang w:val="uk-UA"/>
              </w:rPr>
            </w:pPr>
          </w:p>
          <w:p w14:paraId="2CE00782" w14:textId="77777777" w:rsidR="00AD2A16" w:rsidRPr="00D159D0" w:rsidRDefault="00AD2A16" w:rsidP="004976F9">
            <w:pPr>
              <w:jc w:val="both"/>
              <w:rPr>
                <w:b/>
                <w:bCs/>
                <w:lang w:val="uk-UA"/>
              </w:rPr>
            </w:pPr>
          </w:p>
        </w:tc>
        <w:tc>
          <w:tcPr>
            <w:tcW w:w="5954" w:type="dxa"/>
          </w:tcPr>
          <w:p w14:paraId="298CC0E6" w14:textId="77777777" w:rsidR="007E2481" w:rsidRPr="00D159D0" w:rsidRDefault="007E2481" w:rsidP="004976F9">
            <w:pPr>
              <w:jc w:val="both"/>
              <w:rPr>
                <w:b/>
                <w:lang w:val="uk-UA"/>
              </w:rPr>
            </w:pPr>
            <w:r w:rsidRPr="00D159D0">
              <w:rPr>
                <w:b/>
                <w:lang w:val="uk-UA"/>
              </w:rPr>
              <w:t>ТОВ «ДТЕК ВИСОКОВОЛЬТНІ МЕРЕЖІ» лист від 17.07.2024 № 08-61/935</w:t>
            </w:r>
          </w:p>
          <w:p w14:paraId="17D0F3A6" w14:textId="77777777" w:rsidR="007E2481" w:rsidRPr="00D159D0" w:rsidRDefault="007E2481" w:rsidP="004976F9">
            <w:pPr>
              <w:jc w:val="both"/>
              <w:rPr>
                <w:b/>
                <w:lang w:val="uk-UA"/>
              </w:rPr>
            </w:pPr>
            <w:r w:rsidRPr="00D159D0">
              <w:rPr>
                <w:b/>
                <w:lang w:val="uk-UA"/>
              </w:rPr>
              <w:t>АТ «ДТЕК ДОНЕЦЬКІ ЕЛЕКТРОМЕРЕЖІ» лист від 17.07.2024 № 06/9956</w:t>
            </w:r>
          </w:p>
          <w:p w14:paraId="461FF4B5" w14:textId="77777777" w:rsidR="001507FC" w:rsidRPr="00D159D0" w:rsidRDefault="001507FC" w:rsidP="001507FC">
            <w:pPr>
              <w:jc w:val="both"/>
              <w:rPr>
                <w:b/>
                <w:lang w:val="uk-UA"/>
              </w:rPr>
            </w:pPr>
            <w:r w:rsidRPr="00D159D0">
              <w:rPr>
                <w:b/>
                <w:lang w:val="uk-UA"/>
              </w:rPr>
              <w:t>ГC «Розумні електромережі лист від 17.07.2024 № 17-07/1</w:t>
            </w:r>
          </w:p>
          <w:p w14:paraId="52FB8F95" w14:textId="77777777" w:rsidR="00802EB8" w:rsidRPr="00D159D0" w:rsidRDefault="00802EB8" w:rsidP="004976F9">
            <w:pPr>
              <w:shd w:val="clear" w:color="auto" w:fill="FFFFFF"/>
              <w:ind w:firstLine="450"/>
              <w:jc w:val="both"/>
              <w:rPr>
                <w:lang w:val="uk-UA"/>
              </w:rPr>
            </w:pPr>
          </w:p>
          <w:p w14:paraId="17C01A14" w14:textId="77777777" w:rsidR="007E2481" w:rsidRPr="00D159D0" w:rsidRDefault="007E2481" w:rsidP="004976F9">
            <w:pPr>
              <w:shd w:val="clear" w:color="auto" w:fill="FFFFFF"/>
              <w:ind w:firstLine="450"/>
              <w:jc w:val="both"/>
              <w:rPr>
                <w:lang w:val="uk-UA"/>
              </w:rPr>
            </w:pPr>
            <w:r w:rsidRPr="00D159D0">
              <w:rPr>
                <w:lang w:val="uk-UA"/>
              </w:rPr>
              <w:t>5.4. Прогнозовані операційні контрольовані витрати з розподілу електричної енергії розраховуються перед початком регуляторного періоду на кожний рік регуляторного періоду за формулою</w:t>
            </w:r>
          </w:p>
          <w:p w14:paraId="3FB527AA" w14:textId="77777777" w:rsidR="007E2481" w:rsidRPr="00D159D0" w:rsidRDefault="00F84FFC" w:rsidP="004976F9">
            <w:pPr>
              <w:shd w:val="clear" w:color="auto" w:fill="D9D9D9" w:themeFill="background1" w:themeFillShade="D9"/>
              <w:jc w:val="both"/>
              <w:rPr>
                <w:i/>
                <w:lang w:val="uk-UA"/>
              </w:rPr>
            </w:pPr>
            <m:oMath>
              <m:sSubSup>
                <m:sSubSupPr>
                  <m:ctrlPr>
                    <w:rPr>
                      <w:rFonts w:ascii="Cambria Math" w:hAnsi="Cambria Math"/>
                      <w:lang w:val="uk-UA"/>
                    </w:rPr>
                  </m:ctrlPr>
                </m:sSubSupPr>
                <m:e>
                  <m:r>
                    <w:rPr>
                      <w:rFonts w:ascii="Cambria Math" w:hAnsi="Cambria Math"/>
                      <w:lang w:val="uk-UA"/>
                    </w:rPr>
                    <m:t>OКB</m:t>
                  </m:r>
                </m:e>
                <m:sub>
                  <m:r>
                    <w:rPr>
                      <w:rFonts w:ascii="Cambria Math" w:hAnsi="Cambria Math"/>
                      <w:lang w:val="uk-UA"/>
                    </w:rPr>
                    <m:t>t</m:t>
                  </m:r>
                </m:sub>
                <m:sup>
                  <m:r>
                    <w:rPr>
                      <w:rFonts w:ascii="Cambria Math" w:hAnsi="Cambria Math"/>
                      <w:lang w:val="uk-UA"/>
                    </w:rPr>
                    <m:t>n</m:t>
                  </m:r>
                </m:sup>
              </m:sSubSup>
            </m:oMath>
            <w:r w:rsidR="007E2481" w:rsidRPr="00D159D0">
              <w:rPr>
                <w:rFonts w:eastAsiaTheme="minorEastAsia"/>
                <w:lang w:val="uk-UA"/>
              </w:rPr>
              <w:t>=(</w:t>
            </w:r>
            <m:oMath>
              <m:sSubSup>
                <m:sSubSupPr>
                  <m:ctrlPr>
                    <w:rPr>
                      <w:rFonts w:ascii="Cambria Math" w:hAnsi="Cambria Math"/>
                      <w:lang w:val="uk-UA"/>
                    </w:rPr>
                  </m:ctrlPr>
                </m:sSubSupPr>
                <m:e>
                  <m:r>
                    <m:rPr>
                      <m:sty m:val="p"/>
                    </m:rPr>
                    <w:rPr>
                      <w:rFonts w:ascii="Cambria Math" w:hAnsi="Cambria Math"/>
                      <w:lang w:val="uk-UA"/>
                    </w:rPr>
                    <m:t>(OКB</m:t>
                  </m:r>
                </m:e>
                <m:sub>
                  <m:r>
                    <m:rPr>
                      <m:sty m:val="p"/>
                    </m:rPr>
                    <w:rPr>
                      <w:rFonts w:ascii="Cambria Math" w:hAnsi="Cambria Math"/>
                      <w:lang w:val="uk-UA"/>
                    </w:rPr>
                    <m:t>t-1</m:t>
                  </m:r>
                </m:sub>
                <m:sup>
                  <m:r>
                    <m:rPr>
                      <m:sty m:val="p"/>
                    </m:rP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r>
                        <m:rPr>
                          <m:sty m:val="p"/>
                        </m:rPr>
                        <w:rPr>
                          <w:rFonts w:ascii="Cambria Math" w:hAnsi="Cambria Math"/>
                          <w:lang w:val="uk-UA"/>
                        </w:rPr>
                        <m:t>-1</m:t>
                      </m:r>
                    </m:sub>
                    <m:sup>
                      <m:r>
                        <w:rPr>
                          <w:rFonts w:ascii="Cambria Math" w:hAnsi="Cambria Math"/>
                          <w:lang w:val="uk-UA"/>
                        </w:rPr>
                        <m:t>n</m:t>
                      </m:r>
                    </m:sup>
                  </m:sSubSup>
                  <m:r>
                    <w:rPr>
                      <w:rFonts w:ascii="Cambria Math" w:hAnsi="Cambria Math"/>
                      <w:lang w:val="uk-UA"/>
                    </w:rPr>
                    <m:t>)*</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ІЦВ</m:t>
                          </m:r>
                        </m:e>
                        <m:sub>
                          <m:r>
                            <w:rPr>
                              <w:rFonts w:ascii="Cambria Math" w:eastAsiaTheme="minorEastAsia" w:hAnsi="Cambria Math"/>
                              <w:lang w:val="uk-UA"/>
                            </w:rPr>
                            <m:t>t</m:t>
                          </m:r>
                        </m:sub>
                        <m:sup>
                          <m:r>
                            <w:rPr>
                              <w:rFonts w:ascii="Cambria Math" w:eastAsiaTheme="minorEastAsia" w:hAnsi="Cambria Math"/>
                              <w:lang w:val="uk-UA"/>
                            </w:rPr>
                            <m:t>n</m:t>
                          </m:r>
                        </m:sup>
                      </m:sSubSup>
                    </m:num>
                    <m:den>
                      <m:r>
                        <w:rPr>
                          <w:rFonts w:ascii="Cambria Math" w:eastAsiaTheme="minorEastAsia" w:hAnsi="Cambria Math"/>
                          <w:lang w:val="uk-UA"/>
                        </w:rPr>
                        <m:t>100</m:t>
                      </m:r>
                    </m:den>
                  </m:f>
                </m:e>
                <m:sub/>
                <m:sup/>
              </m:sSubSup>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)×(1-</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з</m:t>
                      </m:r>
                    </m:sub>
                    <m:sup/>
                  </m:sSubSup>
                  <m:r>
                    <w:rPr>
                      <w:rFonts w:ascii="Cambria Math" w:eastAsiaTheme="minorEastAsia" w:hAnsi="Cambria Math"/>
                      <w:lang w:val="uk-UA"/>
                    </w:rPr>
                    <m:t>+</m:t>
                  </m:r>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інд</m:t>
                      </m:r>
                    </m:sub>
                    <m:sup/>
                  </m:sSubSup>
                </m:num>
                <m:den>
                  <m:r>
                    <w:rPr>
                      <w:rFonts w:ascii="Cambria Math" w:eastAsiaTheme="minorEastAsia" w:hAnsi="Cambria Math"/>
                      <w:lang w:val="uk-UA"/>
                    </w:rPr>
                    <m:t>100</m:t>
                  </m:r>
                </m:den>
              </m:f>
            </m:oMath>
            <w:r w:rsidR="007E2481" w:rsidRPr="00D159D0">
              <w:rPr>
                <w:rFonts w:eastAsiaTheme="minorEastAsia"/>
                <w:lang w:val="uk-UA"/>
              </w:rPr>
              <w:t>)</w:t>
            </w:r>
            <w:r w:rsidR="007E2481" w:rsidRPr="00D159D0">
              <w:rPr>
                <w:lang w:val="uk-UA"/>
              </w:rPr>
              <w:t xml:space="preserve">, </w:t>
            </w:r>
            <w:proofErr w:type="spellStart"/>
            <w:r w:rsidR="007E2481" w:rsidRPr="00D159D0">
              <w:rPr>
                <w:lang w:val="uk-UA"/>
              </w:rPr>
              <w:t>тис.грн</w:t>
            </w:r>
            <w:proofErr w:type="spellEnd"/>
            <w:r w:rsidR="007E2481" w:rsidRPr="00D159D0">
              <w:rPr>
                <w:lang w:val="uk-UA"/>
              </w:rPr>
              <w:t>,  (7)</w:t>
            </w:r>
          </w:p>
          <w:p w14:paraId="23BF79A7" w14:textId="77777777" w:rsidR="007E2481" w:rsidRPr="00D159D0" w:rsidRDefault="007E2481" w:rsidP="004976F9">
            <w:pPr>
              <w:shd w:val="clear" w:color="auto" w:fill="FFFFFF"/>
              <w:rPr>
                <w:b/>
                <w:bCs/>
                <w:shd w:val="clear" w:color="auto" w:fill="FFFFFF"/>
                <w:lang w:val="uk-UA"/>
              </w:rPr>
            </w:pPr>
          </w:p>
          <w:p w14:paraId="03AACDCB" w14:textId="77777777" w:rsidR="007E2481" w:rsidRPr="00D159D0" w:rsidRDefault="007E2481" w:rsidP="004976F9">
            <w:pPr>
              <w:shd w:val="clear" w:color="auto" w:fill="FFFFFF"/>
              <w:jc w:val="both"/>
              <w:rPr>
                <w:b/>
                <w:bCs/>
                <w:shd w:val="clear" w:color="auto" w:fill="FFFFFF"/>
                <w:lang w:val="uk-UA"/>
              </w:rPr>
            </w:pPr>
            <w:r w:rsidRPr="00D159D0">
              <w:rPr>
                <w:b/>
                <w:bCs/>
                <w:shd w:val="clear" w:color="auto" w:fill="FFFFFF"/>
                <w:lang w:val="uk-UA"/>
              </w:rPr>
              <w:t>Для операторів систем розподілу за частиною основних фондів яких тимчасово втрачено контроль, при розрахунку застосовується коефіцієнт поправки на фактичну кількість умовних одиниць обладнання, що знаходиться на контрольованій їм території:</w:t>
            </w:r>
          </w:p>
          <w:p w14:paraId="4AA59B38" w14:textId="77777777" w:rsidR="007E2481" w:rsidRPr="00D159D0" w:rsidRDefault="00F84FFC" w:rsidP="004976F9">
            <w:pPr>
              <w:shd w:val="clear" w:color="auto" w:fill="D9D9D9" w:themeFill="background1" w:themeFillShade="D9"/>
              <w:jc w:val="both"/>
              <w:rPr>
                <w:i/>
                <w:lang w:val="uk-UA"/>
              </w:rPr>
            </w:pPr>
            <m:oMath>
              <m:sSubSup>
                <m:sSubSupPr>
                  <m:ctrlPr>
                    <w:rPr>
                      <w:rFonts w:ascii="Cambria Math" w:hAnsi="Cambria Math"/>
                      <w:lang w:val="uk-UA"/>
                    </w:rPr>
                  </m:ctrlPr>
                </m:sSubSupPr>
                <m:e>
                  <m:r>
                    <w:rPr>
                      <w:rFonts w:ascii="Cambria Math" w:hAnsi="Cambria Math"/>
                      <w:lang w:val="uk-UA"/>
                    </w:rPr>
                    <m:t>OКB</m:t>
                  </m:r>
                </m:e>
                <m:sub>
                  <m:r>
                    <w:rPr>
                      <w:rFonts w:ascii="Cambria Math" w:hAnsi="Cambria Math"/>
                      <w:lang w:val="uk-UA"/>
                    </w:rPr>
                    <m:t>t</m:t>
                  </m:r>
                </m:sub>
                <m:sup>
                  <m:r>
                    <w:rPr>
                      <w:rFonts w:ascii="Cambria Math" w:hAnsi="Cambria Math"/>
                      <w:lang w:val="uk-UA"/>
                    </w:rPr>
                    <m:t>n</m:t>
                  </m:r>
                </m:sup>
              </m:sSubSup>
            </m:oMath>
            <w:r w:rsidR="007E2481" w:rsidRPr="00D159D0">
              <w:rPr>
                <w:rFonts w:eastAsiaTheme="minorEastAsia"/>
                <w:lang w:val="uk-UA"/>
              </w:rPr>
              <w:t>=</w:t>
            </w:r>
            <m:oMath>
              <m:r>
                <w:rPr>
                  <w:rFonts w:ascii="Cambria Math" w:eastAsiaTheme="minorEastAsia" w:hAnsi="Cambria Math"/>
                  <w:lang w:val="uk-UA"/>
                </w:rPr>
                <m:t>(</m:t>
              </m:r>
              <m:sSubSup>
                <m:sSubSupPr>
                  <m:ctrlPr>
                    <w:rPr>
                      <w:rFonts w:ascii="Cambria Math" w:hAnsi="Cambria Math"/>
                      <w:lang w:val="uk-UA"/>
                    </w:rPr>
                  </m:ctrlPr>
                </m:sSubSupPr>
                <m:e>
                  <m:r>
                    <m:rPr>
                      <m:sty m:val="p"/>
                    </m:rPr>
                    <w:rPr>
                      <w:rFonts w:ascii="Cambria Math" w:hAnsi="Cambria Math"/>
                      <w:lang w:val="uk-UA"/>
                    </w:rPr>
                    <m:t>(OКB</m:t>
                  </m:r>
                </m:e>
                <m:sub>
                  <m:r>
                    <m:rPr>
                      <m:sty m:val="p"/>
                    </m:rPr>
                    <w:rPr>
                      <w:rFonts w:ascii="Cambria Math" w:hAnsi="Cambria Math"/>
                      <w:lang w:val="uk-UA"/>
                    </w:rPr>
                    <m:t>t-1</m:t>
                  </m:r>
                </m:sub>
                <m:sup>
                  <m:r>
                    <m:rPr>
                      <m:sty m:val="p"/>
                    </m:rPr>
                    <w:rPr>
                      <w:rFonts w:ascii="Cambria Math" w:hAnsi="Cambria Math"/>
                      <w:lang w:val="uk-UA"/>
                    </w:rPr>
                    <m:t>n</m:t>
                  </m:r>
                </m:sup>
              </m:sSubSup>
              <m:sSubSup>
                <m:sSubSupPr>
                  <m:ctrlPr>
                    <w:rPr>
                      <w:rFonts w:ascii="Cambria Math" w:hAnsi="Cambria Math"/>
                      <w:i/>
                      <w:lang w:val="uk-UA"/>
                    </w:rPr>
                  </m:ctrlPr>
                </m:sSubSupPr>
                <m:e>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r>
                        <m:rPr>
                          <m:sty m:val="p"/>
                        </m:rPr>
                        <w:rPr>
                          <w:rFonts w:ascii="Cambria Math" w:hAnsi="Cambria Math"/>
                          <w:lang w:val="uk-UA"/>
                        </w:rPr>
                        <m:t>-1</m:t>
                      </m:r>
                    </m:sub>
                    <m:sup>
                      <m:r>
                        <w:rPr>
                          <w:rFonts w:ascii="Cambria Math" w:hAnsi="Cambria Math"/>
                          <w:lang w:val="uk-UA"/>
                        </w:rPr>
                        <m:t>n</m:t>
                      </m:r>
                    </m:sup>
                  </m:sSubSup>
                  <m:r>
                    <w:rPr>
                      <w:rFonts w:ascii="Cambria Math" w:hAnsi="Cambria Math"/>
                      <w:lang w:val="uk-UA"/>
                    </w:rPr>
                    <m:t>)*</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ІЦВ</m:t>
                          </m:r>
                        </m:e>
                        <m:sub>
                          <m:r>
                            <w:rPr>
                              <w:rFonts w:ascii="Cambria Math" w:eastAsiaTheme="minorEastAsia" w:hAnsi="Cambria Math"/>
                              <w:lang w:val="uk-UA"/>
                            </w:rPr>
                            <m:t>t</m:t>
                          </m:r>
                        </m:sub>
                        <m:sup>
                          <m:r>
                            <w:rPr>
                              <w:rFonts w:ascii="Cambria Math" w:eastAsiaTheme="minorEastAsia" w:hAnsi="Cambria Math"/>
                              <w:lang w:val="uk-UA"/>
                            </w:rPr>
                            <m:t>n</m:t>
                          </m:r>
                        </m:sup>
                      </m:sSubSup>
                    </m:num>
                    <m:den>
                      <m:r>
                        <w:rPr>
                          <w:rFonts w:ascii="Cambria Math" w:eastAsiaTheme="minorEastAsia" w:hAnsi="Cambria Math"/>
                          <w:lang w:val="uk-UA"/>
                        </w:rPr>
                        <m:t>100</m:t>
                      </m:r>
                    </m:den>
                  </m:f>
                </m:e>
                <m:sub/>
                <m:sup/>
              </m:sSubSup>
              <m:r>
                <m:rPr>
                  <m:sty m:val="bi"/>
                </m:rPr>
                <w:rPr>
                  <w:rFonts w:ascii="Cambria Math" w:hAnsi="Cambria Math"/>
                  <w:highlight w:val="lightGray"/>
                  <w:lang w:val="uk-UA"/>
                </w:rPr>
                <m:t>*КСУ</m:t>
              </m:r>
              <m:r>
                <w:rPr>
                  <w:rFonts w:ascii="Cambria Math" w:hAnsi="Cambria Math"/>
                  <w:lang w:val="uk-UA"/>
                </w:rPr>
                <m:t>+</m:t>
              </m:r>
              <m:sSubSup>
                <m:sSubSupPr>
                  <m:ctrlPr>
                    <w:rPr>
                      <w:rFonts w:ascii="Cambria Math" w:hAnsi="Cambria Math"/>
                      <w:lang w:val="uk-UA"/>
                    </w:rPr>
                  </m:ctrlPr>
                </m:sSubSupPr>
                <m:e>
                  <m:r>
                    <m:rPr>
                      <m:sty m:val="p"/>
                    </m:rPr>
                    <w:rPr>
                      <w:rFonts w:ascii="Cambria Math" w:hAnsi="Cambria Math"/>
                      <w:lang w:val="uk-UA"/>
                    </w:rPr>
                    <m:t>ФОП</m:t>
                  </m:r>
                </m:e>
                <m:sub>
                  <m:r>
                    <w:rPr>
                      <w:rFonts w:ascii="Cambria Math" w:hAnsi="Cambria Math"/>
                      <w:lang w:val="uk-UA"/>
                    </w:rPr>
                    <m:t>t</m:t>
                  </m:r>
                </m:sub>
                <m:sup>
                  <m:r>
                    <w:rPr>
                      <w:rFonts w:ascii="Cambria Math" w:hAnsi="Cambria Math"/>
                      <w:lang w:val="uk-UA"/>
                    </w:rPr>
                    <m:t>n</m:t>
                  </m:r>
                </m:sup>
              </m:sSubSup>
              <m:r>
                <w:rPr>
                  <w:rFonts w:ascii="Cambria Math" w:hAnsi="Cambria Math"/>
                  <w:lang w:val="uk-UA"/>
                </w:rPr>
                <m:t>)×(1-</m:t>
              </m:r>
              <m:f>
                <m:fPr>
                  <m:ctrlPr>
                    <w:rPr>
                      <w:rFonts w:ascii="Cambria Math" w:eastAsiaTheme="minorEastAsia" w:hAnsi="Cambria Math"/>
                      <w:i/>
                      <w:lang w:val="uk-UA"/>
                    </w:rPr>
                  </m:ctrlPr>
                </m:fPr>
                <m:num>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з</m:t>
                      </m:r>
                    </m:sub>
                    <m:sup/>
                  </m:sSubSup>
                  <m:r>
                    <w:rPr>
                      <w:rFonts w:ascii="Cambria Math" w:eastAsiaTheme="minorEastAsia" w:hAnsi="Cambria Math"/>
                      <w:lang w:val="uk-UA"/>
                    </w:rPr>
                    <m:t>+</m:t>
                  </m:r>
                  <m:sSubSup>
                    <m:sSubSupPr>
                      <m:ctrlPr>
                        <w:rPr>
                          <w:rFonts w:ascii="Cambria Math" w:eastAsiaTheme="minorEastAsia" w:hAnsi="Cambria Math"/>
                          <w:i/>
                          <w:lang w:val="uk-UA"/>
                        </w:rPr>
                      </m:ctrlPr>
                    </m:sSubSupPr>
                    <m:e>
                      <m:r>
                        <w:rPr>
                          <w:rFonts w:ascii="Cambria Math" w:eastAsiaTheme="minorEastAsia" w:hAnsi="Cambria Math"/>
                          <w:lang w:val="uk-UA"/>
                        </w:rPr>
                        <m:t>ПЕ</m:t>
                      </m:r>
                    </m:e>
                    <m:sub>
                      <m:r>
                        <w:rPr>
                          <w:rFonts w:ascii="Cambria Math" w:eastAsiaTheme="minorEastAsia" w:hAnsi="Cambria Math"/>
                          <w:lang w:val="uk-UA"/>
                        </w:rPr>
                        <m:t>інд</m:t>
                      </m:r>
                    </m:sub>
                    <m:sup/>
                  </m:sSubSup>
                </m:num>
                <m:den>
                  <m:r>
                    <w:rPr>
                      <w:rFonts w:ascii="Cambria Math" w:eastAsiaTheme="minorEastAsia" w:hAnsi="Cambria Math"/>
                      <w:lang w:val="uk-UA"/>
                    </w:rPr>
                    <m:t>100</m:t>
                  </m:r>
                </m:den>
              </m:f>
            </m:oMath>
            <w:r w:rsidR="007E2481" w:rsidRPr="00D159D0">
              <w:rPr>
                <w:rFonts w:eastAsiaTheme="minorEastAsia"/>
                <w:lang w:val="uk-UA"/>
              </w:rPr>
              <w:t>)</w:t>
            </w:r>
            <m:oMath>
              <m:r>
                <m:rPr>
                  <m:sty m:val="bi"/>
                </m:rPr>
                <w:rPr>
                  <w:rFonts w:ascii="Cambria Math" w:hAnsi="Cambria Math"/>
                  <w:lang w:val="uk-UA"/>
                </w:rPr>
                <m:t>×</m:t>
              </m:r>
            </m:oMath>
            <w:r w:rsidR="007E2481" w:rsidRPr="00D159D0">
              <w:rPr>
                <w:lang w:val="uk-UA"/>
              </w:rPr>
              <w:t xml:space="preserve"> тис.грн,  (7)</w:t>
            </w:r>
          </w:p>
          <w:p w14:paraId="4E408F35" w14:textId="77777777" w:rsidR="00AD2A16" w:rsidRPr="00D159D0" w:rsidRDefault="007E2481" w:rsidP="004976F9">
            <w:pPr>
              <w:jc w:val="both"/>
              <w:rPr>
                <w:b/>
                <w:bCs/>
                <w:shd w:val="clear" w:color="auto" w:fill="FFFFFF"/>
                <w:lang w:val="uk-UA"/>
              </w:rPr>
            </w:pPr>
            <w:r w:rsidRPr="00D159D0">
              <w:rPr>
                <w:b/>
                <w:bCs/>
                <w:shd w:val="clear" w:color="auto" w:fill="FFFFFF"/>
                <w:lang w:val="uk-UA"/>
              </w:rPr>
              <w:t>КСУ – коефіцієнт співвідношення умовних одиниць обладнання активів ліцензіата, що знаходиться на контрольованій території, до загальної кількості умовних одиниць обладнання цього ліцензіату станом на 01.07 року t-1.</w:t>
            </w:r>
          </w:p>
          <w:p w14:paraId="1DC2B242" w14:textId="77777777" w:rsidR="007E2481" w:rsidRPr="00D159D0" w:rsidRDefault="007E2481" w:rsidP="004976F9">
            <w:pPr>
              <w:jc w:val="both"/>
              <w:rPr>
                <w:b/>
                <w:bCs/>
                <w:lang w:val="uk-UA"/>
              </w:rPr>
            </w:pPr>
          </w:p>
          <w:p w14:paraId="513D44D3" w14:textId="77777777" w:rsidR="007E2481" w:rsidRPr="00D159D0" w:rsidRDefault="007E2481" w:rsidP="004976F9">
            <w:pPr>
              <w:jc w:val="both"/>
              <w:rPr>
                <w:i/>
                <w:iCs/>
                <w:lang w:val="uk-UA"/>
              </w:rPr>
            </w:pPr>
            <w:r w:rsidRPr="00D159D0">
              <w:rPr>
                <w:i/>
                <w:iCs/>
                <w:shd w:val="clear" w:color="auto" w:fill="FFFFFF"/>
                <w:lang w:val="uk-UA"/>
              </w:rPr>
              <w:t xml:space="preserve">Для операторів систем розподілу, над частиною територій діяльності яких тимчасово втрачено контроль, пропонується розглянути підхід щодо застосування  коефіцієнту співвідношення умовних одиниць обладнання активів ліцензіата, що знаходиться на контрольованій території, до загальної кількості умовних одиниць обладнання цього ліцензіату станом на 01.07 року t-1 за </w:t>
            </w:r>
            <w:r w:rsidRPr="00D159D0">
              <w:rPr>
                <w:i/>
                <w:iCs/>
                <w:lang w:val="uk-UA"/>
              </w:rPr>
              <w:t>умови застосування до таких ОСР загальних підходів під час перегляду тарифів (застосування актуальних обсягів розподілу, розрахунку ЕКПТВЕ на базі реальних обсягів розподілу, підходів щодо повернення в тариф недоотриманого доходу тощо).</w:t>
            </w:r>
          </w:p>
          <w:p w14:paraId="36862AFE" w14:textId="77777777" w:rsidR="007E2481" w:rsidRPr="00D159D0" w:rsidRDefault="007E2481" w:rsidP="004976F9">
            <w:pPr>
              <w:jc w:val="both"/>
              <w:rPr>
                <w:b/>
                <w:bCs/>
                <w:lang w:val="uk-UA"/>
              </w:rPr>
            </w:pPr>
          </w:p>
          <w:p w14:paraId="542C3208" w14:textId="77777777" w:rsidR="007E2481" w:rsidRPr="00D159D0" w:rsidRDefault="007E2481" w:rsidP="004976F9">
            <w:pPr>
              <w:jc w:val="both"/>
              <w:rPr>
                <w:b/>
                <w:lang w:val="uk-UA"/>
              </w:rPr>
            </w:pPr>
            <w:r w:rsidRPr="00D159D0">
              <w:rPr>
                <w:b/>
                <w:bCs/>
                <w:lang w:val="uk-UA"/>
              </w:rPr>
              <w:t xml:space="preserve">АТ «ЖИТОМИРОБЛЕНЕРГО» лист від 17.07.2024 № </w:t>
            </w:r>
            <w:r w:rsidRPr="00D159D0">
              <w:rPr>
                <w:b/>
                <w:lang w:val="uk-UA"/>
              </w:rPr>
              <w:t>05/23984</w:t>
            </w:r>
          </w:p>
          <w:p w14:paraId="0B724602" w14:textId="77777777" w:rsidR="007E2481" w:rsidRPr="00D159D0" w:rsidRDefault="007E2481" w:rsidP="004976F9">
            <w:pPr>
              <w:pStyle w:val="3"/>
              <w:spacing w:before="0" w:after="0"/>
              <w:outlineLvl w:val="2"/>
              <w:rPr>
                <w:rFonts w:ascii="Times New Roman" w:hAnsi="Times New Roman"/>
                <w:b w:val="0"/>
                <w:sz w:val="24"/>
                <w:szCs w:val="24"/>
              </w:rPr>
            </w:pPr>
            <w:r w:rsidRPr="00D159D0">
              <w:rPr>
                <w:rFonts w:ascii="Times New Roman" w:hAnsi="Times New Roman"/>
                <w:b w:val="0"/>
                <w:sz w:val="24"/>
                <w:szCs w:val="24"/>
              </w:rPr>
              <w:t>Пункт 5.4. доповнити новим абзацом наступного змісту:</w:t>
            </w:r>
          </w:p>
          <w:p w14:paraId="39F48030" w14:textId="77777777" w:rsidR="007E2481" w:rsidRPr="00D159D0" w:rsidRDefault="007E2481" w:rsidP="004976F9">
            <w:pPr>
              <w:jc w:val="both"/>
              <w:rPr>
                <w:lang w:val="uk-UA"/>
              </w:rPr>
            </w:pPr>
            <w:r w:rsidRPr="00D159D0">
              <w:rPr>
                <w:lang w:val="uk-UA"/>
              </w:rPr>
              <w:t>Стаття «Електроенергія для господарських потреб» розраховується, виходячи із застосованих при розрахунку тарифу на прогнозний рік обсягів електричної енергії для господарських потреб та ціни, яка відповідає сумі прогнозованої ціни купівлі технологічних витрат електричної енергії на РДД та тарифу НЕК «УКРЕНЕРГО» на послуги з передачі електричної енергії.</w:t>
            </w:r>
          </w:p>
          <w:p w14:paraId="73E67385" w14:textId="77777777" w:rsidR="007E2481" w:rsidRPr="00D159D0" w:rsidRDefault="007E2481" w:rsidP="004976F9">
            <w:pPr>
              <w:jc w:val="both"/>
              <w:rPr>
                <w:b/>
                <w:bCs/>
                <w:lang w:val="uk-UA"/>
              </w:rPr>
            </w:pPr>
          </w:p>
          <w:p w14:paraId="6AEABD75" w14:textId="77777777" w:rsidR="007E2481" w:rsidRPr="00D159D0" w:rsidRDefault="007E2481" w:rsidP="004976F9">
            <w:pPr>
              <w:jc w:val="both"/>
              <w:rPr>
                <w:i/>
                <w:iCs/>
                <w:lang w:val="uk-UA"/>
              </w:rPr>
            </w:pPr>
            <w:r w:rsidRPr="00D159D0">
              <w:rPr>
                <w:i/>
                <w:iCs/>
                <w:lang w:val="uk-UA"/>
              </w:rPr>
              <w:t>З урахуванням підходів стимулюючого регулювання до формування операційних контрольованих витрат, а також враховуючи недофінансування структури тарифу у 2024 році, середня ціна придбання електричної енергії для господарських потреб, передбачена тарифом у 2024 році для АТ «ЖИТОМИРОБЛЕНЕРГО», становить 1 784,08 грн./МВт*год.</w:t>
            </w:r>
          </w:p>
          <w:p w14:paraId="4A73335B" w14:textId="77777777" w:rsidR="007E2481" w:rsidRPr="00D159D0" w:rsidRDefault="007E2481" w:rsidP="004976F9">
            <w:pPr>
              <w:jc w:val="both"/>
              <w:rPr>
                <w:i/>
                <w:iCs/>
                <w:lang w:val="uk-UA"/>
              </w:rPr>
            </w:pPr>
            <w:r w:rsidRPr="00D159D0">
              <w:rPr>
                <w:i/>
                <w:iCs/>
                <w:lang w:val="uk-UA"/>
              </w:rPr>
              <w:t xml:space="preserve">При цьому фактична ціна електричної енергії на господарські потреби за шість місяців 2024 року для АТ «ЖИТОМИРОБЛЕНЕРГО» становила 3 971,11 грн./МВт*год., що відповідало середньозваженим щомісячним цінам РДН з урахуванням діючого тарифу НЕК «УКРЕНЕРГО» на послуги з передачі електричної енергії. Більше того, ціна електричної енергії для господарських потреби за червень місяць 2024 року для Товариства склала 5 931,95 грн./МВт*год., що вже 332,49% перевищує тарифну ціну. Розрахунково, за 2024 рік перевитрати Товариства від придбання електричної енергії для господарських потреб, лише за рахунок зростання ціни </w:t>
            </w:r>
            <w:r w:rsidRPr="00D159D0">
              <w:rPr>
                <w:i/>
                <w:iCs/>
                <w:u w:val="single"/>
                <w:lang w:val="uk-UA"/>
              </w:rPr>
              <w:t xml:space="preserve">становитимуть близько 40 </w:t>
            </w:r>
            <w:proofErr w:type="spellStart"/>
            <w:r w:rsidRPr="00D159D0">
              <w:rPr>
                <w:i/>
                <w:iCs/>
                <w:u w:val="single"/>
                <w:lang w:val="uk-UA"/>
              </w:rPr>
              <w:t>млн.грн</w:t>
            </w:r>
            <w:proofErr w:type="spellEnd"/>
            <w:r w:rsidRPr="00D159D0">
              <w:rPr>
                <w:i/>
                <w:iCs/>
                <w:u w:val="single"/>
                <w:lang w:val="uk-UA"/>
              </w:rPr>
              <w:t>., що є критично для Товариства, адже це, для порівняння, більше, ніж третина ремонтного фонду Товариства на 2024 рік.</w:t>
            </w:r>
          </w:p>
          <w:p w14:paraId="4085FBA8" w14:textId="77777777" w:rsidR="007E2481" w:rsidRPr="00D159D0" w:rsidRDefault="007E2481" w:rsidP="004976F9">
            <w:pPr>
              <w:jc w:val="both"/>
              <w:rPr>
                <w:b/>
                <w:bCs/>
                <w:lang w:val="uk-UA"/>
              </w:rPr>
            </w:pPr>
            <w:r w:rsidRPr="00D159D0">
              <w:rPr>
                <w:i/>
                <w:iCs/>
                <w:lang w:val="uk-UA"/>
              </w:rPr>
              <w:t xml:space="preserve">Варто зауважити, що </w:t>
            </w:r>
            <w:r w:rsidRPr="00D159D0">
              <w:rPr>
                <w:i/>
                <w:iCs/>
                <w:u w:val="single"/>
                <w:lang w:val="uk-UA"/>
              </w:rPr>
              <w:t>Товариство не має жодного впливу на рівень ціни електричної енергії для господарських потреби</w:t>
            </w:r>
            <w:r w:rsidRPr="00D159D0">
              <w:rPr>
                <w:i/>
                <w:iCs/>
                <w:lang w:val="uk-UA"/>
              </w:rPr>
              <w:t>, оскільки така ціна відповідає рівню ціни електричної енергії, як товару на ринку електричної енергії, з врахуванням тарифу НЕК «УКРЕНЕРГО» на послуги з передачі електричної енергії.</w:t>
            </w:r>
          </w:p>
        </w:tc>
        <w:tc>
          <w:tcPr>
            <w:tcW w:w="3544" w:type="dxa"/>
          </w:tcPr>
          <w:p w14:paraId="18F2EBDC" w14:textId="77777777" w:rsidR="000850BC" w:rsidRPr="00D159D0" w:rsidRDefault="000850BC" w:rsidP="000850BC">
            <w:pPr>
              <w:widowControl w:val="0"/>
              <w:suppressAutoHyphens/>
              <w:contextualSpacing/>
              <w:jc w:val="both"/>
              <w:rPr>
                <w:b/>
                <w:bCs/>
                <w:lang w:val="uk-UA"/>
              </w:rPr>
            </w:pPr>
            <w:r w:rsidRPr="00D159D0">
              <w:rPr>
                <w:b/>
                <w:bCs/>
                <w:lang w:val="uk-UA"/>
              </w:rPr>
              <w:lastRenderedPageBreak/>
              <w:t>Не враховується</w:t>
            </w:r>
          </w:p>
          <w:p w14:paraId="3A4F0873" w14:textId="4C8DE799" w:rsidR="000850BC" w:rsidRPr="00D159D0" w:rsidRDefault="004B46E9" w:rsidP="000850BC">
            <w:pPr>
              <w:jc w:val="both"/>
              <w:rPr>
                <w:b/>
                <w:lang w:val="uk-UA"/>
              </w:rPr>
            </w:pPr>
            <w:r w:rsidRPr="00D159D0">
              <w:rPr>
                <w:b/>
                <w:lang w:val="uk-UA"/>
              </w:rPr>
              <w:t>З</w:t>
            </w:r>
            <w:r w:rsidR="000850BC" w:rsidRPr="00D159D0">
              <w:rPr>
                <w:b/>
                <w:lang w:val="uk-UA"/>
              </w:rPr>
              <w:t xml:space="preserve">міни </w:t>
            </w:r>
            <w:r w:rsidRPr="00D159D0">
              <w:rPr>
                <w:b/>
                <w:lang w:val="uk-UA"/>
              </w:rPr>
              <w:t>до пункту 5.4</w:t>
            </w:r>
            <w:r w:rsidR="000850BC" w:rsidRPr="00D159D0">
              <w:rPr>
                <w:b/>
                <w:lang w:val="uk-UA"/>
              </w:rPr>
              <w:t xml:space="preserve"> </w:t>
            </w:r>
            <w:proofErr w:type="spellStart"/>
            <w:r w:rsidR="000850BC" w:rsidRPr="00D159D0">
              <w:rPr>
                <w:b/>
                <w:lang w:val="uk-UA"/>
              </w:rPr>
              <w:t>Проєкт</w:t>
            </w:r>
            <w:r w:rsidRPr="00D159D0">
              <w:rPr>
                <w:b/>
                <w:lang w:val="uk-UA"/>
              </w:rPr>
              <w:t>у</w:t>
            </w:r>
            <w:proofErr w:type="spellEnd"/>
            <w:r w:rsidR="000850BC" w:rsidRPr="00D159D0">
              <w:rPr>
                <w:b/>
                <w:lang w:val="uk-UA"/>
              </w:rPr>
              <w:t xml:space="preserve"> постанови не передбачались</w:t>
            </w:r>
          </w:p>
          <w:p w14:paraId="05040018" w14:textId="77777777" w:rsidR="000850BC" w:rsidRPr="00D159D0" w:rsidRDefault="000850BC" w:rsidP="000850BC">
            <w:pPr>
              <w:jc w:val="both"/>
              <w:rPr>
                <w:lang w:val="uk-UA"/>
              </w:rPr>
            </w:pPr>
            <w:r w:rsidRPr="00D159D0">
              <w:rPr>
                <w:b/>
                <w:lang w:val="uk-UA"/>
              </w:rPr>
              <w:t xml:space="preserve">Пропонується </w:t>
            </w:r>
            <w:r w:rsidRPr="00D159D0">
              <w:rPr>
                <w:lang w:val="uk-UA"/>
              </w:rPr>
              <w:t xml:space="preserve">розглянути запропоновані пропозиції під </w:t>
            </w:r>
          </w:p>
          <w:p w14:paraId="058443CE" w14:textId="77777777" w:rsidR="000850BC" w:rsidRPr="00D159D0" w:rsidRDefault="000850BC" w:rsidP="000850BC">
            <w:pPr>
              <w:jc w:val="both"/>
              <w:rPr>
                <w:lang w:val="uk-UA"/>
              </w:rPr>
            </w:pPr>
            <w:r w:rsidRPr="00D159D0">
              <w:rPr>
                <w:lang w:val="uk-UA"/>
              </w:rPr>
              <w:t>час формування окремого блоку чергових змін до Порядку.</w:t>
            </w:r>
          </w:p>
          <w:p w14:paraId="3E29FA52" w14:textId="77777777" w:rsidR="000850BC" w:rsidRPr="00D159D0" w:rsidRDefault="000850BC" w:rsidP="000850BC">
            <w:pPr>
              <w:jc w:val="both"/>
              <w:rPr>
                <w:bCs/>
                <w:lang w:val="uk-UA"/>
              </w:rPr>
            </w:pPr>
          </w:p>
          <w:p w14:paraId="7446EA7C" w14:textId="77777777" w:rsidR="00802EB8" w:rsidRPr="00D159D0" w:rsidRDefault="00802EB8" w:rsidP="00802EB8">
            <w:pPr>
              <w:widowControl w:val="0"/>
              <w:suppressAutoHyphens/>
              <w:jc w:val="both"/>
              <w:rPr>
                <w:bCs/>
                <w:i/>
                <w:lang w:val="uk-UA"/>
              </w:rPr>
            </w:pPr>
          </w:p>
          <w:p w14:paraId="5F9E88DD" w14:textId="77777777" w:rsidR="00802EB8" w:rsidRPr="00D159D0" w:rsidRDefault="00802EB8" w:rsidP="00802EB8">
            <w:pPr>
              <w:widowControl w:val="0"/>
              <w:suppressAutoHyphens/>
              <w:jc w:val="both"/>
              <w:rPr>
                <w:bCs/>
                <w:i/>
                <w:lang w:val="uk-UA"/>
              </w:rPr>
            </w:pPr>
          </w:p>
          <w:p w14:paraId="5FF55CD3" w14:textId="77777777" w:rsidR="00802EB8" w:rsidRPr="00D159D0" w:rsidRDefault="00802EB8" w:rsidP="00802EB8">
            <w:pPr>
              <w:widowControl w:val="0"/>
              <w:suppressAutoHyphens/>
              <w:jc w:val="both"/>
              <w:rPr>
                <w:bCs/>
                <w:i/>
                <w:lang w:val="uk-UA"/>
              </w:rPr>
            </w:pPr>
          </w:p>
          <w:p w14:paraId="62F702FC" w14:textId="77777777" w:rsidR="00802EB8" w:rsidRPr="00D159D0" w:rsidRDefault="00802EB8" w:rsidP="00802EB8">
            <w:pPr>
              <w:widowControl w:val="0"/>
              <w:suppressAutoHyphens/>
              <w:jc w:val="both"/>
              <w:rPr>
                <w:bCs/>
                <w:i/>
                <w:lang w:val="uk-UA"/>
              </w:rPr>
            </w:pPr>
          </w:p>
          <w:p w14:paraId="393A72CF" w14:textId="77777777" w:rsidR="00802EB8" w:rsidRPr="00D159D0" w:rsidRDefault="00802EB8" w:rsidP="00802EB8">
            <w:pPr>
              <w:widowControl w:val="0"/>
              <w:suppressAutoHyphens/>
              <w:jc w:val="both"/>
              <w:rPr>
                <w:bCs/>
                <w:i/>
                <w:lang w:val="uk-UA"/>
              </w:rPr>
            </w:pPr>
          </w:p>
          <w:p w14:paraId="1253534E" w14:textId="77777777" w:rsidR="00802EB8" w:rsidRPr="00D159D0" w:rsidRDefault="00802EB8" w:rsidP="00802EB8">
            <w:pPr>
              <w:widowControl w:val="0"/>
              <w:suppressAutoHyphens/>
              <w:jc w:val="both"/>
              <w:rPr>
                <w:bCs/>
                <w:i/>
                <w:lang w:val="uk-UA"/>
              </w:rPr>
            </w:pPr>
          </w:p>
          <w:p w14:paraId="21AFA497" w14:textId="77777777" w:rsidR="00802EB8" w:rsidRPr="00D159D0" w:rsidRDefault="00802EB8" w:rsidP="00802EB8">
            <w:pPr>
              <w:widowControl w:val="0"/>
              <w:suppressAutoHyphens/>
              <w:jc w:val="both"/>
              <w:rPr>
                <w:bCs/>
                <w:i/>
                <w:lang w:val="uk-UA"/>
              </w:rPr>
            </w:pPr>
          </w:p>
          <w:p w14:paraId="6A49F2BE" w14:textId="77777777" w:rsidR="00802EB8" w:rsidRPr="00D159D0" w:rsidRDefault="00802EB8" w:rsidP="00802EB8">
            <w:pPr>
              <w:widowControl w:val="0"/>
              <w:suppressAutoHyphens/>
              <w:jc w:val="both"/>
              <w:rPr>
                <w:bCs/>
                <w:i/>
                <w:lang w:val="uk-UA"/>
              </w:rPr>
            </w:pPr>
          </w:p>
          <w:p w14:paraId="31F26493" w14:textId="77777777" w:rsidR="00802EB8" w:rsidRPr="00D159D0" w:rsidRDefault="00802EB8" w:rsidP="00802EB8">
            <w:pPr>
              <w:widowControl w:val="0"/>
              <w:suppressAutoHyphens/>
              <w:jc w:val="both"/>
              <w:rPr>
                <w:bCs/>
                <w:i/>
                <w:lang w:val="uk-UA"/>
              </w:rPr>
            </w:pPr>
          </w:p>
          <w:p w14:paraId="3B09376A" w14:textId="77777777" w:rsidR="00802EB8" w:rsidRPr="00D159D0" w:rsidRDefault="00802EB8" w:rsidP="00802EB8">
            <w:pPr>
              <w:widowControl w:val="0"/>
              <w:suppressAutoHyphens/>
              <w:jc w:val="both"/>
              <w:rPr>
                <w:bCs/>
                <w:i/>
                <w:lang w:val="uk-UA"/>
              </w:rPr>
            </w:pPr>
          </w:p>
          <w:p w14:paraId="6B9FB971" w14:textId="77777777" w:rsidR="00802EB8" w:rsidRPr="00D159D0" w:rsidRDefault="00802EB8" w:rsidP="00802EB8">
            <w:pPr>
              <w:widowControl w:val="0"/>
              <w:suppressAutoHyphens/>
              <w:jc w:val="both"/>
              <w:rPr>
                <w:bCs/>
                <w:i/>
                <w:lang w:val="uk-UA"/>
              </w:rPr>
            </w:pPr>
          </w:p>
          <w:p w14:paraId="699A1F61" w14:textId="77777777" w:rsidR="00802EB8" w:rsidRPr="00D159D0" w:rsidRDefault="00802EB8" w:rsidP="00802EB8">
            <w:pPr>
              <w:widowControl w:val="0"/>
              <w:suppressAutoHyphens/>
              <w:jc w:val="both"/>
              <w:rPr>
                <w:bCs/>
                <w:i/>
                <w:lang w:val="uk-UA"/>
              </w:rPr>
            </w:pPr>
          </w:p>
          <w:p w14:paraId="58B2CBD7" w14:textId="77777777" w:rsidR="00802EB8" w:rsidRPr="00D159D0" w:rsidRDefault="00802EB8" w:rsidP="00802EB8">
            <w:pPr>
              <w:widowControl w:val="0"/>
              <w:suppressAutoHyphens/>
              <w:jc w:val="both"/>
              <w:rPr>
                <w:bCs/>
                <w:i/>
                <w:lang w:val="uk-UA"/>
              </w:rPr>
            </w:pPr>
          </w:p>
          <w:p w14:paraId="5E42DDC1" w14:textId="77777777" w:rsidR="00802EB8" w:rsidRPr="00D159D0" w:rsidRDefault="00802EB8" w:rsidP="00802EB8">
            <w:pPr>
              <w:widowControl w:val="0"/>
              <w:suppressAutoHyphens/>
              <w:jc w:val="both"/>
              <w:rPr>
                <w:bCs/>
                <w:i/>
                <w:lang w:val="uk-UA"/>
              </w:rPr>
            </w:pPr>
          </w:p>
          <w:p w14:paraId="46422F79" w14:textId="77777777" w:rsidR="00802EB8" w:rsidRPr="00D159D0" w:rsidRDefault="00802EB8" w:rsidP="00802EB8">
            <w:pPr>
              <w:widowControl w:val="0"/>
              <w:suppressAutoHyphens/>
              <w:jc w:val="both"/>
              <w:rPr>
                <w:bCs/>
                <w:i/>
                <w:lang w:val="uk-UA"/>
              </w:rPr>
            </w:pPr>
          </w:p>
          <w:p w14:paraId="7424002F" w14:textId="77777777" w:rsidR="00802EB8" w:rsidRPr="00D159D0" w:rsidRDefault="00802EB8" w:rsidP="00802EB8">
            <w:pPr>
              <w:widowControl w:val="0"/>
              <w:suppressAutoHyphens/>
              <w:jc w:val="both"/>
              <w:rPr>
                <w:bCs/>
                <w:i/>
                <w:lang w:val="uk-UA"/>
              </w:rPr>
            </w:pPr>
          </w:p>
          <w:p w14:paraId="2427F300" w14:textId="77777777" w:rsidR="00802EB8" w:rsidRPr="00D159D0" w:rsidRDefault="00802EB8" w:rsidP="00802EB8">
            <w:pPr>
              <w:widowControl w:val="0"/>
              <w:suppressAutoHyphens/>
              <w:jc w:val="both"/>
              <w:rPr>
                <w:bCs/>
                <w:i/>
                <w:lang w:val="uk-UA"/>
              </w:rPr>
            </w:pPr>
          </w:p>
          <w:p w14:paraId="2BA21E71" w14:textId="77777777" w:rsidR="00802EB8" w:rsidRPr="00D159D0" w:rsidRDefault="00802EB8" w:rsidP="00802EB8">
            <w:pPr>
              <w:widowControl w:val="0"/>
              <w:suppressAutoHyphens/>
              <w:jc w:val="both"/>
              <w:rPr>
                <w:bCs/>
                <w:i/>
                <w:lang w:val="uk-UA"/>
              </w:rPr>
            </w:pPr>
          </w:p>
          <w:p w14:paraId="0576ADEB" w14:textId="77777777" w:rsidR="00802EB8" w:rsidRPr="00D159D0" w:rsidRDefault="00802EB8" w:rsidP="00802EB8">
            <w:pPr>
              <w:widowControl w:val="0"/>
              <w:suppressAutoHyphens/>
              <w:jc w:val="both"/>
              <w:rPr>
                <w:bCs/>
                <w:i/>
                <w:lang w:val="uk-UA"/>
              </w:rPr>
            </w:pPr>
          </w:p>
          <w:p w14:paraId="34FAD42F" w14:textId="77777777" w:rsidR="00802EB8" w:rsidRPr="00D159D0" w:rsidRDefault="00802EB8" w:rsidP="00802EB8">
            <w:pPr>
              <w:widowControl w:val="0"/>
              <w:suppressAutoHyphens/>
              <w:jc w:val="both"/>
              <w:rPr>
                <w:bCs/>
                <w:i/>
                <w:lang w:val="uk-UA"/>
              </w:rPr>
            </w:pPr>
          </w:p>
          <w:p w14:paraId="2A71E84D" w14:textId="77777777" w:rsidR="00802EB8" w:rsidRPr="00D159D0" w:rsidRDefault="00802EB8" w:rsidP="00802EB8">
            <w:pPr>
              <w:widowControl w:val="0"/>
              <w:suppressAutoHyphens/>
              <w:jc w:val="both"/>
              <w:rPr>
                <w:bCs/>
                <w:i/>
                <w:lang w:val="uk-UA"/>
              </w:rPr>
            </w:pPr>
          </w:p>
          <w:p w14:paraId="6EE99A80" w14:textId="77777777" w:rsidR="00802EB8" w:rsidRPr="00D159D0" w:rsidRDefault="00802EB8" w:rsidP="00802EB8">
            <w:pPr>
              <w:widowControl w:val="0"/>
              <w:suppressAutoHyphens/>
              <w:jc w:val="both"/>
              <w:rPr>
                <w:bCs/>
                <w:i/>
                <w:lang w:val="uk-UA"/>
              </w:rPr>
            </w:pPr>
          </w:p>
          <w:p w14:paraId="12D91A1D" w14:textId="77777777" w:rsidR="00802EB8" w:rsidRPr="00D159D0" w:rsidRDefault="00802EB8" w:rsidP="00802EB8">
            <w:pPr>
              <w:widowControl w:val="0"/>
              <w:suppressAutoHyphens/>
              <w:jc w:val="both"/>
              <w:rPr>
                <w:bCs/>
                <w:i/>
                <w:lang w:val="uk-UA"/>
              </w:rPr>
            </w:pPr>
          </w:p>
          <w:p w14:paraId="2DCB7685" w14:textId="77777777" w:rsidR="00802EB8" w:rsidRPr="00D159D0" w:rsidRDefault="00802EB8" w:rsidP="00802EB8">
            <w:pPr>
              <w:widowControl w:val="0"/>
              <w:suppressAutoHyphens/>
              <w:jc w:val="both"/>
              <w:rPr>
                <w:bCs/>
                <w:i/>
                <w:lang w:val="uk-UA"/>
              </w:rPr>
            </w:pPr>
          </w:p>
          <w:p w14:paraId="718E97B1" w14:textId="77777777" w:rsidR="00802EB8" w:rsidRPr="00D159D0" w:rsidRDefault="00802EB8" w:rsidP="00802EB8">
            <w:pPr>
              <w:widowControl w:val="0"/>
              <w:suppressAutoHyphens/>
              <w:jc w:val="both"/>
              <w:rPr>
                <w:bCs/>
                <w:i/>
                <w:lang w:val="uk-UA"/>
              </w:rPr>
            </w:pPr>
          </w:p>
          <w:p w14:paraId="065E572B" w14:textId="77777777" w:rsidR="00802EB8" w:rsidRPr="00D159D0" w:rsidRDefault="00802EB8" w:rsidP="00802EB8">
            <w:pPr>
              <w:widowControl w:val="0"/>
              <w:suppressAutoHyphens/>
              <w:jc w:val="both"/>
              <w:rPr>
                <w:bCs/>
                <w:i/>
                <w:lang w:val="uk-UA"/>
              </w:rPr>
            </w:pPr>
          </w:p>
          <w:p w14:paraId="6C42B574" w14:textId="77777777" w:rsidR="00802EB8" w:rsidRPr="00D159D0" w:rsidRDefault="00802EB8" w:rsidP="00802EB8">
            <w:pPr>
              <w:widowControl w:val="0"/>
              <w:suppressAutoHyphens/>
              <w:jc w:val="both"/>
              <w:rPr>
                <w:bCs/>
                <w:i/>
                <w:lang w:val="uk-UA"/>
              </w:rPr>
            </w:pPr>
          </w:p>
          <w:p w14:paraId="5638231E" w14:textId="77777777" w:rsidR="00802EB8" w:rsidRPr="00D159D0" w:rsidRDefault="00802EB8" w:rsidP="00802EB8">
            <w:pPr>
              <w:widowControl w:val="0"/>
              <w:suppressAutoHyphens/>
              <w:jc w:val="both"/>
              <w:rPr>
                <w:bCs/>
                <w:i/>
                <w:lang w:val="uk-UA"/>
              </w:rPr>
            </w:pPr>
          </w:p>
          <w:p w14:paraId="42A81907" w14:textId="77777777" w:rsidR="00802EB8" w:rsidRPr="00D159D0" w:rsidRDefault="00802EB8" w:rsidP="00802EB8">
            <w:pPr>
              <w:widowControl w:val="0"/>
              <w:suppressAutoHyphens/>
              <w:jc w:val="both"/>
              <w:rPr>
                <w:bCs/>
                <w:i/>
                <w:lang w:val="uk-UA"/>
              </w:rPr>
            </w:pPr>
          </w:p>
          <w:p w14:paraId="45D5074C" w14:textId="77777777" w:rsidR="00802EB8" w:rsidRPr="00D159D0" w:rsidRDefault="00802EB8" w:rsidP="00802EB8">
            <w:pPr>
              <w:widowControl w:val="0"/>
              <w:suppressAutoHyphens/>
              <w:jc w:val="both"/>
              <w:rPr>
                <w:bCs/>
                <w:i/>
                <w:lang w:val="uk-UA"/>
              </w:rPr>
            </w:pPr>
          </w:p>
          <w:p w14:paraId="1885BBB7" w14:textId="77777777" w:rsidR="00802EB8" w:rsidRPr="00D159D0" w:rsidRDefault="00802EB8" w:rsidP="00802EB8">
            <w:pPr>
              <w:widowControl w:val="0"/>
              <w:suppressAutoHyphens/>
              <w:jc w:val="both"/>
              <w:rPr>
                <w:bCs/>
                <w:i/>
                <w:lang w:val="uk-UA"/>
              </w:rPr>
            </w:pPr>
          </w:p>
          <w:p w14:paraId="5D7F0B6F" w14:textId="77777777" w:rsidR="00802EB8" w:rsidRPr="00D159D0" w:rsidRDefault="00802EB8" w:rsidP="00802EB8">
            <w:pPr>
              <w:widowControl w:val="0"/>
              <w:suppressAutoHyphens/>
              <w:jc w:val="both"/>
              <w:rPr>
                <w:bCs/>
                <w:i/>
                <w:lang w:val="uk-UA"/>
              </w:rPr>
            </w:pPr>
          </w:p>
          <w:p w14:paraId="6DE684C0" w14:textId="77777777" w:rsidR="00802EB8" w:rsidRPr="00D159D0" w:rsidRDefault="00802EB8" w:rsidP="00802EB8">
            <w:pPr>
              <w:widowControl w:val="0"/>
              <w:suppressAutoHyphens/>
              <w:jc w:val="both"/>
              <w:rPr>
                <w:bCs/>
                <w:i/>
                <w:lang w:val="uk-UA"/>
              </w:rPr>
            </w:pPr>
          </w:p>
          <w:p w14:paraId="3F7FBB60" w14:textId="77777777" w:rsidR="00802EB8" w:rsidRPr="00D159D0" w:rsidRDefault="00802EB8" w:rsidP="00802EB8">
            <w:pPr>
              <w:widowControl w:val="0"/>
              <w:suppressAutoHyphens/>
              <w:jc w:val="both"/>
              <w:rPr>
                <w:bCs/>
                <w:i/>
                <w:lang w:val="uk-UA"/>
              </w:rPr>
            </w:pPr>
          </w:p>
          <w:p w14:paraId="22443502" w14:textId="77777777" w:rsidR="00802EB8" w:rsidRPr="00D159D0" w:rsidRDefault="00802EB8" w:rsidP="00802EB8">
            <w:pPr>
              <w:widowControl w:val="0"/>
              <w:suppressAutoHyphens/>
              <w:jc w:val="both"/>
              <w:rPr>
                <w:bCs/>
                <w:i/>
                <w:lang w:val="uk-UA"/>
              </w:rPr>
            </w:pPr>
          </w:p>
          <w:p w14:paraId="2DB24D1E" w14:textId="77777777" w:rsidR="00802EB8" w:rsidRPr="00D159D0" w:rsidRDefault="00802EB8" w:rsidP="00802EB8">
            <w:pPr>
              <w:widowControl w:val="0"/>
              <w:suppressAutoHyphens/>
              <w:jc w:val="both"/>
              <w:rPr>
                <w:bCs/>
                <w:i/>
                <w:lang w:val="uk-UA"/>
              </w:rPr>
            </w:pPr>
          </w:p>
          <w:p w14:paraId="2C454500" w14:textId="77777777" w:rsidR="00802EB8" w:rsidRPr="00D159D0" w:rsidRDefault="00802EB8" w:rsidP="00802EB8">
            <w:pPr>
              <w:widowControl w:val="0"/>
              <w:suppressAutoHyphens/>
              <w:jc w:val="both"/>
              <w:rPr>
                <w:bCs/>
                <w:i/>
                <w:lang w:val="uk-UA"/>
              </w:rPr>
            </w:pPr>
          </w:p>
          <w:p w14:paraId="0B4B7062" w14:textId="77777777" w:rsidR="002B13BD" w:rsidRPr="00D159D0" w:rsidRDefault="002B13BD" w:rsidP="00802EB8">
            <w:pPr>
              <w:widowControl w:val="0"/>
              <w:suppressAutoHyphens/>
              <w:jc w:val="both"/>
              <w:rPr>
                <w:bCs/>
                <w:i/>
                <w:lang w:val="uk-UA"/>
              </w:rPr>
            </w:pPr>
          </w:p>
          <w:p w14:paraId="7874E750" w14:textId="77777777" w:rsidR="00802EB8" w:rsidRPr="00D159D0" w:rsidRDefault="00802EB8" w:rsidP="00802EB8">
            <w:pPr>
              <w:widowControl w:val="0"/>
              <w:suppressAutoHyphens/>
              <w:jc w:val="both"/>
              <w:rPr>
                <w:bCs/>
                <w:i/>
                <w:lang w:val="uk-UA"/>
              </w:rPr>
            </w:pPr>
          </w:p>
          <w:p w14:paraId="24543B5C" w14:textId="77777777" w:rsidR="000850BC" w:rsidRPr="00D159D0" w:rsidRDefault="000850BC" w:rsidP="000850BC">
            <w:pPr>
              <w:jc w:val="both"/>
              <w:rPr>
                <w:b/>
                <w:bCs/>
                <w:lang w:val="uk-UA"/>
              </w:rPr>
            </w:pPr>
            <w:r w:rsidRPr="00D159D0">
              <w:rPr>
                <w:b/>
                <w:bCs/>
                <w:lang w:val="uk-UA"/>
              </w:rPr>
              <w:t>Не враховано</w:t>
            </w:r>
          </w:p>
          <w:p w14:paraId="4E7610C3" w14:textId="77777777" w:rsidR="000850BC" w:rsidRPr="00D159D0" w:rsidRDefault="000850BC" w:rsidP="000850BC">
            <w:pPr>
              <w:contextualSpacing/>
              <w:jc w:val="both"/>
              <w:rPr>
                <w:rFonts w:eastAsia="Calibri"/>
                <w:b/>
                <w:lang w:val="uk-UA" w:eastAsia="en-US"/>
              </w:rPr>
            </w:pPr>
            <w:r w:rsidRPr="00D159D0">
              <w:rPr>
                <w:rFonts w:eastAsia="Calibri"/>
                <w:b/>
                <w:lang w:val="uk-UA" w:eastAsia="en-US"/>
              </w:rPr>
              <w:t>Недостатньо обґрунтована пропозиція.</w:t>
            </w:r>
          </w:p>
          <w:p w14:paraId="3191375A" w14:textId="226DE89A" w:rsidR="00AD2A16" w:rsidRPr="00D159D0" w:rsidRDefault="00AD2A16" w:rsidP="004976F9">
            <w:pPr>
              <w:jc w:val="both"/>
              <w:rPr>
                <w:b/>
                <w:bCs/>
                <w:lang w:val="uk-UA"/>
              </w:rPr>
            </w:pPr>
          </w:p>
        </w:tc>
      </w:tr>
      <w:tr w:rsidR="00D159D0" w:rsidRPr="00D159D0" w14:paraId="1B9CCDB6" w14:textId="77777777" w:rsidTr="00EE26FC">
        <w:tc>
          <w:tcPr>
            <w:tcW w:w="5665" w:type="dxa"/>
          </w:tcPr>
          <w:p w14:paraId="057D6D4D" w14:textId="77777777" w:rsidR="00CA72C6" w:rsidRPr="00D159D0" w:rsidRDefault="00CA72C6" w:rsidP="004976F9">
            <w:pPr>
              <w:shd w:val="clear" w:color="auto" w:fill="FFFFFF"/>
              <w:ind w:firstLine="450"/>
              <w:jc w:val="both"/>
              <w:rPr>
                <w:b/>
                <w:bCs/>
                <w:shd w:val="clear" w:color="auto" w:fill="FFFFFF"/>
                <w:lang w:val="uk-UA"/>
              </w:rPr>
            </w:pPr>
            <w:r w:rsidRPr="00D159D0">
              <w:rPr>
                <w:b/>
                <w:bCs/>
                <w:shd w:val="clear" w:color="auto" w:fill="FFFFFF"/>
                <w:lang w:val="uk-UA"/>
              </w:rPr>
              <w:lastRenderedPageBreak/>
              <w:t>5. Визначення необхідного доходу</w:t>
            </w:r>
          </w:p>
          <w:p w14:paraId="37D6CA3C" w14:textId="77777777" w:rsidR="00CA72C6" w:rsidRPr="00D159D0" w:rsidRDefault="00CA72C6" w:rsidP="004976F9">
            <w:pPr>
              <w:shd w:val="clear" w:color="auto" w:fill="FFFFFF"/>
              <w:ind w:firstLine="450"/>
              <w:jc w:val="both"/>
              <w:rPr>
                <w:b/>
                <w:bCs/>
                <w:shd w:val="clear" w:color="auto" w:fill="FFFFFF"/>
                <w:lang w:val="uk-UA"/>
              </w:rPr>
            </w:pPr>
            <w:r w:rsidRPr="00D159D0">
              <w:rPr>
                <w:b/>
                <w:bCs/>
                <w:shd w:val="clear" w:color="auto" w:fill="FFFFFF"/>
                <w:lang w:val="uk-UA"/>
              </w:rPr>
              <w:t>……………………………………….</w:t>
            </w:r>
          </w:p>
          <w:tbl>
            <w:tblPr>
              <w:tblpPr w:leftFromText="180" w:rightFromText="180" w:vertAnchor="text" w:horzAnchor="margin" w:tblpY="1257"/>
              <w:tblOverlap w:val="never"/>
              <w:tblW w:w="5113" w:type="dxa"/>
              <w:tblLayout w:type="fixed"/>
              <w:tblCellMar>
                <w:top w:w="15" w:type="dxa"/>
                <w:left w:w="15" w:type="dxa"/>
                <w:bottom w:w="15" w:type="dxa"/>
                <w:right w:w="15" w:type="dxa"/>
              </w:tblCellMar>
              <w:tblLook w:val="04A0" w:firstRow="1" w:lastRow="0" w:firstColumn="1" w:lastColumn="0" w:noHBand="0" w:noVBand="1"/>
            </w:tblPr>
            <w:tblGrid>
              <w:gridCol w:w="3544"/>
              <w:gridCol w:w="1157"/>
              <w:gridCol w:w="412"/>
            </w:tblGrid>
            <w:tr w:rsidR="00D159D0" w:rsidRPr="00D159D0" w14:paraId="30CA57B9" w14:textId="77777777" w:rsidTr="00BE7345">
              <w:trPr>
                <w:trHeight w:val="571"/>
              </w:trPr>
              <w:tc>
                <w:tcPr>
                  <w:tcW w:w="3466" w:type="pct"/>
                  <w:shd w:val="clear" w:color="auto" w:fill="auto"/>
                  <w:tcMar>
                    <w:top w:w="0" w:type="dxa"/>
                    <w:left w:w="0" w:type="dxa"/>
                    <w:bottom w:w="0" w:type="dxa"/>
                    <w:right w:w="0" w:type="dxa"/>
                  </w:tcMar>
                  <w:vAlign w:val="center"/>
                  <w:hideMark/>
                </w:tcPr>
                <w:p w14:paraId="46194087" w14:textId="77777777" w:rsidR="00CA72C6" w:rsidRPr="00D159D0" w:rsidRDefault="00CA72C6" w:rsidP="004976F9">
                  <w:pPr>
                    <w:pStyle w:val="tr"/>
                    <w:spacing w:before="0" w:beforeAutospacing="0" w:after="0" w:afterAutospacing="0"/>
                    <w:ind w:firstLine="489"/>
                    <w:jc w:val="both"/>
                  </w:pPr>
                  <w:r w:rsidRPr="00D159D0">
                    <w:rPr>
                      <w:noProof/>
                    </w:rPr>
                    <w:lastRenderedPageBreak/>
                    <w:drawing>
                      <wp:anchor distT="0" distB="0" distL="114300" distR="114300" simplePos="0" relativeHeight="251659264" behindDoc="0" locked="0" layoutInCell="1" allowOverlap="1" wp14:anchorId="69D2B9D3" wp14:editId="542FD102">
                        <wp:simplePos x="0" y="0"/>
                        <wp:positionH relativeFrom="column">
                          <wp:posOffset>-2273300</wp:posOffset>
                        </wp:positionH>
                        <wp:positionV relativeFrom="paragraph">
                          <wp:posOffset>-117475</wp:posOffset>
                        </wp:positionV>
                        <wp:extent cx="2242185" cy="142875"/>
                        <wp:effectExtent l="0" t="0" r="5715" b="9525"/>
                        <wp:wrapThrough wrapText="bothSides">
                          <wp:wrapPolygon edited="0">
                            <wp:start x="0" y="0"/>
                            <wp:lineTo x="0" y="17280"/>
                            <wp:lineTo x="367" y="20160"/>
                            <wp:lineTo x="21105" y="20160"/>
                            <wp:lineTo x="21472" y="11520"/>
                            <wp:lineTo x="21472" y="0"/>
                            <wp:lineTo x="0" y="0"/>
                          </wp:wrapPolygon>
                        </wp:wrapThrough>
                        <wp:docPr id="22" name="Рисунок 22" descr="https://ips.ligazakon.net/l_flib1.nsf/LookupFiles/GK40721_IMG_262.GIF/$file/GK40721_IMG_262.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242185" cy="1428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1131" w:type="pct"/>
                  <w:shd w:val="clear" w:color="auto" w:fill="auto"/>
                  <w:tcMar>
                    <w:top w:w="0" w:type="dxa"/>
                    <w:left w:w="0" w:type="dxa"/>
                    <w:bottom w:w="0" w:type="dxa"/>
                    <w:right w:w="0" w:type="dxa"/>
                  </w:tcMar>
                  <w:vAlign w:val="center"/>
                  <w:hideMark/>
                </w:tcPr>
                <w:p w14:paraId="51CD67FD" w14:textId="77777777" w:rsidR="00CA72C6" w:rsidRPr="00D159D0" w:rsidRDefault="00CA72C6" w:rsidP="004976F9">
                  <w:pPr>
                    <w:pStyle w:val="tl"/>
                    <w:spacing w:before="0" w:beforeAutospacing="0" w:after="0" w:afterAutospacing="0"/>
                    <w:jc w:val="both"/>
                  </w:pPr>
                  <w:r w:rsidRPr="00D159D0">
                    <w:t>, тис. грн,</w:t>
                  </w:r>
                </w:p>
              </w:tc>
              <w:tc>
                <w:tcPr>
                  <w:tcW w:w="403" w:type="pct"/>
                  <w:shd w:val="clear" w:color="auto" w:fill="auto"/>
                  <w:tcMar>
                    <w:top w:w="0" w:type="dxa"/>
                    <w:left w:w="0" w:type="dxa"/>
                    <w:bottom w:w="0" w:type="dxa"/>
                    <w:right w:w="0" w:type="dxa"/>
                  </w:tcMar>
                  <w:vAlign w:val="center"/>
                  <w:hideMark/>
                </w:tcPr>
                <w:p w14:paraId="501B32CB" w14:textId="77777777" w:rsidR="00CA72C6" w:rsidRPr="00D159D0" w:rsidRDefault="00F84FFC" w:rsidP="004976F9">
                  <w:pPr>
                    <w:pStyle w:val="tc"/>
                    <w:spacing w:before="0" w:beforeAutospacing="0" w:after="0" w:afterAutospacing="0"/>
                    <w:jc w:val="both"/>
                  </w:pPr>
                  <w:hyperlink r:id="rId9" w:tgtFrame="_blank" w:history="1">
                    <w:r w:rsidR="00CA72C6" w:rsidRPr="00D159D0">
                      <w:t>(11)</w:t>
                    </w:r>
                  </w:hyperlink>
                </w:p>
                <w:p w14:paraId="3E788670" w14:textId="77777777" w:rsidR="00CA72C6" w:rsidRPr="00D159D0" w:rsidRDefault="00CA72C6" w:rsidP="004976F9">
                  <w:pPr>
                    <w:pStyle w:val="tc"/>
                    <w:spacing w:before="0" w:beforeAutospacing="0" w:after="0" w:afterAutospacing="0"/>
                    <w:jc w:val="both"/>
                  </w:pPr>
                </w:p>
              </w:tc>
            </w:tr>
          </w:tbl>
          <w:p w14:paraId="14422760" w14:textId="77777777" w:rsidR="00CA72C6" w:rsidRPr="00D159D0" w:rsidRDefault="00CA72C6" w:rsidP="004976F9">
            <w:pPr>
              <w:pStyle w:val="tj"/>
              <w:shd w:val="clear" w:color="auto" w:fill="FFFFFF"/>
              <w:spacing w:before="0" w:beforeAutospacing="0" w:after="0" w:afterAutospacing="0"/>
              <w:ind w:firstLine="489"/>
              <w:jc w:val="both"/>
            </w:pPr>
            <w:r w:rsidRPr="00D159D0">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p w14:paraId="48ED59B4" w14:textId="77777777" w:rsidR="00CA72C6" w:rsidRPr="00D159D0" w:rsidRDefault="00CA72C6" w:rsidP="004976F9">
            <w:pPr>
              <w:shd w:val="clear" w:color="auto" w:fill="FFFFFF"/>
              <w:ind w:firstLine="493"/>
              <w:jc w:val="both"/>
              <w:outlineLvl w:val="2"/>
              <w:rPr>
                <w:lang w:val="uk-UA" w:eastAsia="uk-UA"/>
              </w:rPr>
            </w:pPr>
            <w:r w:rsidRPr="00D159D0">
              <w:rPr>
                <w:lang w:val="uk-UA" w:eastAsia="uk-UA"/>
              </w:rPr>
              <w:t>………………….</w:t>
            </w:r>
          </w:p>
          <w:p w14:paraId="54972156" w14:textId="77777777" w:rsidR="00CA72C6" w:rsidRPr="00D159D0" w:rsidRDefault="00CA72C6" w:rsidP="004976F9">
            <w:pPr>
              <w:shd w:val="clear" w:color="auto" w:fill="FFFFFF"/>
              <w:ind w:firstLine="493"/>
              <w:jc w:val="both"/>
              <w:outlineLvl w:val="2"/>
              <w:rPr>
                <w:lang w:val="uk-UA" w:eastAsia="uk-UA"/>
              </w:rPr>
            </w:pPr>
          </w:p>
          <w:p w14:paraId="44E6BD01" w14:textId="6D8114AA" w:rsidR="00CA72C6" w:rsidRPr="00D159D0" w:rsidRDefault="00CA72C6" w:rsidP="004976F9">
            <w:pPr>
              <w:shd w:val="clear" w:color="auto" w:fill="FFFFFF"/>
              <w:ind w:firstLine="493"/>
              <w:jc w:val="both"/>
              <w:outlineLvl w:val="2"/>
              <w:rPr>
                <w:lang w:val="uk-UA" w:eastAsia="uk-UA"/>
              </w:rPr>
            </w:pPr>
            <w:proofErr w:type="spellStart"/>
            <w:r w:rsidRPr="00D159D0">
              <w:rPr>
                <w:lang w:val="uk-UA" w:eastAsia="uk-UA"/>
              </w:rPr>
              <w:t>A</w:t>
            </w:r>
            <w:r w:rsidRPr="00D159D0">
              <w:rPr>
                <w:vertAlign w:val="subscript"/>
                <w:lang w:val="uk-UA" w:eastAsia="uk-UA"/>
              </w:rPr>
              <w:t>t</w:t>
            </w:r>
            <w:r w:rsidRPr="00D159D0">
              <w:rPr>
                <w:vertAlign w:val="superscript"/>
                <w:lang w:val="uk-UA" w:eastAsia="uk-UA"/>
              </w:rPr>
              <w:t>ст</w:t>
            </w:r>
            <w:proofErr w:type="spellEnd"/>
            <w:r w:rsidRPr="00D159D0">
              <w:rPr>
                <w:lang w:val="uk-UA" w:eastAsia="uk-UA"/>
              </w:rPr>
              <w:t xml:space="preserve"> дорівнює регуляторній амортизації на активи, створені на дату переходу до стимулюючого регулювання (</w:t>
            </w:r>
            <w:r w:rsidRPr="00D159D0">
              <w:rPr>
                <w:b/>
                <w:lang w:val="uk-UA" w:eastAsia="uk-UA"/>
              </w:rPr>
              <w:t>А</w:t>
            </w:r>
            <w:r w:rsidRPr="00D159D0">
              <w:rPr>
                <w:b/>
                <w:vertAlign w:val="superscript"/>
                <w:lang w:val="uk-UA" w:eastAsia="uk-UA"/>
              </w:rPr>
              <w:t>0</w:t>
            </w:r>
            <w:r w:rsidRPr="00D159D0">
              <w:rPr>
                <w:lang w:val="uk-UA" w:eastAsia="uk-UA"/>
              </w:rPr>
              <w:t xml:space="preserve">), розрахованій згідно з Порядком визначення регуляторної бази активів. Якщо </w:t>
            </w:r>
            <w:r w:rsidRPr="00D159D0">
              <w:rPr>
                <w:b/>
                <w:lang w:val="uk-UA" w:eastAsia="uk-UA"/>
              </w:rPr>
              <w:t>А</w:t>
            </w:r>
            <w:r w:rsidRPr="00D159D0">
              <w:rPr>
                <w:b/>
                <w:vertAlign w:val="superscript"/>
                <w:lang w:val="uk-UA" w:eastAsia="uk-UA"/>
              </w:rPr>
              <w:t>0</w:t>
            </w:r>
            <w:r w:rsidRPr="00D159D0">
              <w:rPr>
                <w:b/>
                <w:vertAlign w:val="subscript"/>
                <w:lang w:val="uk-UA" w:eastAsia="uk-UA"/>
              </w:rPr>
              <w:t xml:space="preserve"> </w:t>
            </w:r>
            <w:r w:rsidRPr="00D159D0">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D159D0">
              <w:rPr>
                <w:lang w:val="uk-UA" w:eastAsia="uk-UA"/>
              </w:rPr>
              <w:t>А</w:t>
            </w:r>
            <w:r w:rsidRPr="00D159D0">
              <w:rPr>
                <w:vertAlign w:val="superscript"/>
                <w:lang w:val="uk-UA" w:eastAsia="uk-UA"/>
              </w:rPr>
              <w:t>ст</w:t>
            </w:r>
            <w:proofErr w:type="spellEnd"/>
            <w:r w:rsidRPr="00D159D0">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D159D0">
              <w:rPr>
                <w:vertAlign w:val="superscript"/>
                <w:lang w:val="uk-UA" w:eastAsia="uk-UA"/>
              </w:rPr>
              <w:t>ст</w:t>
            </w:r>
            <w:r w:rsidRPr="00D159D0">
              <w:rPr>
                <w:vertAlign w:val="subscript"/>
                <w:lang w:val="uk-UA" w:eastAsia="uk-UA"/>
              </w:rPr>
              <w:t>t-1</w:t>
            </w:r>
            <w:r w:rsidRPr="00D159D0">
              <w:rPr>
                <w:lang w:val="uk-UA" w:eastAsia="uk-UA"/>
              </w:rPr>
              <w:t xml:space="preserve">, врахованого в тарифах попереднього року) до досягнення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D159D0">
              <w:rPr>
                <w:b/>
                <w:lang w:val="uk-UA" w:eastAsia="uk-UA"/>
              </w:rPr>
              <w:t xml:space="preserve"> (</w:t>
            </w:r>
            <w:r w:rsidRPr="00D159D0">
              <w:rPr>
                <w:lang w:val="uk-UA" w:eastAsia="uk-UA"/>
              </w:rPr>
              <w:t xml:space="preserve">на </w:t>
            </w:r>
            <w:r w:rsidRPr="00D159D0">
              <w:rPr>
                <w:b/>
                <w:lang w:val="uk-UA" w:eastAsia="uk-UA"/>
              </w:rPr>
              <w:t>2023 – 2025</w:t>
            </w:r>
            <w:r w:rsidRPr="00D159D0">
              <w:rPr>
                <w:lang w:val="uk-UA" w:eastAsia="uk-UA"/>
              </w:rPr>
              <w:t xml:space="preserve"> роки амортизація на активи, створені на дату переходу до стимулюючого регулювання (</w:t>
            </w:r>
            <w:proofErr w:type="spellStart"/>
            <w:r w:rsidRPr="00D159D0">
              <w:rPr>
                <w:lang w:val="uk-UA" w:eastAsia="uk-UA"/>
              </w:rPr>
              <w:t>А</w:t>
            </w:r>
            <w:r w:rsidRPr="00D159D0">
              <w:rPr>
                <w:vertAlign w:val="superscript"/>
                <w:lang w:val="uk-UA" w:eastAsia="uk-UA"/>
              </w:rPr>
              <w:t>ст</w:t>
            </w:r>
            <w:r w:rsidRPr="00D159D0">
              <w:rPr>
                <w:vertAlign w:val="subscript"/>
                <w:lang w:val="uk-UA" w:eastAsia="uk-UA"/>
              </w:rPr>
              <w:t>t</w:t>
            </w:r>
            <w:proofErr w:type="spellEnd"/>
            <w:r w:rsidRPr="00D159D0">
              <w:rPr>
                <w:lang w:val="uk-UA" w:eastAsia="uk-UA"/>
              </w:rPr>
              <w:t xml:space="preserve">) не перевищує </w:t>
            </w:r>
            <w:proofErr w:type="spellStart"/>
            <w:r w:rsidRPr="00D159D0">
              <w:rPr>
                <w:lang w:val="uk-UA" w:eastAsia="uk-UA"/>
              </w:rPr>
              <w:t>А</w:t>
            </w:r>
            <w:r w:rsidRPr="00D159D0">
              <w:rPr>
                <w:vertAlign w:val="superscript"/>
                <w:lang w:val="uk-UA" w:eastAsia="uk-UA"/>
              </w:rPr>
              <w:t>ст</w:t>
            </w:r>
            <w:proofErr w:type="spellEnd"/>
            <w:r w:rsidRPr="00D159D0">
              <w:rPr>
                <w:lang w:val="uk-UA" w:eastAsia="uk-UA"/>
              </w:rPr>
              <w:t xml:space="preserve"> </w:t>
            </w:r>
            <w:r w:rsidRPr="00D159D0">
              <w:rPr>
                <w:vertAlign w:val="subscript"/>
                <w:lang w:val="uk-UA" w:eastAsia="uk-UA"/>
              </w:rPr>
              <w:t>t-1</w:t>
            </w:r>
            <w:r w:rsidRPr="00D159D0">
              <w:rPr>
                <w:lang w:val="uk-UA" w:eastAsia="uk-UA"/>
              </w:rPr>
              <w:t xml:space="preserve">, враховану в тарифах </w:t>
            </w:r>
            <w:r w:rsidRPr="00D159D0">
              <w:rPr>
                <w:b/>
                <w:lang w:val="uk-UA" w:eastAsia="uk-UA"/>
              </w:rPr>
              <w:t>2022 – 2024</w:t>
            </w:r>
            <w:r w:rsidRPr="00D159D0">
              <w:rPr>
                <w:lang w:val="uk-UA" w:eastAsia="uk-UA"/>
              </w:rPr>
              <w:t xml:space="preserve"> років відповідно, крім ліцензіатів, перелік яких наведено в додатку 30 до цього Порядку, для яких на </w:t>
            </w:r>
            <w:r w:rsidRPr="00D159D0">
              <w:rPr>
                <w:b/>
                <w:lang w:val="uk-UA" w:eastAsia="uk-UA"/>
              </w:rPr>
              <w:t>2024 та 2025 роки</w:t>
            </w:r>
            <w:r w:rsidRPr="00D159D0">
              <w:rPr>
                <w:lang w:val="uk-UA" w:eastAsia="uk-UA"/>
              </w:rPr>
              <w:t xml:space="preserve"> амортизація на активи, створені на дату переходу до стимулюючого регулювання, (</w:t>
            </w:r>
            <w:proofErr w:type="spellStart"/>
            <w:r w:rsidRPr="00D159D0">
              <w:rPr>
                <w:lang w:val="uk-UA" w:eastAsia="uk-UA"/>
              </w:rPr>
              <w:t>А</w:t>
            </w:r>
            <w:r w:rsidRPr="00D159D0">
              <w:rPr>
                <w:vertAlign w:val="superscript"/>
                <w:lang w:val="uk-UA" w:eastAsia="uk-UA"/>
              </w:rPr>
              <w:t>ст</w:t>
            </w:r>
            <w:r w:rsidRPr="00D159D0">
              <w:rPr>
                <w:vertAlign w:val="subscript"/>
                <w:lang w:val="uk-UA" w:eastAsia="uk-UA"/>
              </w:rPr>
              <w:t>t</w:t>
            </w:r>
            <w:proofErr w:type="spellEnd"/>
            <w:r w:rsidRPr="00D159D0">
              <w:rPr>
                <w:lang w:val="uk-UA" w:eastAsia="uk-UA"/>
              </w:rPr>
              <w:t>) фіксується на рівні А</w:t>
            </w:r>
            <w:r w:rsidRPr="00D159D0">
              <w:rPr>
                <w:vertAlign w:val="superscript"/>
                <w:lang w:val="uk-UA" w:eastAsia="uk-UA"/>
              </w:rPr>
              <w:t>ст</w:t>
            </w:r>
            <w:r w:rsidRPr="00D159D0">
              <w:rPr>
                <w:vertAlign w:val="subscript"/>
                <w:lang w:val="uk-UA" w:eastAsia="uk-UA"/>
              </w:rPr>
              <w:t>t-1,</w:t>
            </w:r>
            <w:r w:rsidRPr="00D159D0">
              <w:rPr>
                <w:lang w:val="uk-UA" w:eastAsia="uk-UA"/>
              </w:rPr>
              <w:t xml:space="preserve"> врахованому в тарифах </w:t>
            </w:r>
            <w:r w:rsidRPr="00D159D0">
              <w:rPr>
                <w:b/>
                <w:lang w:val="uk-UA" w:eastAsia="uk-UA"/>
              </w:rPr>
              <w:t>2023 року</w:t>
            </w:r>
            <w:r w:rsidRPr="00D159D0">
              <w:rPr>
                <w:lang w:val="uk-UA" w:eastAsia="uk-UA"/>
              </w:rPr>
              <w:t>);</w:t>
            </w:r>
          </w:p>
          <w:p w14:paraId="62EDA441" w14:textId="77777777" w:rsidR="00CA72C6" w:rsidRPr="00D159D0" w:rsidRDefault="00CA72C6" w:rsidP="004976F9">
            <w:pPr>
              <w:shd w:val="clear" w:color="auto" w:fill="FFFFFF"/>
              <w:ind w:firstLine="493"/>
              <w:jc w:val="both"/>
              <w:outlineLvl w:val="2"/>
              <w:rPr>
                <w:lang w:val="uk-UA" w:eastAsia="uk-UA"/>
              </w:rPr>
            </w:pPr>
          </w:p>
          <w:p w14:paraId="51C34A19" w14:textId="77777777" w:rsidR="00BF7528" w:rsidRPr="00D159D0" w:rsidRDefault="00BF7528" w:rsidP="004976F9">
            <w:pPr>
              <w:shd w:val="clear" w:color="auto" w:fill="FFFFFF"/>
              <w:ind w:firstLine="493"/>
              <w:jc w:val="both"/>
              <w:outlineLvl w:val="2"/>
              <w:rPr>
                <w:lang w:val="uk-UA" w:eastAsia="uk-UA"/>
              </w:rPr>
            </w:pPr>
          </w:p>
          <w:p w14:paraId="4BFE7DEB" w14:textId="77777777" w:rsidR="00BF7528" w:rsidRPr="00D159D0" w:rsidRDefault="00BF7528" w:rsidP="004976F9">
            <w:pPr>
              <w:shd w:val="clear" w:color="auto" w:fill="FFFFFF"/>
              <w:ind w:firstLine="493"/>
              <w:jc w:val="both"/>
              <w:outlineLvl w:val="2"/>
              <w:rPr>
                <w:lang w:val="uk-UA" w:eastAsia="uk-UA"/>
              </w:rPr>
            </w:pPr>
          </w:p>
          <w:p w14:paraId="7D317C3B" w14:textId="77777777" w:rsidR="00BF7528" w:rsidRPr="00D159D0" w:rsidRDefault="00BF7528" w:rsidP="004976F9">
            <w:pPr>
              <w:shd w:val="clear" w:color="auto" w:fill="FFFFFF"/>
              <w:ind w:firstLine="493"/>
              <w:jc w:val="both"/>
              <w:outlineLvl w:val="2"/>
              <w:rPr>
                <w:lang w:val="uk-UA" w:eastAsia="uk-UA"/>
              </w:rPr>
            </w:pPr>
          </w:p>
          <w:p w14:paraId="6E77D7CB" w14:textId="77777777" w:rsidR="00BF7528" w:rsidRPr="00D159D0" w:rsidRDefault="00BF7528" w:rsidP="004976F9">
            <w:pPr>
              <w:shd w:val="clear" w:color="auto" w:fill="FFFFFF"/>
              <w:ind w:firstLine="493"/>
              <w:jc w:val="both"/>
              <w:outlineLvl w:val="2"/>
              <w:rPr>
                <w:lang w:val="uk-UA" w:eastAsia="uk-UA"/>
              </w:rPr>
            </w:pPr>
          </w:p>
          <w:p w14:paraId="069E8A66" w14:textId="77777777" w:rsidR="00BF7528" w:rsidRPr="00D159D0" w:rsidRDefault="00BF7528" w:rsidP="004976F9">
            <w:pPr>
              <w:shd w:val="clear" w:color="auto" w:fill="FFFFFF"/>
              <w:ind w:firstLine="493"/>
              <w:jc w:val="both"/>
              <w:outlineLvl w:val="2"/>
              <w:rPr>
                <w:lang w:val="uk-UA" w:eastAsia="uk-UA"/>
              </w:rPr>
            </w:pPr>
          </w:p>
          <w:p w14:paraId="0B302414" w14:textId="77777777" w:rsidR="00BF7528" w:rsidRPr="00D159D0" w:rsidRDefault="00BF7528" w:rsidP="004976F9">
            <w:pPr>
              <w:shd w:val="clear" w:color="auto" w:fill="FFFFFF"/>
              <w:ind w:firstLine="493"/>
              <w:jc w:val="both"/>
              <w:outlineLvl w:val="2"/>
              <w:rPr>
                <w:lang w:val="uk-UA" w:eastAsia="uk-UA"/>
              </w:rPr>
            </w:pPr>
          </w:p>
          <w:p w14:paraId="50E4CF82" w14:textId="77777777" w:rsidR="00BF7528" w:rsidRPr="00D159D0" w:rsidRDefault="00BF7528" w:rsidP="004976F9">
            <w:pPr>
              <w:shd w:val="clear" w:color="auto" w:fill="FFFFFF"/>
              <w:ind w:firstLine="493"/>
              <w:jc w:val="both"/>
              <w:outlineLvl w:val="2"/>
              <w:rPr>
                <w:lang w:val="uk-UA" w:eastAsia="uk-UA"/>
              </w:rPr>
            </w:pPr>
          </w:p>
          <w:p w14:paraId="74F98990" w14:textId="77777777" w:rsidR="00BF7528" w:rsidRPr="00D159D0" w:rsidRDefault="00BF7528" w:rsidP="004976F9">
            <w:pPr>
              <w:shd w:val="clear" w:color="auto" w:fill="FFFFFF"/>
              <w:ind w:firstLine="493"/>
              <w:jc w:val="both"/>
              <w:outlineLvl w:val="2"/>
              <w:rPr>
                <w:lang w:val="uk-UA" w:eastAsia="uk-UA"/>
              </w:rPr>
            </w:pPr>
          </w:p>
          <w:p w14:paraId="241F4343" w14:textId="77777777" w:rsidR="00BF7528" w:rsidRPr="00D159D0" w:rsidRDefault="00BF7528" w:rsidP="004976F9">
            <w:pPr>
              <w:shd w:val="clear" w:color="auto" w:fill="FFFFFF"/>
              <w:ind w:firstLine="493"/>
              <w:jc w:val="both"/>
              <w:outlineLvl w:val="2"/>
              <w:rPr>
                <w:lang w:val="uk-UA" w:eastAsia="uk-UA"/>
              </w:rPr>
            </w:pPr>
          </w:p>
          <w:p w14:paraId="5E64352F" w14:textId="77777777" w:rsidR="00BF7528" w:rsidRPr="00D159D0" w:rsidRDefault="00BF7528" w:rsidP="004976F9">
            <w:pPr>
              <w:shd w:val="clear" w:color="auto" w:fill="FFFFFF"/>
              <w:ind w:firstLine="493"/>
              <w:jc w:val="both"/>
              <w:outlineLvl w:val="2"/>
              <w:rPr>
                <w:lang w:val="uk-UA" w:eastAsia="uk-UA"/>
              </w:rPr>
            </w:pPr>
          </w:p>
          <w:p w14:paraId="45592FBB" w14:textId="77777777" w:rsidR="00BF7528" w:rsidRPr="00D159D0" w:rsidRDefault="00BF7528" w:rsidP="004976F9">
            <w:pPr>
              <w:shd w:val="clear" w:color="auto" w:fill="FFFFFF"/>
              <w:ind w:firstLine="493"/>
              <w:jc w:val="both"/>
              <w:outlineLvl w:val="2"/>
              <w:rPr>
                <w:lang w:val="uk-UA" w:eastAsia="uk-UA"/>
              </w:rPr>
            </w:pPr>
          </w:p>
          <w:p w14:paraId="0988E2BE" w14:textId="77777777" w:rsidR="00BF7528" w:rsidRPr="00D159D0" w:rsidRDefault="00BF7528" w:rsidP="004976F9">
            <w:pPr>
              <w:shd w:val="clear" w:color="auto" w:fill="FFFFFF"/>
              <w:ind w:firstLine="493"/>
              <w:jc w:val="both"/>
              <w:outlineLvl w:val="2"/>
              <w:rPr>
                <w:lang w:val="uk-UA" w:eastAsia="uk-UA"/>
              </w:rPr>
            </w:pPr>
          </w:p>
          <w:p w14:paraId="636F4347" w14:textId="77777777" w:rsidR="00BF7528" w:rsidRPr="00D159D0" w:rsidRDefault="00BF7528" w:rsidP="004976F9">
            <w:pPr>
              <w:shd w:val="clear" w:color="auto" w:fill="FFFFFF"/>
              <w:ind w:firstLine="493"/>
              <w:jc w:val="both"/>
              <w:outlineLvl w:val="2"/>
              <w:rPr>
                <w:lang w:val="uk-UA" w:eastAsia="uk-UA"/>
              </w:rPr>
            </w:pPr>
          </w:p>
          <w:p w14:paraId="3E74D3BC" w14:textId="77777777" w:rsidR="00BF7528" w:rsidRPr="00D159D0" w:rsidRDefault="00BF7528" w:rsidP="004976F9">
            <w:pPr>
              <w:shd w:val="clear" w:color="auto" w:fill="FFFFFF"/>
              <w:ind w:firstLine="493"/>
              <w:jc w:val="both"/>
              <w:outlineLvl w:val="2"/>
              <w:rPr>
                <w:lang w:val="uk-UA" w:eastAsia="uk-UA"/>
              </w:rPr>
            </w:pPr>
          </w:p>
          <w:p w14:paraId="22EB9E14" w14:textId="77777777" w:rsidR="00BF7528" w:rsidRPr="00D159D0" w:rsidRDefault="00BF7528" w:rsidP="004976F9">
            <w:pPr>
              <w:shd w:val="clear" w:color="auto" w:fill="FFFFFF"/>
              <w:ind w:firstLine="493"/>
              <w:jc w:val="both"/>
              <w:outlineLvl w:val="2"/>
              <w:rPr>
                <w:lang w:val="uk-UA" w:eastAsia="uk-UA"/>
              </w:rPr>
            </w:pPr>
          </w:p>
          <w:p w14:paraId="441C2362" w14:textId="77777777" w:rsidR="00BF7528" w:rsidRPr="00D159D0" w:rsidRDefault="00BF7528" w:rsidP="004976F9">
            <w:pPr>
              <w:shd w:val="clear" w:color="auto" w:fill="FFFFFF"/>
              <w:ind w:firstLine="493"/>
              <w:jc w:val="both"/>
              <w:outlineLvl w:val="2"/>
              <w:rPr>
                <w:lang w:val="uk-UA" w:eastAsia="uk-UA"/>
              </w:rPr>
            </w:pPr>
          </w:p>
          <w:p w14:paraId="06863056" w14:textId="77777777" w:rsidR="00BF7528" w:rsidRPr="00D159D0" w:rsidRDefault="00BF7528" w:rsidP="004976F9">
            <w:pPr>
              <w:shd w:val="clear" w:color="auto" w:fill="FFFFFF"/>
              <w:ind w:firstLine="493"/>
              <w:jc w:val="both"/>
              <w:outlineLvl w:val="2"/>
              <w:rPr>
                <w:lang w:val="uk-UA" w:eastAsia="uk-UA"/>
              </w:rPr>
            </w:pPr>
          </w:p>
          <w:p w14:paraId="64F8FC87" w14:textId="77777777" w:rsidR="00BF7528" w:rsidRPr="00D159D0" w:rsidRDefault="00BF7528" w:rsidP="004976F9">
            <w:pPr>
              <w:shd w:val="clear" w:color="auto" w:fill="FFFFFF"/>
              <w:ind w:firstLine="493"/>
              <w:jc w:val="both"/>
              <w:outlineLvl w:val="2"/>
              <w:rPr>
                <w:lang w:val="uk-UA" w:eastAsia="uk-UA"/>
              </w:rPr>
            </w:pPr>
          </w:p>
          <w:p w14:paraId="3EFCA41B" w14:textId="77777777" w:rsidR="00BF7528" w:rsidRPr="00D159D0" w:rsidRDefault="00BF7528" w:rsidP="004976F9">
            <w:pPr>
              <w:shd w:val="clear" w:color="auto" w:fill="FFFFFF"/>
              <w:ind w:firstLine="493"/>
              <w:jc w:val="both"/>
              <w:outlineLvl w:val="2"/>
              <w:rPr>
                <w:lang w:val="uk-UA" w:eastAsia="uk-UA"/>
              </w:rPr>
            </w:pPr>
          </w:p>
          <w:p w14:paraId="7D306A35" w14:textId="77777777" w:rsidR="00BF7528" w:rsidRPr="00D159D0" w:rsidRDefault="00BF7528" w:rsidP="004976F9">
            <w:pPr>
              <w:shd w:val="clear" w:color="auto" w:fill="FFFFFF"/>
              <w:ind w:firstLine="493"/>
              <w:jc w:val="both"/>
              <w:outlineLvl w:val="2"/>
              <w:rPr>
                <w:lang w:val="uk-UA" w:eastAsia="uk-UA"/>
              </w:rPr>
            </w:pPr>
          </w:p>
          <w:p w14:paraId="4567819E" w14:textId="77777777" w:rsidR="00BF7528" w:rsidRPr="00D159D0" w:rsidRDefault="00BF7528" w:rsidP="004976F9">
            <w:pPr>
              <w:shd w:val="clear" w:color="auto" w:fill="FFFFFF"/>
              <w:ind w:firstLine="493"/>
              <w:jc w:val="both"/>
              <w:outlineLvl w:val="2"/>
              <w:rPr>
                <w:lang w:val="uk-UA" w:eastAsia="uk-UA"/>
              </w:rPr>
            </w:pPr>
          </w:p>
          <w:p w14:paraId="2EE468BC" w14:textId="77777777" w:rsidR="00BF7528" w:rsidRPr="00D159D0" w:rsidRDefault="00BF7528" w:rsidP="004976F9">
            <w:pPr>
              <w:shd w:val="clear" w:color="auto" w:fill="FFFFFF"/>
              <w:ind w:firstLine="493"/>
              <w:jc w:val="both"/>
              <w:outlineLvl w:val="2"/>
              <w:rPr>
                <w:lang w:val="uk-UA" w:eastAsia="uk-UA"/>
              </w:rPr>
            </w:pPr>
          </w:p>
          <w:p w14:paraId="0B92C213" w14:textId="77777777" w:rsidR="00BF7528" w:rsidRPr="00D159D0" w:rsidRDefault="00BF7528" w:rsidP="004976F9">
            <w:pPr>
              <w:shd w:val="clear" w:color="auto" w:fill="FFFFFF"/>
              <w:ind w:firstLine="493"/>
              <w:jc w:val="both"/>
              <w:outlineLvl w:val="2"/>
              <w:rPr>
                <w:lang w:val="uk-UA" w:eastAsia="uk-UA"/>
              </w:rPr>
            </w:pPr>
          </w:p>
          <w:p w14:paraId="182C1B36" w14:textId="77777777" w:rsidR="00BF7528" w:rsidRPr="00D159D0" w:rsidRDefault="00BF7528" w:rsidP="004976F9">
            <w:pPr>
              <w:shd w:val="clear" w:color="auto" w:fill="FFFFFF"/>
              <w:ind w:firstLine="493"/>
              <w:jc w:val="both"/>
              <w:outlineLvl w:val="2"/>
              <w:rPr>
                <w:lang w:val="uk-UA" w:eastAsia="uk-UA"/>
              </w:rPr>
            </w:pPr>
          </w:p>
          <w:p w14:paraId="6F1CA4F4" w14:textId="77777777" w:rsidR="00BF7528" w:rsidRPr="00D159D0" w:rsidRDefault="00BF7528" w:rsidP="004976F9">
            <w:pPr>
              <w:shd w:val="clear" w:color="auto" w:fill="FFFFFF"/>
              <w:ind w:firstLine="493"/>
              <w:jc w:val="both"/>
              <w:outlineLvl w:val="2"/>
              <w:rPr>
                <w:lang w:val="uk-UA" w:eastAsia="uk-UA"/>
              </w:rPr>
            </w:pPr>
          </w:p>
          <w:p w14:paraId="38F129A4" w14:textId="77777777" w:rsidR="00BF7528" w:rsidRPr="00D159D0" w:rsidRDefault="00BF7528" w:rsidP="004976F9">
            <w:pPr>
              <w:shd w:val="clear" w:color="auto" w:fill="FFFFFF"/>
              <w:ind w:firstLine="493"/>
              <w:jc w:val="both"/>
              <w:outlineLvl w:val="2"/>
              <w:rPr>
                <w:lang w:val="uk-UA" w:eastAsia="uk-UA"/>
              </w:rPr>
            </w:pPr>
          </w:p>
          <w:p w14:paraId="16D73BF1" w14:textId="77777777" w:rsidR="00BF7528" w:rsidRPr="00D159D0" w:rsidRDefault="00BF7528" w:rsidP="004976F9">
            <w:pPr>
              <w:shd w:val="clear" w:color="auto" w:fill="FFFFFF"/>
              <w:ind w:firstLine="493"/>
              <w:jc w:val="both"/>
              <w:outlineLvl w:val="2"/>
              <w:rPr>
                <w:lang w:val="uk-UA" w:eastAsia="uk-UA"/>
              </w:rPr>
            </w:pPr>
          </w:p>
          <w:p w14:paraId="5A234B57" w14:textId="77777777" w:rsidR="00BF7528" w:rsidRPr="00D159D0" w:rsidRDefault="00BF7528" w:rsidP="004976F9">
            <w:pPr>
              <w:shd w:val="clear" w:color="auto" w:fill="FFFFFF"/>
              <w:ind w:firstLine="493"/>
              <w:jc w:val="both"/>
              <w:outlineLvl w:val="2"/>
              <w:rPr>
                <w:lang w:val="uk-UA" w:eastAsia="uk-UA"/>
              </w:rPr>
            </w:pPr>
          </w:p>
          <w:p w14:paraId="170E2AB0" w14:textId="77777777" w:rsidR="00BF7528" w:rsidRPr="00D159D0" w:rsidRDefault="00BF7528" w:rsidP="004976F9">
            <w:pPr>
              <w:shd w:val="clear" w:color="auto" w:fill="FFFFFF"/>
              <w:ind w:firstLine="493"/>
              <w:jc w:val="both"/>
              <w:outlineLvl w:val="2"/>
              <w:rPr>
                <w:lang w:val="uk-UA" w:eastAsia="uk-UA"/>
              </w:rPr>
            </w:pPr>
          </w:p>
          <w:p w14:paraId="158872DD" w14:textId="77777777" w:rsidR="00BF7528" w:rsidRPr="00D159D0" w:rsidRDefault="00BF7528" w:rsidP="004976F9">
            <w:pPr>
              <w:shd w:val="clear" w:color="auto" w:fill="FFFFFF"/>
              <w:ind w:firstLine="493"/>
              <w:jc w:val="both"/>
              <w:outlineLvl w:val="2"/>
              <w:rPr>
                <w:lang w:val="uk-UA" w:eastAsia="uk-UA"/>
              </w:rPr>
            </w:pPr>
          </w:p>
          <w:p w14:paraId="2EAB425B" w14:textId="77777777" w:rsidR="00BF7528" w:rsidRPr="00D159D0" w:rsidRDefault="00BF7528" w:rsidP="004976F9">
            <w:pPr>
              <w:shd w:val="clear" w:color="auto" w:fill="FFFFFF"/>
              <w:ind w:firstLine="493"/>
              <w:jc w:val="both"/>
              <w:outlineLvl w:val="2"/>
              <w:rPr>
                <w:lang w:val="uk-UA" w:eastAsia="uk-UA"/>
              </w:rPr>
            </w:pPr>
          </w:p>
          <w:p w14:paraId="7B1D6E21" w14:textId="77777777" w:rsidR="00BF7528" w:rsidRPr="00D159D0" w:rsidRDefault="00BF7528" w:rsidP="004976F9">
            <w:pPr>
              <w:shd w:val="clear" w:color="auto" w:fill="FFFFFF"/>
              <w:ind w:firstLine="493"/>
              <w:jc w:val="both"/>
              <w:outlineLvl w:val="2"/>
              <w:rPr>
                <w:lang w:val="uk-UA" w:eastAsia="uk-UA"/>
              </w:rPr>
            </w:pPr>
          </w:p>
          <w:p w14:paraId="3316D65C" w14:textId="77777777" w:rsidR="00BF7528" w:rsidRPr="00D159D0" w:rsidRDefault="00BF7528" w:rsidP="004976F9">
            <w:pPr>
              <w:shd w:val="clear" w:color="auto" w:fill="FFFFFF"/>
              <w:ind w:firstLine="493"/>
              <w:jc w:val="both"/>
              <w:outlineLvl w:val="2"/>
              <w:rPr>
                <w:lang w:val="uk-UA" w:eastAsia="uk-UA"/>
              </w:rPr>
            </w:pPr>
          </w:p>
          <w:p w14:paraId="0E2A5055" w14:textId="77777777" w:rsidR="00BF7528" w:rsidRPr="00D159D0" w:rsidRDefault="00BF7528" w:rsidP="004976F9">
            <w:pPr>
              <w:shd w:val="clear" w:color="auto" w:fill="FFFFFF"/>
              <w:ind w:firstLine="493"/>
              <w:jc w:val="both"/>
              <w:outlineLvl w:val="2"/>
              <w:rPr>
                <w:lang w:val="uk-UA" w:eastAsia="uk-UA"/>
              </w:rPr>
            </w:pPr>
          </w:p>
          <w:p w14:paraId="0858763E" w14:textId="77777777" w:rsidR="00BF7528" w:rsidRPr="00D159D0" w:rsidRDefault="00BF7528" w:rsidP="004976F9">
            <w:pPr>
              <w:shd w:val="clear" w:color="auto" w:fill="FFFFFF"/>
              <w:ind w:firstLine="493"/>
              <w:jc w:val="both"/>
              <w:outlineLvl w:val="2"/>
              <w:rPr>
                <w:lang w:val="uk-UA" w:eastAsia="uk-UA"/>
              </w:rPr>
            </w:pPr>
          </w:p>
          <w:p w14:paraId="44BCE631" w14:textId="77777777" w:rsidR="00BF7528" w:rsidRPr="00D159D0" w:rsidRDefault="00BF7528" w:rsidP="004976F9">
            <w:pPr>
              <w:shd w:val="clear" w:color="auto" w:fill="FFFFFF"/>
              <w:ind w:firstLine="493"/>
              <w:jc w:val="both"/>
              <w:outlineLvl w:val="2"/>
              <w:rPr>
                <w:lang w:val="uk-UA" w:eastAsia="uk-UA"/>
              </w:rPr>
            </w:pPr>
          </w:p>
          <w:p w14:paraId="1DD7AC16" w14:textId="77777777" w:rsidR="00BF7528" w:rsidRPr="00D159D0" w:rsidRDefault="00BF7528" w:rsidP="004976F9">
            <w:pPr>
              <w:shd w:val="clear" w:color="auto" w:fill="FFFFFF"/>
              <w:ind w:firstLine="493"/>
              <w:jc w:val="both"/>
              <w:outlineLvl w:val="2"/>
              <w:rPr>
                <w:lang w:val="uk-UA" w:eastAsia="uk-UA"/>
              </w:rPr>
            </w:pPr>
          </w:p>
          <w:p w14:paraId="75F18A00" w14:textId="77777777" w:rsidR="00BF7528" w:rsidRPr="00D159D0" w:rsidRDefault="00BF7528" w:rsidP="004976F9">
            <w:pPr>
              <w:shd w:val="clear" w:color="auto" w:fill="FFFFFF"/>
              <w:ind w:firstLine="493"/>
              <w:jc w:val="both"/>
              <w:outlineLvl w:val="2"/>
              <w:rPr>
                <w:lang w:val="uk-UA" w:eastAsia="uk-UA"/>
              </w:rPr>
            </w:pPr>
          </w:p>
          <w:p w14:paraId="4E48232D" w14:textId="77777777" w:rsidR="00BF7528" w:rsidRPr="00D159D0" w:rsidRDefault="00BF7528" w:rsidP="004976F9">
            <w:pPr>
              <w:shd w:val="clear" w:color="auto" w:fill="FFFFFF"/>
              <w:ind w:firstLine="493"/>
              <w:jc w:val="both"/>
              <w:outlineLvl w:val="2"/>
              <w:rPr>
                <w:lang w:val="uk-UA" w:eastAsia="uk-UA"/>
              </w:rPr>
            </w:pPr>
          </w:p>
          <w:p w14:paraId="407A54E2" w14:textId="77777777" w:rsidR="00BF7528" w:rsidRPr="00D159D0" w:rsidRDefault="00BF7528" w:rsidP="004976F9">
            <w:pPr>
              <w:shd w:val="clear" w:color="auto" w:fill="FFFFFF"/>
              <w:ind w:firstLine="493"/>
              <w:jc w:val="both"/>
              <w:outlineLvl w:val="2"/>
              <w:rPr>
                <w:lang w:val="uk-UA" w:eastAsia="uk-UA"/>
              </w:rPr>
            </w:pPr>
          </w:p>
          <w:p w14:paraId="30172C48" w14:textId="77777777" w:rsidR="00BF7528" w:rsidRPr="00D159D0" w:rsidRDefault="00BF7528" w:rsidP="004976F9">
            <w:pPr>
              <w:shd w:val="clear" w:color="auto" w:fill="FFFFFF"/>
              <w:ind w:firstLine="493"/>
              <w:jc w:val="both"/>
              <w:outlineLvl w:val="2"/>
              <w:rPr>
                <w:lang w:val="uk-UA" w:eastAsia="uk-UA"/>
              </w:rPr>
            </w:pPr>
          </w:p>
          <w:p w14:paraId="040A9941" w14:textId="77777777" w:rsidR="00BF7528" w:rsidRPr="00D159D0" w:rsidRDefault="00BF7528" w:rsidP="004976F9">
            <w:pPr>
              <w:shd w:val="clear" w:color="auto" w:fill="FFFFFF"/>
              <w:ind w:firstLine="493"/>
              <w:jc w:val="both"/>
              <w:outlineLvl w:val="2"/>
              <w:rPr>
                <w:lang w:val="uk-UA" w:eastAsia="uk-UA"/>
              </w:rPr>
            </w:pPr>
          </w:p>
          <w:p w14:paraId="25A616F3" w14:textId="77777777" w:rsidR="00BF7528" w:rsidRPr="00D159D0" w:rsidRDefault="00BF7528" w:rsidP="004976F9">
            <w:pPr>
              <w:shd w:val="clear" w:color="auto" w:fill="FFFFFF"/>
              <w:ind w:firstLine="493"/>
              <w:jc w:val="both"/>
              <w:outlineLvl w:val="2"/>
              <w:rPr>
                <w:lang w:val="uk-UA" w:eastAsia="uk-UA"/>
              </w:rPr>
            </w:pPr>
          </w:p>
          <w:p w14:paraId="6FCB34ED" w14:textId="77777777" w:rsidR="00BF7528" w:rsidRPr="00D159D0" w:rsidRDefault="00BF7528" w:rsidP="004976F9">
            <w:pPr>
              <w:shd w:val="clear" w:color="auto" w:fill="FFFFFF"/>
              <w:ind w:firstLine="493"/>
              <w:jc w:val="both"/>
              <w:outlineLvl w:val="2"/>
              <w:rPr>
                <w:lang w:val="uk-UA" w:eastAsia="uk-UA"/>
              </w:rPr>
            </w:pPr>
          </w:p>
          <w:p w14:paraId="61BA6154" w14:textId="77777777" w:rsidR="00BF7528" w:rsidRPr="00D159D0" w:rsidRDefault="00BF7528" w:rsidP="004976F9">
            <w:pPr>
              <w:shd w:val="clear" w:color="auto" w:fill="FFFFFF"/>
              <w:ind w:firstLine="493"/>
              <w:jc w:val="both"/>
              <w:outlineLvl w:val="2"/>
              <w:rPr>
                <w:lang w:val="uk-UA" w:eastAsia="uk-UA"/>
              </w:rPr>
            </w:pPr>
          </w:p>
          <w:p w14:paraId="4634CFD2" w14:textId="77777777" w:rsidR="00BF7528" w:rsidRPr="00D159D0" w:rsidRDefault="00BF7528" w:rsidP="004976F9">
            <w:pPr>
              <w:shd w:val="clear" w:color="auto" w:fill="FFFFFF"/>
              <w:ind w:firstLine="493"/>
              <w:jc w:val="both"/>
              <w:outlineLvl w:val="2"/>
              <w:rPr>
                <w:lang w:val="uk-UA" w:eastAsia="uk-UA"/>
              </w:rPr>
            </w:pPr>
          </w:p>
          <w:p w14:paraId="7315923D" w14:textId="77777777" w:rsidR="00BF7528" w:rsidRPr="00D159D0" w:rsidRDefault="00BF7528" w:rsidP="004976F9">
            <w:pPr>
              <w:shd w:val="clear" w:color="auto" w:fill="FFFFFF"/>
              <w:ind w:firstLine="493"/>
              <w:jc w:val="both"/>
              <w:outlineLvl w:val="2"/>
              <w:rPr>
                <w:lang w:val="uk-UA" w:eastAsia="uk-UA"/>
              </w:rPr>
            </w:pPr>
          </w:p>
          <w:p w14:paraId="1D981E08" w14:textId="77777777" w:rsidR="00BF7528" w:rsidRPr="00D159D0" w:rsidRDefault="00BF7528" w:rsidP="004976F9">
            <w:pPr>
              <w:shd w:val="clear" w:color="auto" w:fill="FFFFFF"/>
              <w:ind w:firstLine="493"/>
              <w:jc w:val="both"/>
              <w:outlineLvl w:val="2"/>
              <w:rPr>
                <w:lang w:val="uk-UA" w:eastAsia="uk-UA"/>
              </w:rPr>
            </w:pPr>
          </w:p>
          <w:p w14:paraId="6FC4D3B9" w14:textId="77777777" w:rsidR="00BF7528" w:rsidRPr="00D159D0" w:rsidRDefault="00BF7528" w:rsidP="004976F9">
            <w:pPr>
              <w:shd w:val="clear" w:color="auto" w:fill="FFFFFF"/>
              <w:ind w:firstLine="493"/>
              <w:jc w:val="both"/>
              <w:outlineLvl w:val="2"/>
              <w:rPr>
                <w:lang w:val="uk-UA" w:eastAsia="uk-UA"/>
              </w:rPr>
            </w:pPr>
          </w:p>
          <w:p w14:paraId="6CFB5099" w14:textId="77777777" w:rsidR="00BF7528" w:rsidRPr="00D159D0" w:rsidRDefault="00BF7528" w:rsidP="004976F9">
            <w:pPr>
              <w:shd w:val="clear" w:color="auto" w:fill="FFFFFF"/>
              <w:ind w:firstLine="493"/>
              <w:jc w:val="both"/>
              <w:outlineLvl w:val="2"/>
              <w:rPr>
                <w:lang w:val="uk-UA" w:eastAsia="uk-UA"/>
              </w:rPr>
            </w:pPr>
          </w:p>
          <w:p w14:paraId="004FE91C" w14:textId="77777777" w:rsidR="00BF7528" w:rsidRPr="00D159D0" w:rsidRDefault="00BF7528" w:rsidP="004976F9">
            <w:pPr>
              <w:shd w:val="clear" w:color="auto" w:fill="FFFFFF"/>
              <w:ind w:firstLine="493"/>
              <w:jc w:val="both"/>
              <w:outlineLvl w:val="2"/>
              <w:rPr>
                <w:lang w:val="uk-UA" w:eastAsia="uk-UA"/>
              </w:rPr>
            </w:pPr>
          </w:p>
          <w:p w14:paraId="14AE7D77" w14:textId="77777777" w:rsidR="00BF7528" w:rsidRPr="00D159D0" w:rsidRDefault="00BF7528" w:rsidP="004976F9">
            <w:pPr>
              <w:shd w:val="clear" w:color="auto" w:fill="FFFFFF"/>
              <w:ind w:firstLine="493"/>
              <w:jc w:val="both"/>
              <w:outlineLvl w:val="2"/>
              <w:rPr>
                <w:lang w:val="uk-UA" w:eastAsia="uk-UA"/>
              </w:rPr>
            </w:pPr>
          </w:p>
          <w:p w14:paraId="050FEABE" w14:textId="77777777" w:rsidR="00BF7528" w:rsidRPr="00D159D0" w:rsidRDefault="00BF7528" w:rsidP="004976F9">
            <w:pPr>
              <w:shd w:val="clear" w:color="auto" w:fill="FFFFFF"/>
              <w:ind w:firstLine="493"/>
              <w:jc w:val="both"/>
              <w:outlineLvl w:val="2"/>
              <w:rPr>
                <w:lang w:val="uk-UA" w:eastAsia="uk-UA"/>
              </w:rPr>
            </w:pPr>
          </w:p>
          <w:p w14:paraId="4EAD38D2" w14:textId="77777777" w:rsidR="00BF7528" w:rsidRPr="00D159D0" w:rsidRDefault="00BF7528" w:rsidP="004976F9">
            <w:pPr>
              <w:shd w:val="clear" w:color="auto" w:fill="FFFFFF"/>
              <w:ind w:firstLine="493"/>
              <w:jc w:val="both"/>
              <w:outlineLvl w:val="2"/>
              <w:rPr>
                <w:lang w:val="uk-UA" w:eastAsia="uk-UA"/>
              </w:rPr>
            </w:pPr>
          </w:p>
          <w:p w14:paraId="6669AC5B" w14:textId="77777777" w:rsidR="00BF7528" w:rsidRPr="00D159D0" w:rsidRDefault="00BF7528" w:rsidP="004976F9">
            <w:pPr>
              <w:shd w:val="clear" w:color="auto" w:fill="FFFFFF"/>
              <w:ind w:firstLine="493"/>
              <w:jc w:val="both"/>
              <w:outlineLvl w:val="2"/>
              <w:rPr>
                <w:lang w:val="uk-UA" w:eastAsia="uk-UA"/>
              </w:rPr>
            </w:pPr>
          </w:p>
          <w:p w14:paraId="7F0609D4" w14:textId="77777777" w:rsidR="00BF7528" w:rsidRPr="00D159D0" w:rsidRDefault="00BF7528" w:rsidP="004976F9">
            <w:pPr>
              <w:shd w:val="clear" w:color="auto" w:fill="FFFFFF"/>
              <w:ind w:firstLine="493"/>
              <w:jc w:val="both"/>
              <w:outlineLvl w:val="2"/>
              <w:rPr>
                <w:lang w:val="uk-UA" w:eastAsia="uk-UA"/>
              </w:rPr>
            </w:pPr>
          </w:p>
          <w:p w14:paraId="25B40400" w14:textId="77777777" w:rsidR="00BF7528" w:rsidRPr="00D159D0" w:rsidRDefault="00BF7528" w:rsidP="004976F9">
            <w:pPr>
              <w:shd w:val="clear" w:color="auto" w:fill="FFFFFF"/>
              <w:ind w:firstLine="493"/>
              <w:jc w:val="both"/>
              <w:outlineLvl w:val="2"/>
              <w:rPr>
                <w:lang w:val="uk-UA" w:eastAsia="uk-UA"/>
              </w:rPr>
            </w:pPr>
          </w:p>
          <w:p w14:paraId="060A42C1" w14:textId="77777777" w:rsidR="00BF7528" w:rsidRPr="00D159D0" w:rsidRDefault="00BF7528" w:rsidP="004976F9">
            <w:pPr>
              <w:shd w:val="clear" w:color="auto" w:fill="FFFFFF"/>
              <w:ind w:firstLine="493"/>
              <w:jc w:val="both"/>
              <w:outlineLvl w:val="2"/>
              <w:rPr>
                <w:lang w:val="uk-UA" w:eastAsia="uk-UA"/>
              </w:rPr>
            </w:pPr>
          </w:p>
          <w:p w14:paraId="52AF95EB" w14:textId="77777777" w:rsidR="00EE26FC" w:rsidRPr="00D159D0" w:rsidRDefault="00EE26FC" w:rsidP="004976F9">
            <w:pPr>
              <w:shd w:val="clear" w:color="auto" w:fill="FFFFFF"/>
              <w:ind w:firstLine="493"/>
              <w:jc w:val="both"/>
              <w:outlineLvl w:val="2"/>
              <w:rPr>
                <w:lang w:val="uk-UA" w:eastAsia="uk-UA"/>
              </w:rPr>
            </w:pPr>
          </w:p>
          <w:p w14:paraId="35172DDE" w14:textId="77777777" w:rsidR="00EE26FC" w:rsidRPr="00D159D0" w:rsidRDefault="00EE26FC" w:rsidP="004976F9">
            <w:pPr>
              <w:shd w:val="clear" w:color="auto" w:fill="FFFFFF"/>
              <w:ind w:firstLine="493"/>
              <w:jc w:val="both"/>
              <w:outlineLvl w:val="2"/>
              <w:rPr>
                <w:lang w:val="uk-UA" w:eastAsia="uk-UA"/>
              </w:rPr>
            </w:pPr>
          </w:p>
          <w:p w14:paraId="55475ACA" w14:textId="77777777" w:rsidR="00EE26FC" w:rsidRPr="00D159D0" w:rsidRDefault="00EE26FC" w:rsidP="004976F9">
            <w:pPr>
              <w:shd w:val="clear" w:color="auto" w:fill="FFFFFF"/>
              <w:ind w:firstLine="493"/>
              <w:jc w:val="both"/>
              <w:outlineLvl w:val="2"/>
              <w:rPr>
                <w:lang w:val="uk-UA" w:eastAsia="uk-UA"/>
              </w:rPr>
            </w:pPr>
          </w:p>
          <w:p w14:paraId="2D72D99E" w14:textId="77777777" w:rsidR="00EE26FC" w:rsidRPr="00D159D0" w:rsidRDefault="00EE26FC" w:rsidP="004976F9">
            <w:pPr>
              <w:shd w:val="clear" w:color="auto" w:fill="FFFFFF"/>
              <w:ind w:firstLine="493"/>
              <w:jc w:val="both"/>
              <w:outlineLvl w:val="2"/>
              <w:rPr>
                <w:lang w:val="uk-UA" w:eastAsia="uk-UA"/>
              </w:rPr>
            </w:pPr>
          </w:p>
          <w:p w14:paraId="2A133AE5" w14:textId="77777777" w:rsidR="00EE26FC" w:rsidRPr="00D159D0" w:rsidRDefault="00EE26FC" w:rsidP="004976F9">
            <w:pPr>
              <w:shd w:val="clear" w:color="auto" w:fill="FFFFFF"/>
              <w:ind w:firstLine="493"/>
              <w:jc w:val="both"/>
              <w:outlineLvl w:val="2"/>
              <w:rPr>
                <w:lang w:val="uk-UA" w:eastAsia="uk-UA"/>
              </w:rPr>
            </w:pPr>
          </w:p>
          <w:p w14:paraId="3EC73B62" w14:textId="77777777" w:rsidR="00EE26FC" w:rsidRPr="00D159D0" w:rsidRDefault="00EE26FC" w:rsidP="004976F9">
            <w:pPr>
              <w:shd w:val="clear" w:color="auto" w:fill="FFFFFF"/>
              <w:ind w:firstLine="493"/>
              <w:jc w:val="both"/>
              <w:outlineLvl w:val="2"/>
              <w:rPr>
                <w:lang w:val="uk-UA" w:eastAsia="uk-UA"/>
              </w:rPr>
            </w:pPr>
          </w:p>
          <w:p w14:paraId="7C3DF06B" w14:textId="77777777" w:rsidR="00EE26FC" w:rsidRPr="00D159D0" w:rsidRDefault="00EE26FC" w:rsidP="004976F9">
            <w:pPr>
              <w:shd w:val="clear" w:color="auto" w:fill="FFFFFF"/>
              <w:ind w:firstLine="493"/>
              <w:jc w:val="both"/>
              <w:outlineLvl w:val="2"/>
              <w:rPr>
                <w:lang w:val="uk-UA" w:eastAsia="uk-UA"/>
              </w:rPr>
            </w:pPr>
          </w:p>
          <w:p w14:paraId="6F3D468F" w14:textId="77777777" w:rsidR="00EE26FC" w:rsidRPr="00D159D0" w:rsidRDefault="00EE26FC" w:rsidP="004976F9">
            <w:pPr>
              <w:shd w:val="clear" w:color="auto" w:fill="FFFFFF"/>
              <w:ind w:firstLine="493"/>
              <w:jc w:val="both"/>
              <w:outlineLvl w:val="2"/>
              <w:rPr>
                <w:lang w:val="uk-UA" w:eastAsia="uk-UA"/>
              </w:rPr>
            </w:pPr>
          </w:p>
          <w:p w14:paraId="1CC8C85F" w14:textId="77777777" w:rsidR="00EE26FC" w:rsidRPr="00D159D0" w:rsidRDefault="00EE26FC" w:rsidP="004976F9">
            <w:pPr>
              <w:shd w:val="clear" w:color="auto" w:fill="FFFFFF"/>
              <w:ind w:firstLine="493"/>
              <w:jc w:val="both"/>
              <w:outlineLvl w:val="2"/>
              <w:rPr>
                <w:lang w:val="uk-UA" w:eastAsia="uk-UA"/>
              </w:rPr>
            </w:pPr>
          </w:p>
          <w:p w14:paraId="5DBBB80E" w14:textId="77777777" w:rsidR="00EE26FC" w:rsidRPr="00D159D0" w:rsidRDefault="00EE26FC" w:rsidP="004976F9">
            <w:pPr>
              <w:shd w:val="clear" w:color="auto" w:fill="FFFFFF"/>
              <w:ind w:firstLine="493"/>
              <w:jc w:val="both"/>
              <w:outlineLvl w:val="2"/>
              <w:rPr>
                <w:lang w:val="uk-UA" w:eastAsia="uk-UA"/>
              </w:rPr>
            </w:pPr>
          </w:p>
          <w:p w14:paraId="0590DF3C" w14:textId="77777777" w:rsidR="00EE26FC" w:rsidRPr="00D159D0" w:rsidRDefault="00EE26FC" w:rsidP="004976F9">
            <w:pPr>
              <w:shd w:val="clear" w:color="auto" w:fill="FFFFFF"/>
              <w:ind w:firstLine="493"/>
              <w:jc w:val="both"/>
              <w:outlineLvl w:val="2"/>
              <w:rPr>
                <w:lang w:val="uk-UA" w:eastAsia="uk-UA"/>
              </w:rPr>
            </w:pPr>
          </w:p>
          <w:p w14:paraId="21D0B4B9" w14:textId="77777777" w:rsidR="00EE26FC" w:rsidRPr="00D159D0" w:rsidRDefault="00EE26FC" w:rsidP="004976F9">
            <w:pPr>
              <w:shd w:val="clear" w:color="auto" w:fill="FFFFFF"/>
              <w:ind w:firstLine="493"/>
              <w:jc w:val="both"/>
              <w:outlineLvl w:val="2"/>
              <w:rPr>
                <w:lang w:val="uk-UA" w:eastAsia="uk-UA"/>
              </w:rPr>
            </w:pPr>
          </w:p>
          <w:p w14:paraId="5EB1F253" w14:textId="77777777" w:rsidR="00EE26FC" w:rsidRPr="00D159D0" w:rsidRDefault="00EE26FC" w:rsidP="004976F9">
            <w:pPr>
              <w:shd w:val="clear" w:color="auto" w:fill="FFFFFF"/>
              <w:ind w:firstLine="493"/>
              <w:jc w:val="both"/>
              <w:outlineLvl w:val="2"/>
              <w:rPr>
                <w:lang w:val="uk-UA" w:eastAsia="uk-UA"/>
              </w:rPr>
            </w:pPr>
          </w:p>
          <w:p w14:paraId="6BAA412D" w14:textId="77777777" w:rsidR="00EE26FC" w:rsidRPr="00D159D0" w:rsidRDefault="00EE26FC" w:rsidP="004976F9">
            <w:pPr>
              <w:shd w:val="clear" w:color="auto" w:fill="FFFFFF"/>
              <w:ind w:firstLine="493"/>
              <w:jc w:val="both"/>
              <w:outlineLvl w:val="2"/>
              <w:rPr>
                <w:lang w:val="uk-UA" w:eastAsia="uk-UA"/>
              </w:rPr>
            </w:pPr>
          </w:p>
          <w:p w14:paraId="7D93522E" w14:textId="77777777" w:rsidR="00EE26FC" w:rsidRPr="00D159D0" w:rsidRDefault="00EE26FC" w:rsidP="004976F9">
            <w:pPr>
              <w:shd w:val="clear" w:color="auto" w:fill="FFFFFF"/>
              <w:ind w:firstLine="493"/>
              <w:jc w:val="both"/>
              <w:outlineLvl w:val="2"/>
              <w:rPr>
                <w:lang w:val="uk-UA" w:eastAsia="uk-UA"/>
              </w:rPr>
            </w:pPr>
          </w:p>
          <w:p w14:paraId="17C4B236" w14:textId="77777777" w:rsidR="00EE26FC" w:rsidRPr="00D159D0" w:rsidRDefault="00EE26FC" w:rsidP="004976F9">
            <w:pPr>
              <w:shd w:val="clear" w:color="auto" w:fill="FFFFFF"/>
              <w:ind w:firstLine="493"/>
              <w:jc w:val="both"/>
              <w:outlineLvl w:val="2"/>
              <w:rPr>
                <w:lang w:val="uk-UA" w:eastAsia="uk-UA"/>
              </w:rPr>
            </w:pPr>
          </w:p>
          <w:p w14:paraId="6FF59310" w14:textId="77777777" w:rsidR="00EE26FC" w:rsidRPr="00D159D0" w:rsidRDefault="00EE26FC" w:rsidP="004976F9">
            <w:pPr>
              <w:shd w:val="clear" w:color="auto" w:fill="FFFFFF"/>
              <w:ind w:firstLine="493"/>
              <w:jc w:val="both"/>
              <w:outlineLvl w:val="2"/>
              <w:rPr>
                <w:lang w:val="uk-UA" w:eastAsia="uk-UA"/>
              </w:rPr>
            </w:pPr>
          </w:p>
          <w:p w14:paraId="3B17B7A9" w14:textId="77777777" w:rsidR="00EE26FC" w:rsidRPr="00D159D0" w:rsidRDefault="00EE26FC" w:rsidP="004976F9">
            <w:pPr>
              <w:shd w:val="clear" w:color="auto" w:fill="FFFFFF"/>
              <w:ind w:firstLine="493"/>
              <w:jc w:val="both"/>
              <w:outlineLvl w:val="2"/>
              <w:rPr>
                <w:lang w:val="uk-UA" w:eastAsia="uk-UA"/>
              </w:rPr>
            </w:pPr>
          </w:p>
          <w:p w14:paraId="17EDA923" w14:textId="77777777" w:rsidR="00EE26FC" w:rsidRPr="00D159D0" w:rsidRDefault="00EE26FC" w:rsidP="004976F9">
            <w:pPr>
              <w:shd w:val="clear" w:color="auto" w:fill="FFFFFF"/>
              <w:ind w:firstLine="493"/>
              <w:jc w:val="both"/>
              <w:outlineLvl w:val="2"/>
              <w:rPr>
                <w:lang w:val="uk-UA" w:eastAsia="uk-UA"/>
              </w:rPr>
            </w:pPr>
          </w:p>
          <w:p w14:paraId="137E55EB" w14:textId="77777777" w:rsidR="00EE26FC" w:rsidRPr="00D159D0" w:rsidRDefault="00EE26FC" w:rsidP="004976F9">
            <w:pPr>
              <w:shd w:val="clear" w:color="auto" w:fill="FFFFFF"/>
              <w:ind w:firstLine="493"/>
              <w:jc w:val="both"/>
              <w:outlineLvl w:val="2"/>
              <w:rPr>
                <w:lang w:val="uk-UA" w:eastAsia="uk-UA"/>
              </w:rPr>
            </w:pPr>
          </w:p>
          <w:p w14:paraId="70B2E6AB" w14:textId="77777777" w:rsidR="00EE26FC" w:rsidRPr="00D159D0" w:rsidRDefault="00EE26FC" w:rsidP="004976F9">
            <w:pPr>
              <w:shd w:val="clear" w:color="auto" w:fill="FFFFFF"/>
              <w:ind w:firstLine="493"/>
              <w:jc w:val="both"/>
              <w:outlineLvl w:val="2"/>
              <w:rPr>
                <w:lang w:val="uk-UA" w:eastAsia="uk-UA"/>
              </w:rPr>
            </w:pPr>
          </w:p>
          <w:p w14:paraId="1A482735" w14:textId="77777777" w:rsidR="00EE26FC" w:rsidRPr="00D159D0" w:rsidRDefault="00EE26FC" w:rsidP="004976F9">
            <w:pPr>
              <w:shd w:val="clear" w:color="auto" w:fill="FFFFFF"/>
              <w:ind w:firstLine="493"/>
              <w:jc w:val="both"/>
              <w:outlineLvl w:val="2"/>
              <w:rPr>
                <w:lang w:val="uk-UA" w:eastAsia="uk-UA"/>
              </w:rPr>
            </w:pPr>
          </w:p>
          <w:p w14:paraId="5D14E41C" w14:textId="77777777" w:rsidR="00EE26FC" w:rsidRPr="00D159D0" w:rsidRDefault="00EE26FC" w:rsidP="004976F9">
            <w:pPr>
              <w:shd w:val="clear" w:color="auto" w:fill="FFFFFF"/>
              <w:ind w:firstLine="493"/>
              <w:jc w:val="both"/>
              <w:outlineLvl w:val="2"/>
              <w:rPr>
                <w:lang w:val="uk-UA" w:eastAsia="uk-UA"/>
              </w:rPr>
            </w:pPr>
          </w:p>
          <w:p w14:paraId="057FE76F" w14:textId="77777777" w:rsidR="00EE26FC" w:rsidRPr="00D159D0" w:rsidRDefault="00EE26FC" w:rsidP="004976F9">
            <w:pPr>
              <w:shd w:val="clear" w:color="auto" w:fill="FFFFFF"/>
              <w:ind w:firstLine="493"/>
              <w:jc w:val="both"/>
              <w:outlineLvl w:val="2"/>
              <w:rPr>
                <w:lang w:val="uk-UA" w:eastAsia="uk-UA"/>
              </w:rPr>
            </w:pPr>
          </w:p>
          <w:p w14:paraId="16DE37F6" w14:textId="77777777" w:rsidR="00EE26FC" w:rsidRPr="00D159D0" w:rsidRDefault="00EE26FC" w:rsidP="004976F9">
            <w:pPr>
              <w:shd w:val="clear" w:color="auto" w:fill="FFFFFF"/>
              <w:ind w:firstLine="493"/>
              <w:jc w:val="both"/>
              <w:outlineLvl w:val="2"/>
              <w:rPr>
                <w:lang w:val="uk-UA" w:eastAsia="uk-UA"/>
              </w:rPr>
            </w:pPr>
          </w:p>
          <w:p w14:paraId="66159967" w14:textId="77777777" w:rsidR="00EE26FC" w:rsidRPr="00D159D0" w:rsidRDefault="00EE26FC" w:rsidP="004976F9">
            <w:pPr>
              <w:shd w:val="clear" w:color="auto" w:fill="FFFFFF"/>
              <w:ind w:firstLine="493"/>
              <w:jc w:val="both"/>
              <w:outlineLvl w:val="2"/>
              <w:rPr>
                <w:lang w:val="uk-UA" w:eastAsia="uk-UA"/>
              </w:rPr>
            </w:pPr>
          </w:p>
          <w:p w14:paraId="65AAF7BB" w14:textId="77777777" w:rsidR="00EE26FC" w:rsidRPr="00D159D0" w:rsidRDefault="00EE26FC" w:rsidP="004976F9">
            <w:pPr>
              <w:shd w:val="clear" w:color="auto" w:fill="FFFFFF"/>
              <w:ind w:firstLine="493"/>
              <w:jc w:val="both"/>
              <w:outlineLvl w:val="2"/>
              <w:rPr>
                <w:lang w:val="uk-UA" w:eastAsia="uk-UA"/>
              </w:rPr>
            </w:pPr>
          </w:p>
          <w:p w14:paraId="6AEEAFAD" w14:textId="77777777" w:rsidR="00C31D31" w:rsidRPr="00D159D0" w:rsidRDefault="00C31D31" w:rsidP="004976F9">
            <w:pPr>
              <w:shd w:val="clear" w:color="auto" w:fill="FFFFFF"/>
              <w:ind w:firstLine="493"/>
              <w:jc w:val="both"/>
              <w:outlineLvl w:val="2"/>
              <w:rPr>
                <w:lang w:val="uk-UA" w:eastAsia="uk-UA"/>
              </w:rPr>
            </w:pPr>
          </w:p>
          <w:p w14:paraId="61D66B85" w14:textId="77777777" w:rsidR="00C31D31" w:rsidRPr="00D159D0" w:rsidRDefault="00C31D31" w:rsidP="004976F9">
            <w:pPr>
              <w:shd w:val="clear" w:color="auto" w:fill="FFFFFF"/>
              <w:ind w:firstLine="493"/>
              <w:jc w:val="both"/>
              <w:outlineLvl w:val="2"/>
              <w:rPr>
                <w:lang w:val="uk-UA" w:eastAsia="uk-UA"/>
              </w:rPr>
            </w:pPr>
          </w:p>
          <w:p w14:paraId="79E7A7E7" w14:textId="77777777" w:rsidR="00C31D31" w:rsidRPr="00D159D0" w:rsidRDefault="00C31D31" w:rsidP="004976F9">
            <w:pPr>
              <w:shd w:val="clear" w:color="auto" w:fill="FFFFFF"/>
              <w:ind w:firstLine="493"/>
              <w:jc w:val="both"/>
              <w:outlineLvl w:val="2"/>
              <w:rPr>
                <w:lang w:val="uk-UA" w:eastAsia="uk-UA"/>
              </w:rPr>
            </w:pPr>
          </w:p>
          <w:p w14:paraId="472139E9" w14:textId="77777777" w:rsidR="00C31D31" w:rsidRPr="00D159D0" w:rsidRDefault="00C31D31" w:rsidP="004976F9">
            <w:pPr>
              <w:shd w:val="clear" w:color="auto" w:fill="FFFFFF"/>
              <w:ind w:firstLine="493"/>
              <w:jc w:val="both"/>
              <w:outlineLvl w:val="2"/>
              <w:rPr>
                <w:lang w:val="uk-UA" w:eastAsia="uk-UA"/>
              </w:rPr>
            </w:pPr>
          </w:p>
          <w:p w14:paraId="60B7762F" w14:textId="77777777" w:rsidR="00C31D31" w:rsidRPr="00D159D0" w:rsidRDefault="00C31D31" w:rsidP="004976F9">
            <w:pPr>
              <w:shd w:val="clear" w:color="auto" w:fill="FFFFFF"/>
              <w:ind w:firstLine="493"/>
              <w:jc w:val="both"/>
              <w:outlineLvl w:val="2"/>
              <w:rPr>
                <w:lang w:val="uk-UA" w:eastAsia="uk-UA"/>
              </w:rPr>
            </w:pPr>
          </w:p>
          <w:p w14:paraId="793DE168" w14:textId="77777777" w:rsidR="00A50CE6" w:rsidRPr="00D159D0" w:rsidRDefault="00A50CE6" w:rsidP="004976F9">
            <w:pPr>
              <w:shd w:val="clear" w:color="auto" w:fill="FFFFFF"/>
              <w:ind w:firstLine="493"/>
              <w:jc w:val="both"/>
              <w:outlineLvl w:val="2"/>
              <w:rPr>
                <w:lang w:val="uk-UA" w:eastAsia="uk-UA"/>
              </w:rPr>
            </w:pPr>
          </w:p>
          <w:p w14:paraId="55FD480B" w14:textId="77777777" w:rsidR="00A50CE6" w:rsidRPr="00D159D0" w:rsidRDefault="00A50CE6" w:rsidP="004976F9">
            <w:pPr>
              <w:shd w:val="clear" w:color="auto" w:fill="FFFFFF"/>
              <w:ind w:firstLine="493"/>
              <w:jc w:val="both"/>
              <w:outlineLvl w:val="2"/>
              <w:rPr>
                <w:lang w:val="uk-UA" w:eastAsia="uk-UA"/>
              </w:rPr>
            </w:pPr>
          </w:p>
          <w:p w14:paraId="70C1B22C" w14:textId="77777777" w:rsidR="00C31D31" w:rsidRPr="00D159D0" w:rsidRDefault="00C31D31" w:rsidP="004976F9">
            <w:pPr>
              <w:shd w:val="clear" w:color="auto" w:fill="FFFFFF"/>
              <w:ind w:firstLine="493"/>
              <w:jc w:val="both"/>
              <w:outlineLvl w:val="2"/>
              <w:rPr>
                <w:lang w:val="uk-UA" w:eastAsia="uk-UA"/>
              </w:rPr>
            </w:pPr>
          </w:p>
          <w:p w14:paraId="51DD3C91" w14:textId="77777777" w:rsidR="00C31D31" w:rsidRPr="00D159D0" w:rsidRDefault="00C31D31" w:rsidP="004976F9">
            <w:pPr>
              <w:shd w:val="clear" w:color="auto" w:fill="FFFFFF"/>
              <w:ind w:firstLine="493"/>
              <w:jc w:val="both"/>
              <w:outlineLvl w:val="2"/>
              <w:rPr>
                <w:lang w:val="uk-UA" w:eastAsia="uk-UA"/>
              </w:rPr>
            </w:pPr>
          </w:p>
          <w:p w14:paraId="2F6966CF" w14:textId="77777777" w:rsidR="00CE6436" w:rsidRPr="00D159D0" w:rsidRDefault="00CE6436" w:rsidP="004976F9">
            <w:pPr>
              <w:shd w:val="clear" w:color="auto" w:fill="FFFFFF"/>
              <w:ind w:firstLine="493"/>
              <w:jc w:val="both"/>
              <w:outlineLvl w:val="2"/>
              <w:rPr>
                <w:lang w:val="uk-UA" w:eastAsia="uk-UA"/>
              </w:rPr>
            </w:pPr>
          </w:p>
          <w:p w14:paraId="7999EEC2" w14:textId="77777777" w:rsidR="00CE6436" w:rsidRPr="00D159D0" w:rsidRDefault="00CE6436" w:rsidP="004976F9">
            <w:pPr>
              <w:shd w:val="clear" w:color="auto" w:fill="FFFFFF"/>
              <w:ind w:firstLine="493"/>
              <w:jc w:val="both"/>
              <w:outlineLvl w:val="2"/>
              <w:rPr>
                <w:lang w:val="uk-UA" w:eastAsia="uk-UA"/>
              </w:rPr>
            </w:pPr>
          </w:p>
          <w:p w14:paraId="21698755" w14:textId="77777777" w:rsidR="00CE6436" w:rsidRPr="00D159D0" w:rsidRDefault="00CE6436" w:rsidP="004976F9">
            <w:pPr>
              <w:shd w:val="clear" w:color="auto" w:fill="FFFFFF"/>
              <w:ind w:firstLine="493"/>
              <w:jc w:val="both"/>
              <w:outlineLvl w:val="2"/>
              <w:rPr>
                <w:lang w:val="uk-UA" w:eastAsia="uk-UA"/>
              </w:rPr>
            </w:pPr>
          </w:p>
          <w:p w14:paraId="68798F49" w14:textId="77777777" w:rsidR="00CE6436" w:rsidRPr="00D159D0" w:rsidRDefault="00CE6436" w:rsidP="004976F9">
            <w:pPr>
              <w:shd w:val="clear" w:color="auto" w:fill="FFFFFF"/>
              <w:ind w:firstLine="493"/>
              <w:jc w:val="both"/>
              <w:outlineLvl w:val="2"/>
              <w:rPr>
                <w:lang w:val="uk-UA" w:eastAsia="uk-UA"/>
              </w:rPr>
            </w:pPr>
          </w:p>
          <w:p w14:paraId="48C4BB12" w14:textId="77777777" w:rsidR="00AF73E9" w:rsidRPr="00D159D0" w:rsidRDefault="00AF73E9" w:rsidP="004976F9">
            <w:pPr>
              <w:shd w:val="clear" w:color="auto" w:fill="FFFFFF"/>
              <w:ind w:firstLine="493"/>
              <w:jc w:val="both"/>
              <w:outlineLvl w:val="2"/>
              <w:rPr>
                <w:lang w:val="uk-UA" w:eastAsia="uk-UA"/>
              </w:rPr>
            </w:pPr>
          </w:p>
          <w:p w14:paraId="242EA87D" w14:textId="77777777" w:rsidR="00AF73E9" w:rsidRPr="00D159D0" w:rsidRDefault="00AF73E9" w:rsidP="004976F9">
            <w:pPr>
              <w:shd w:val="clear" w:color="auto" w:fill="FFFFFF"/>
              <w:ind w:firstLine="493"/>
              <w:jc w:val="both"/>
              <w:outlineLvl w:val="2"/>
              <w:rPr>
                <w:lang w:val="uk-UA" w:eastAsia="uk-UA"/>
              </w:rPr>
            </w:pPr>
          </w:p>
          <w:p w14:paraId="573ADEB9" w14:textId="77777777" w:rsidR="00AF73E9" w:rsidRPr="00D159D0" w:rsidRDefault="00AF73E9" w:rsidP="004976F9">
            <w:pPr>
              <w:shd w:val="clear" w:color="auto" w:fill="FFFFFF"/>
              <w:ind w:firstLine="493"/>
              <w:jc w:val="both"/>
              <w:outlineLvl w:val="2"/>
              <w:rPr>
                <w:lang w:val="uk-UA" w:eastAsia="uk-UA"/>
              </w:rPr>
            </w:pPr>
          </w:p>
          <w:p w14:paraId="175149C7" w14:textId="77777777" w:rsidR="00AF73E9" w:rsidRPr="00D159D0" w:rsidRDefault="00AF73E9" w:rsidP="004976F9">
            <w:pPr>
              <w:shd w:val="clear" w:color="auto" w:fill="FFFFFF"/>
              <w:ind w:firstLine="493"/>
              <w:jc w:val="both"/>
              <w:outlineLvl w:val="2"/>
              <w:rPr>
                <w:lang w:val="uk-UA" w:eastAsia="uk-UA"/>
              </w:rPr>
            </w:pPr>
          </w:p>
          <w:p w14:paraId="1A7AC155" w14:textId="77777777" w:rsidR="00CE6436" w:rsidRPr="00D159D0" w:rsidRDefault="00CE6436" w:rsidP="004976F9">
            <w:pPr>
              <w:shd w:val="clear" w:color="auto" w:fill="FFFFFF"/>
              <w:ind w:firstLine="493"/>
              <w:jc w:val="both"/>
              <w:outlineLvl w:val="2"/>
              <w:rPr>
                <w:lang w:val="uk-UA" w:eastAsia="uk-UA"/>
              </w:rPr>
            </w:pPr>
          </w:p>
          <w:p w14:paraId="20557031" w14:textId="77777777" w:rsidR="00CD1A1C" w:rsidRPr="00D159D0" w:rsidRDefault="00CD1A1C" w:rsidP="004976F9">
            <w:pPr>
              <w:shd w:val="clear" w:color="auto" w:fill="FFFFFF"/>
              <w:ind w:firstLine="493"/>
              <w:jc w:val="both"/>
              <w:outlineLvl w:val="2"/>
              <w:rPr>
                <w:lang w:val="uk-UA" w:eastAsia="uk-UA"/>
              </w:rPr>
            </w:pPr>
          </w:p>
          <w:p w14:paraId="71DA838F" w14:textId="77777777" w:rsidR="00CD1A1C" w:rsidRPr="00D159D0" w:rsidRDefault="00CD1A1C" w:rsidP="004976F9">
            <w:pPr>
              <w:shd w:val="clear" w:color="auto" w:fill="FFFFFF"/>
              <w:ind w:firstLine="493"/>
              <w:jc w:val="both"/>
              <w:outlineLvl w:val="2"/>
              <w:rPr>
                <w:lang w:val="uk-UA" w:eastAsia="uk-UA"/>
              </w:rPr>
            </w:pPr>
          </w:p>
          <w:p w14:paraId="02CC8D69" w14:textId="77777777" w:rsidR="00CD1A1C" w:rsidRPr="00D159D0" w:rsidRDefault="00CD1A1C" w:rsidP="004976F9">
            <w:pPr>
              <w:shd w:val="clear" w:color="auto" w:fill="FFFFFF"/>
              <w:ind w:firstLine="493"/>
              <w:jc w:val="both"/>
              <w:outlineLvl w:val="2"/>
              <w:rPr>
                <w:lang w:val="uk-UA" w:eastAsia="uk-UA"/>
              </w:rPr>
            </w:pPr>
          </w:p>
          <w:p w14:paraId="16984E16" w14:textId="77777777" w:rsidR="00CD1A1C" w:rsidRPr="00D159D0" w:rsidRDefault="00CD1A1C" w:rsidP="00CD1A1C">
            <w:pPr>
              <w:shd w:val="clear" w:color="auto" w:fill="FFFFFF"/>
              <w:jc w:val="both"/>
              <w:outlineLvl w:val="2"/>
              <w:rPr>
                <w:lang w:val="uk-UA" w:eastAsia="uk-UA"/>
              </w:rPr>
            </w:pPr>
          </w:p>
          <w:p w14:paraId="31ABA5FD" w14:textId="77777777" w:rsidR="00CD1A1C" w:rsidRPr="00D159D0" w:rsidRDefault="00CD1A1C" w:rsidP="00CD1A1C">
            <w:pPr>
              <w:shd w:val="clear" w:color="auto" w:fill="FFFFFF"/>
              <w:jc w:val="both"/>
              <w:outlineLvl w:val="2"/>
              <w:rPr>
                <w:lang w:val="uk-UA" w:eastAsia="uk-UA"/>
              </w:rPr>
            </w:pPr>
          </w:p>
          <w:p w14:paraId="59CE73A9" w14:textId="77777777" w:rsidR="00CD1A1C" w:rsidRPr="00D159D0" w:rsidRDefault="00CD1A1C" w:rsidP="00CD1A1C">
            <w:pPr>
              <w:shd w:val="clear" w:color="auto" w:fill="FFFFFF"/>
              <w:jc w:val="both"/>
              <w:outlineLvl w:val="2"/>
              <w:rPr>
                <w:lang w:val="uk-UA" w:eastAsia="uk-UA"/>
              </w:rPr>
            </w:pPr>
          </w:p>
          <w:p w14:paraId="60C08F84" w14:textId="77777777" w:rsidR="00CD1A1C" w:rsidRPr="00D159D0" w:rsidRDefault="00CD1A1C" w:rsidP="00CD1A1C">
            <w:pPr>
              <w:shd w:val="clear" w:color="auto" w:fill="FFFFFF"/>
              <w:jc w:val="both"/>
              <w:outlineLvl w:val="2"/>
              <w:rPr>
                <w:lang w:val="uk-UA" w:eastAsia="uk-UA"/>
              </w:rPr>
            </w:pPr>
          </w:p>
          <w:p w14:paraId="2066F925" w14:textId="77777777" w:rsidR="00CD1A1C" w:rsidRPr="00D159D0" w:rsidRDefault="00CD1A1C" w:rsidP="00CD1A1C">
            <w:pPr>
              <w:shd w:val="clear" w:color="auto" w:fill="FFFFFF"/>
              <w:jc w:val="both"/>
              <w:outlineLvl w:val="2"/>
              <w:rPr>
                <w:lang w:val="uk-UA" w:eastAsia="uk-UA"/>
              </w:rPr>
            </w:pPr>
          </w:p>
          <w:p w14:paraId="26381251" w14:textId="77777777" w:rsidR="009A0837" w:rsidRPr="00D159D0" w:rsidRDefault="009A0837" w:rsidP="004976F9">
            <w:pPr>
              <w:shd w:val="clear" w:color="auto" w:fill="FFFFFF"/>
              <w:ind w:firstLine="493"/>
              <w:jc w:val="both"/>
              <w:outlineLvl w:val="2"/>
              <w:rPr>
                <w:lang w:val="uk-UA" w:eastAsia="uk-UA"/>
              </w:rPr>
            </w:pPr>
          </w:p>
          <w:p w14:paraId="5023694B" w14:textId="77777777" w:rsidR="009A0837" w:rsidRPr="00D159D0" w:rsidRDefault="009A0837" w:rsidP="004976F9">
            <w:pPr>
              <w:shd w:val="clear" w:color="auto" w:fill="FFFFFF"/>
              <w:ind w:firstLine="493"/>
              <w:jc w:val="both"/>
              <w:outlineLvl w:val="2"/>
              <w:rPr>
                <w:lang w:val="uk-UA" w:eastAsia="uk-UA"/>
              </w:rPr>
            </w:pPr>
          </w:p>
          <w:p w14:paraId="67F4758F" w14:textId="77777777" w:rsidR="00CA72C6" w:rsidRPr="00D159D0" w:rsidRDefault="00CA72C6" w:rsidP="004976F9">
            <w:pPr>
              <w:shd w:val="clear" w:color="auto" w:fill="FFFFFF"/>
              <w:ind w:firstLine="477"/>
              <w:jc w:val="both"/>
              <w:outlineLvl w:val="2"/>
              <w:rPr>
                <w:lang w:val="uk-UA" w:eastAsia="uk-UA"/>
              </w:rPr>
            </w:pPr>
            <w:r w:rsidRPr="00D159D0">
              <w:rPr>
                <w:noProof/>
                <w:shd w:val="clear" w:color="auto" w:fill="FFFFFF"/>
                <w:lang w:val="uk-UA"/>
              </w:rPr>
              <w:drawing>
                <wp:inline distT="0" distB="0" distL="0" distR="0" wp14:anchorId="49720F25" wp14:editId="37BBDAFB">
                  <wp:extent cx="357505" cy="182880"/>
                  <wp:effectExtent l="0" t="0" r="4445" b="7620"/>
                  <wp:docPr id="3" name="Рисунок 3" descr="https://ips.ligazakon.net/l_flib1.nsf/LookupFiles/GK40721_IMG_264.GIF/$file/GK40721_IMG_264.GIF">
                    <a:hlinkClick xmlns:a="http://schemas.openxmlformats.org/drawingml/2006/main" r:id="rId10"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s://ips.ligazakon.net/l_flib1.nsf/LookupFiles/GK40721_IMG_264.GIF/$file/GK40721_IMG_264.GIF">
                            <a:hlinkClick r:id="rId10"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57505" cy="182880"/>
                          </a:xfrm>
                          <a:prstGeom prst="rect">
                            <a:avLst/>
                          </a:prstGeom>
                          <a:noFill/>
                          <a:ln>
                            <a:noFill/>
                          </a:ln>
                        </pic:spPr>
                      </pic:pic>
                    </a:graphicData>
                  </a:graphic>
                </wp:inline>
              </w:drawing>
            </w:r>
            <w:r w:rsidRPr="00D159D0">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на 2024 </w:t>
            </w:r>
            <w:r w:rsidRPr="00D159D0">
              <w:rPr>
                <w:b/>
                <w:lang w:val="uk-UA" w:eastAsia="uk-UA"/>
              </w:rPr>
              <w:t>та 2025 роки</w:t>
            </w:r>
            <w:r w:rsidRPr="00D159D0">
              <w:rPr>
                <w:lang w:val="uk-UA" w:eastAsia="uk-UA"/>
              </w:rPr>
              <w:t xml:space="preserve"> амортизація у році t-1 на активи, віднесені до категорії 1, які створені після переходу на стимулююче регулювання, фіксується на рівні, врахованому в тарифах </w:t>
            </w:r>
            <w:r w:rsidRPr="00D159D0">
              <w:rPr>
                <w:b/>
                <w:lang w:val="uk-UA" w:eastAsia="uk-UA"/>
              </w:rPr>
              <w:t>2023 року</w:t>
            </w:r>
            <w:r w:rsidRPr="00D159D0">
              <w:rPr>
                <w:lang w:val="uk-UA" w:eastAsia="uk-UA"/>
              </w:rPr>
              <w:t>), тис. грн;</w:t>
            </w:r>
          </w:p>
          <w:p w14:paraId="284EDE25" w14:textId="77777777" w:rsidR="00CA72C6" w:rsidRPr="00D159D0" w:rsidRDefault="00CA72C6" w:rsidP="004976F9">
            <w:pPr>
              <w:shd w:val="clear" w:color="auto" w:fill="FFFFFF"/>
              <w:ind w:firstLine="477"/>
              <w:jc w:val="both"/>
              <w:outlineLvl w:val="2"/>
              <w:rPr>
                <w:b/>
                <w:bCs/>
                <w:lang w:val="uk-UA" w:eastAsia="uk-UA"/>
              </w:rPr>
            </w:pPr>
          </w:p>
          <w:p w14:paraId="74ACFA32" w14:textId="77777777" w:rsidR="00CA72C6" w:rsidRPr="00D159D0" w:rsidRDefault="00F84FFC" w:rsidP="004976F9">
            <w:pPr>
              <w:shd w:val="clear" w:color="auto" w:fill="FFFFFF"/>
              <w:ind w:firstLine="489"/>
              <w:jc w:val="both"/>
              <w:outlineLvl w:val="2"/>
              <w:rPr>
                <w:lang w:val="uk-UA" w:eastAsia="uk-UA"/>
              </w:rPr>
            </w:pPr>
            <w:hyperlink r:id="rId12" w:tgtFrame="_blank" w:history="1">
              <w:r w:rsidR="00CA72C6" w:rsidRPr="00D159D0">
                <w:rPr>
                  <w:noProof/>
                  <w:lang w:val="uk-UA" w:eastAsia="uk-UA"/>
                </w:rPr>
                <w:drawing>
                  <wp:inline distT="0" distB="0" distL="0" distR="0" wp14:anchorId="3CCC8F2C" wp14:editId="0E9D6979">
                    <wp:extent cx="438150" cy="184150"/>
                    <wp:effectExtent l="0" t="0" r="0" b="6350"/>
                    <wp:docPr id="18" name="Рисунок 18"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descr="https://ips.ligazakon.net/l_flib1.nsf/LookupFiles/GK40721_IMG_265.GIF/$file/GK40721_IMG_26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hyperlink>
            <w:r w:rsidR="00CA72C6" w:rsidRPr="00D159D0">
              <w:rPr>
                <w:lang w:val="uk-UA" w:eastAsia="uk-UA"/>
              </w:rPr>
              <w:t xml:space="preserve"> (крім ліцензіатів, перелік яких наведено в додатку 30 до цього Порядку, для яких на 2024 </w:t>
            </w:r>
            <w:r w:rsidR="00CA72C6" w:rsidRPr="00D159D0">
              <w:rPr>
                <w:b/>
                <w:lang w:val="uk-UA" w:eastAsia="uk-UA"/>
              </w:rPr>
              <w:t>та 2025 роки</w:t>
            </w:r>
            <w:r w:rsidR="00CA72C6" w:rsidRPr="00D159D0">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r:id="rId14" w:tgtFrame="_blank" w:history="1">
              <w:r w:rsidR="00CA72C6" w:rsidRPr="00D159D0">
                <w:rPr>
                  <w:lang w:val="uk-UA" w:eastAsia="uk-UA"/>
                </w:rPr>
                <w:t>, тис. грн;</w:t>
              </w:r>
            </w:hyperlink>
          </w:p>
          <w:p w14:paraId="2B073851" w14:textId="77777777" w:rsidR="00CA72C6" w:rsidRPr="00D159D0" w:rsidRDefault="00CA72C6" w:rsidP="004976F9">
            <w:pPr>
              <w:shd w:val="clear" w:color="auto" w:fill="FFFFFF"/>
              <w:ind w:firstLine="489"/>
              <w:jc w:val="both"/>
              <w:outlineLvl w:val="2"/>
              <w:rPr>
                <w:b/>
                <w:bCs/>
                <w:lang w:val="uk-UA" w:eastAsia="uk-UA"/>
              </w:rPr>
            </w:pPr>
          </w:p>
          <w:p w14:paraId="4F08417C" w14:textId="77777777" w:rsidR="00CA72C6" w:rsidRPr="00D159D0" w:rsidRDefault="00F84FFC" w:rsidP="004976F9">
            <w:pPr>
              <w:shd w:val="clear" w:color="auto" w:fill="FFFFFF"/>
              <w:ind w:firstLine="489"/>
              <w:jc w:val="both"/>
              <w:outlineLvl w:val="2"/>
              <w:rPr>
                <w:lang w:val="uk-UA" w:eastAsia="uk-UA"/>
              </w:rPr>
            </w:pPr>
            <w:hyperlink r:id="rId15" w:tgtFrame="_blank" w:history="1">
              <w:r w:rsidR="00CA72C6" w:rsidRPr="00D159D0">
                <w:rPr>
                  <w:noProof/>
                  <w:lang w:val="uk-UA" w:eastAsia="uk-UA"/>
                </w:rPr>
                <w:drawing>
                  <wp:inline distT="0" distB="0" distL="0" distR="0" wp14:anchorId="47E3FC4E" wp14:editId="105322C4">
                    <wp:extent cx="438150" cy="184150"/>
                    <wp:effectExtent l="0" t="0" r="0" b="6350"/>
                    <wp:docPr id="19" name="Рисунок 19" descr="https://ips.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https://ips.ligazakon.net/l_flib1.nsf/LookupFiles/GK40721_IMG_266.GIF/$file/GK40721_IMG_26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 амортизація у році t-1 на активи, віднесені до категорії 3, які отримані після переходу до стимулюючого регулювання, що розраховується поквартально згідно з додатком 11 до цього Порядку</w:t>
              </w:r>
            </w:hyperlink>
            <w:r w:rsidR="00CA72C6" w:rsidRPr="00D159D0">
              <w:rPr>
                <w:lang w:val="uk-UA" w:eastAsia="uk-UA"/>
              </w:rPr>
              <w:t> (крім ліцензіатів, перелік яких наведено в додатку 30 до цього Порядку, для яких на 2024</w:t>
            </w:r>
            <w:r w:rsidR="00CA72C6" w:rsidRPr="00D159D0">
              <w:rPr>
                <w:b/>
                <w:lang w:val="uk-UA" w:eastAsia="uk-UA"/>
              </w:rPr>
              <w:t xml:space="preserve"> та 2025 роки</w:t>
            </w:r>
            <w:r w:rsidR="00CA72C6" w:rsidRPr="00D159D0">
              <w:rPr>
                <w:lang w:val="uk-UA" w:eastAsia="uk-UA"/>
              </w:rPr>
              <w:t xml:space="preserve"> амортизація у році t-1 на активи, віднесені до категорії 3,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r:id="rId17" w:tgtFrame="_blank" w:history="1">
              <w:r w:rsidR="00CA72C6" w:rsidRPr="00D159D0">
                <w:rPr>
                  <w:lang w:val="uk-UA" w:eastAsia="uk-UA"/>
                </w:rPr>
                <w:t>, тис. грн;</w:t>
              </w:r>
            </w:hyperlink>
          </w:p>
          <w:p w14:paraId="0AC50585" w14:textId="77777777" w:rsidR="00CA72C6" w:rsidRPr="00D159D0" w:rsidRDefault="00CA72C6" w:rsidP="004976F9">
            <w:pPr>
              <w:shd w:val="clear" w:color="auto" w:fill="FFFFFF"/>
              <w:ind w:firstLine="489"/>
              <w:jc w:val="both"/>
              <w:outlineLvl w:val="2"/>
              <w:rPr>
                <w:b/>
                <w:bCs/>
                <w:lang w:val="uk-UA" w:eastAsia="uk-UA"/>
              </w:rPr>
            </w:pPr>
          </w:p>
          <w:p w14:paraId="43718021" w14:textId="77777777" w:rsidR="00CA72C6" w:rsidRPr="00D159D0" w:rsidRDefault="00F84FFC" w:rsidP="004976F9">
            <w:pPr>
              <w:shd w:val="clear" w:color="auto" w:fill="FFFFFF"/>
              <w:ind w:firstLine="489"/>
              <w:jc w:val="both"/>
              <w:outlineLvl w:val="2"/>
              <w:rPr>
                <w:lang w:val="uk-UA" w:eastAsia="uk-UA"/>
              </w:rPr>
            </w:pPr>
            <w:hyperlink r:id="rId18" w:tgtFrame="_blank" w:history="1">
              <w:r w:rsidR="00CA72C6" w:rsidRPr="00D159D0">
                <w:rPr>
                  <w:noProof/>
                  <w:lang w:val="uk-UA" w:eastAsia="uk-UA"/>
                </w:rPr>
                <w:drawing>
                  <wp:inline distT="0" distB="0" distL="0" distR="0" wp14:anchorId="6069784B" wp14:editId="4938ACD6">
                    <wp:extent cx="438150" cy="184150"/>
                    <wp:effectExtent l="0" t="0" r="0" b="6350"/>
                    <wp:docPr id="20" name="Рисунок 20" descr="https://ips.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https://ips.ligazakon.net/l_flib1.nsf/LookupFiles/GK40721_IMG_267.GIF/$file/GK40721_IMG_26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 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hyperlink>
            <w:r w:rsidR="00CA72C6" w:rsidRPr="00D159D0">
              <w:rPr>
                <w:lang w:val="uk-UA" w:eastAsia="uk-UA"/>
              </w:rPr>
              <w:t> </w:t>
            </w:r>
            <w:hyperlink r:id="rId20" w:tgtFrame="_blank" w:history="1">
              <w:r w:rsidR="00CA72C6" w:rsidRPr="00D159D0">
                <w:rPr>
                  <w:lang w:val="uk-UA" w:eastAsia="uk-UA"/>
                </w:rPr>
                <w:t xml:space="preserve">(крім ліцензіатів, перелік яких наведено в додатку 30 до цього Порядку, для яких на 2024 </w:t>
              </w:r>
              <w:r w:rsidR="00CA72C6" w:rsidRPr="00D159D0">
                <w:rPr>
                  <w:b/>
                  <w:lang w:val="uk-UA" w:eastAsia="uk-UA"/>
                </w:rPr>
                <w:t>та 2025 роки</w:t>
              </w:r>
              <w:r w:rsidR="00CA72C6" w:rsidRPr="00D159D0">
                <w:rPr>
                  <w:lang w:val="uk-UA" w:eastAsia="uk-UA"/>
                </w:rPr>
                <w:t xml:space="preserve">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w:hyperlink r:id="rId21" w:tgtFrame="_blank" w:history="1">
              <w:r w:rsidR="00CA72C6" w:rsidRPr="00D159D0">
                <w:rPr>
                  <w:lang w:val="uk-UA" w:eastAsia="uk-UA"/>
                </w:rPr>
                <w:t>, тис. грн.</w:t>
              </w:r>
            </w:hyperlink>
          </w:p>
          <w:p w14:paraId="744D5065" w14:textId="77777777" w:rsidR="00AD2A16" w:rsidRPr="00D159D0" w:rsidRDefault="00AD2A16" w:rsidP="004976F9">
            <w:pPr>
              <w:ind w:right="2881"/>
              <w:jc w:val="both"/>
              <w:rPr>
                <w:b/>
                <w:bCs/>
                <w:lang w:val="uk-UA"/>
              </w:rPr>
            </w:pPr>
          </w:p>
        </w:tc>
        <w:tc>
          <w:tcPr>
            <w:tcW w:w="5954" w:type="dxa"/>
          </w:tcPr>
          <w:p w14:paraId="55122DCC" w14:textId="77777777" w:rsidR="00C31D31" w:rsidRPr="00D159D0" w:rsidRDefault="00C31D31" w:rsidP="00C31D31">
            <w:pPr>
              <w:jc w:val="both"/>
              <w:rPr>
                <w:b/>
                <w:lang w:val="uk-UA"/>
              </w:rPr>
            </w:pPr>
            <w:r w:rsidRPr="00D159D0">
              <w:rPr>
                <w:b/>
                <w:lang w:val="uk-UA"/>
              </w:rPr>
              <w:lastRenderedPageBreak/>
              <w:t xml:space="preserve">USAID </w:t>
            </w:r>
            <w:proofErr w:type="spellStart"/>
            <w:r w:rsidRPr="00D159D0">
              <w:rPr>
                <w:b/>
                <w:lang w:val="uk-UA"/>
              </w:rPr>
              <w:t>Проєкт</w:t>
            </w:r>
            <w:proofErr w:type="spellEnd"/>
            <w:r w:rsidRPr="00D159D0">
              <w:rPr>
                <w:b/>
                <w:lang w:val="uk-UA"/>
              </w:rPr>
              <w:t xml:space="preserve"> енергетичної безпеки лист ESP-214-NEURC-2024-07-09</w:t>
            </w:r>
          </w:p>
          <w:p w14:paraId="3573D5BC" w14:textId="77777777" w:rsidR="00C31D31" w:rsidRPr="00D159D0" w:rsidRDefault="00C31D31" w:rsidP="004976F9">
            <w:pPr>
              <w:jc w:val="both"/>
              <w:rPr>
                <w:lang w:val="uk-UA"/>
              </w:rPr>
            </w:pPr>
            <w:r w:rsidRPr="00D159D0">
              <w:rPr>
                <w:lang w:val="uk-UA"/>
              </w:rPr>
              <w:t>Підтримує запровадження компенсаційного заходу щодо застосування амортизації РБА</w:t>
            </w:r>
            <w:r w:rsidRPr="00D159D0">
              <w:rPr>
                <w:vertAlign w:val="subscript"/>
                <w:lang w:val="uk-UA"/>
              </w:rPr>
              <w:t>0</w:t>
            </w:r>
            <w:r w:rsidRPr="00D159D0">
              <w:rPr>
                <w:lang w:val="uk-UA"/>
              </w:rPr>
              <w:t xml:space="preserve"> в розмірі, </w:t>
            </w:r>
            <w:r w:rsidRPr="00D159D0">
              <w:rPr>
                <w:lang w:val="uk-UA"/>
              </w:rPr>
              <w:lastRenderedPageBreak/>
              <w:t>затвердженому в тарифах 2024 року, без проведення коригування на 50% до досягнення рівня A</w:t>
            </w:r>
            <w:r w:rsidRPr="00D159D0">
              <w:rPr>
                <w:vertAlign w:val="superscript"/>
                <w:lang w:val="uk-UA"/>
              </w:rPr>
              <w:t>0</w:t>
            </w:r>
            <w:r w:rsidRPr="00D159D0">
              <w:rPr>
                <w:vertAlign w:val="subscript"/>
                <w:lang w:val="uk-UA"/>
              </w:rPr>
              <w:t>t</w:t>
            </w:r>
            <w:r w:rsidRPr="00D159D0">
              <w:rPr>
                <w:lang w:val="uk-UA"/>
              </w:rPr>
              <w:t xml:space="preserve">. </w:t>
            </w:r>
          </w:p>
          <w:p w14:paraId="37DB52FB" w14:textId="77777777" w:rsidR="00C31D31" w:rsidRPr="00D159D0" w:rsidRDefault="00C31D31" w:rsidP="004976F9">
            <w:pPr>
              <w:jc w:val="both"/>
              <w:rPr>
                <w:b/>
                <w:lang w:val="uk-UA"/>
              </w:rPr>
            </w:pPr>
          </w:p>
          <w:p w14:paraId="3419395B" w14:textId="77777777" w:rsidR="000850BC" w:rsidRPr="00D159D0" w:rsidRDefault="000850BC" w:rsidP="004976F9">
            <w:pPr>
              <w:jc w:val="both"/>
              <w:rPr>
                <w:b/>
                <w:lang w:val="uk-UA"/>
              </w:rPr>
            </w:pPr>
          </w:p>
          <w:p w14:paraId="740B3E2C" w14:textId="77777777" w:rsidR="00CA72C6" w:rsidRPr="00D159D0" w:rsidRDefault="00CA72C6" w:rsidP="004976F9">
            <w:pPr>
              <w:jc w:val="both"/>
              <w:rPr>
                <w:b/>
                <w:lang w:val="uk-UA"/>
              </w:rPr>
            </w:pPr>
            <w:r w:rsidRPr="00D159D0">
              <w:rPr>
                <w:b/>
                <w:lang w:val="uk-UA"/>
              </w:rPr>
              <w:t>ТОВ «ДТЕК ВИСОКОВОЛЬТНІ МЕРЕЖІ» лист від 17.07.2024 № 08-61/935</w:t>
            </w:r>
          </w:p>
          <w:p w14:paraId="6E5D19C3" w14:textId="77777777" w:rsidR="00CA72C6" w:rsidRPr="00D159D0" w:rsidRDefault="00CA72C6" w:rsidP="004976F9">
            <w:pPr>
              <w:jc w:val="both"/>
              <w:rPr>
                <w:b/>
                <w:lang w:val="uk-UA"/>
              </w:rPr>
            </w:pPr>
            <w:r w:rsidRPr="00D159D0">
              <w:rPr>
                <w:b/>
                <w:lang w:val="uk-UA"/>
              </w:rPr>
              <w:t>АТ «ДТЕК ДОНЕЦЬКІ ЕЛЕКТРОМЕРЕЖІ» лист від 17.07.2024 № 06/9956</w:t>
            </w:r>
          </w:p>
          <w:p w14:paraId="04B250BE"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47D04916" w14:textId="77777777" w:rsidR="00CA72C6" w:rsidRPr="00D159D0" w:rsidRDefault="00CA72C6" w:rsidP="004976F9">
            <w:pPr>
              <w:jc w:val="both"/>
              <w:rPr>
                <w:b/>
                <w:lang w:val="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1C90B673" w14:textId="77777777" w:rsidR="00CA72C6" w:rsidRPr="00D159D0" w:rsidRDefault="00CA72C6" w:rsidP="004976F9">
            <w:pPr>
              <w:pStyle w:val="tj"/>
              <w:shd w:val="clear" w:color="auto" w:fill="FFFFFF"/>
              <w:spacing w:before="0" w:beforeAutospacing="0" w:after="0" w:afterAutospacing="0"/>
              <w:ind w:firstLine="489"/>
              <w:jc w:val="both"/>
            </w:pPr>
            <w:r w:rsidRPr="00D159D0">
              <w:t>5.12. Амортизація в році t регуляторного періоду визначається згідно з Порядком визначення регуляторної бази активів окремо на активи, створені на дату переходу до стимулюючого регулювання, та активи, створені після переходу на стимулююче регулювання, за формулою</w:t>
            </w:r>
          </w:p>
          <w:tbl>
            <w:tblPr>
              <w:tblW w:w="4760" w:type="dxa"/>
              <w:jc w:val="center"/>
              <w:tblLayout w:type="fixed"/>
              <w:tblCellMar>
                <w:top w:w="15" w:type="dxa"/>
                <w:left w:w="15" w:type="dxa"/>
                <w:bottom w:w="15" w:type="dxa"/>
                <w:right w:w="15" w:type="dxa"/>
              </w:tblCellMar>
              <w:tblLook w:val="04A0" w:firstRow="1" w:lastRow="0" w:firstColumn="1" w:lastColumn="0" w:noHBand="0" w:noVBand="1"/>
            </w:tblPr>
            <w:tblGrid>
              <w:gridCol w:w="3641"/>
              <w:gridCol w:w="737"/>
              <w:gridCol w:w="382"/>
            </w:tblGrid>
            <w:tr w:rsidR="00D159D0" w:rsidRPr="00D159D0" w14:paraId="1471EA91" w14:textId="77777777" w:rsidTr="000850BC">
              <w:trPr>
                <w:trHeight w:val="522"/>
                <w:jc w:val="center"/>
              </w:trPr>
              <w:tc>
                <w:tcPr>
                  <w:tcW w:w="3825" w:type="pct"/>
                  <w:shd w:val="clear" w:color="auto" w:fill="auto"/>
                  <w:tcMar>
                    <w:top w:w="0" w:type="dxa"/>
                    <w:left w:w="0" w:type="dxa"/>
                    <w:bottom w:w="0" w:type="dxa"/>
                    <w:right w:w="0" w:type="dxa"/>
                  </w:tcMar>
                  <w:vAlign w:val="center"/>
                  <w:hideMark/>
                </w:tcPr>
                <w:p w14:paraId="76B40B01" w14:textId="77777777" w:rsidR="00CA72C6" w:rsidRPr="00D159D0" w:rsidRDefault="00CA72C6" w:rsidP="004976F9">
                  <w:pPr>
                    <w:pStyle w:val="tr"/>
                    <w:spacing w:before="0" w:beforeAutospacing="0" w:after="0" w:afterAutospacing="0"/>
                    <w:ind w:firstLine="489"/>
                    <w:jc w:val="both"/>
                  </w:pPr>
                  <w:r w:rsidRPr="00D159D0">
                    <w:rPr>
                      <w:noProof/>
                    </w:rPr>
                    <w:drawing>
                      <wp:anchor distT="0" distB="0" distL="114300" distR="114300" simplePos="0" relativeHeight="251661312" behindDoc="0" locked="0" layoutInCell="1" allowOverlap="1" wp14:anchorId="1E4B748C" wp14:editId="042E2156">
                        <wp:simplePos x="0" y="0"/>
                        <wp:positionH relativeFrom="column">
                          <wp:posOffset>32385</wp:posOffset>
                        </wp:positionH>
                        <wp:positionV relativeFrom="paragraph">
                          <wp:posOffset>-190500</wp:posOffset>
                        </wp:positionV>
                        <wp:extent cx="2320290" cy="190500"/>
                        <wp:effectExtent l="0" t="0" r="3810" b="0"/>
                        <wp:wrapThrough wrapText="bothSides">
                          <wp:wrapPolygon edited="0">
                            <wp:start x="0" y="0"/>
                            <wp:lineTo x="0" y="17280"/>
                            <wp:lineTo x="532" y="19440"/>
                            <wp:lineTo x="21103" y="19440"/>
                            <wp:lineTo x="21458" y="10800"/>
                            <wp:lineTo x="21458" y="0"/>
                            <wp:lineTo x="0" y="0"/>
                          </wp:wrapPolygon>
                        </wp:wrapThrough>
                        <wp:docPr id="52" name="Рисунок 52" descr="https://ips.ligazakon.net/l_flib1.nsf/LookupFiles/GK40721_IMG_262.GIF/$file/GK40721_IMG_262.GIF">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https://ips.ligazakon.net/l_flib1.nsf/LookupFiles/GK40721_IMG_262.GIF/$file/GK40721_IMG_262.GIF">
                                  <a:hlinkClick r:id="rId7" tgtFrame="&quot;_blank&quo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20290"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774" w:type="pct"/>
                  <w:shd w:val="clear" w:color="auto" w:fill="auto"/>
                  <w:tcMar>
                    <w:top w:w="0" w:type="dxa"/>
                    <w:left w:w="0" w:type="dxa"/>
                    <w:bottom w:w="0" w:type="dxa"/>
                    <w:right w:w="0" w:type="dxa"/>
                  </w:tcMar>
                  <w:vAlign w:val="center"/>
                  <w:hideMark/>
                </w:tcPr>
                <w:p w14:paraId="74170C29" w14:textId="77777777" w:rsidR="00CA72C6" w:rsidRPr="00D159D0" w:rsidRDefault="00CA72C6" w:rsidP="000850BC">
                  <w:pPr>
                    <w:pStyle w:val="tl"/>
                    <w:spacing w:before="0" w:beforeAutospacing="0" w:after="0" w:afterAutospacing="0"/>
                    <w:ind w:right="5"/>
                    <w:jc w:val="both"/>
                    <w:rPr>
                      <w:sz w:val="20"/>
                      <w:szCs w:val="20"/>
                    </w:rPr>
                  </w:pPr>
                  <w:r w:rsidRPr="00D159D0">
                    <w:rPr>
                      <w:sz w:val="20"/>
                      <w:szCs w:val="20"/>
                    </w:rPr>
                    <w:t>, тис. грн,</w:t>
                  </w:r>
                </w:p>
              </w:tc>
              <w:tc>
                <w:tcPr>
                  <w:tcW w:w="401" w:type="pct"/>
                  <w:shd w:val="clear" w:color="auto" w:fill="auto"/>
                  <w:tcMar>
                    <w:top w:w="0" w:type="dxa"/>
                    <w:left w:w="0" w:type="dxa"/>
                    <w:bottom w:w="0" w:type="dxa"/>
                    <w:right w:w="0" w:type="dxa"/>
                  </w:tcMar>
                  <w:vAlign w:val="center"/>
                  <w:hideMark/>
                </w:tcPr>
                <w:p w14:paraId="333A8931" w14:textId="77777777" w:rsidR="00CA72C6" w:rsidRPr="00D159D0" w:rsidRDefault="00F84FFC" w:rsidP="004976F9">
                  <w:pPr>
                    <w:pStyle w:val="tc"/>
                    <w:spacing w:before="0" w:beforeAutospacing="0" w:after="0" w:afterAutospacing="0"/>
                    <w:jc w:val="both"/>
                    <w:rPr>
                      <w:sz w:val="20"/>
                      <w:szCs w:val="20"/>
                    </w:rPr>
                  </w:pPr>
                  <w:hyperlink r:id="rId22" w:tgtFrame="_blank" w:history="1">
                    <w:r w:rsidR="00CA72C6" w:rsidRPr="00D159D0">
                      <w:rPr>
                        <w:sz w:val="20"/>
                        <w:szCs w:val="20"/>
                      </w:rPr>
                      <w:t>(11)</w:t>
                    </w:r>
                  </w:hyperlink>
                </w:p>
                <w:p w14:paraId="67ADDFDC" w14:textId="77777777" w:rsidR="00CA72C6" w:rsidRPr="00D159D0" w:rsidRDefault="00CA72C6" w:rsidP="004976F9">
                  <w:pPr>
                    <w:pStyle w:val="tc"/>
                    <w:spacing w:before="0" w:beforeAutospacing="0" w:after="0" w:afterAutospacing="0"/>
                    <w:jc w:val="both"/>
                    <w:rPr>
                      <w:sz w:val="20"/>
                      <w:szCs w:val="20"/>
                    </w:rPr>
                  </w:pPr>
                </w:p>
              </w:tc>
            </w:tr>
          </w:tbl>
          <w:p w14:paraId="6B16E669" w14:textId="7AA0D6E6" w:rsidR="00CA72C6" w:rsidRPr="00D159D0" w:rsidRDefault="00CA72C6" w:rsidP="004976F9">
            <w:pPr>
              <w:shd w:val="clear" w:color="auto" w:fill="FFFFFF"/>
              <w:jc w:val="both"/>
              <w:rPr>
                <w:rStyle w:val="a9"/>
                <w:lang w:val="uk-UA"/>
              </w:rPr>
            </w:pPr>
            <w:proofErr w:type="spellStart"/>
            <w:r w:rsidRPr="00D159D0">
              <w:rPr>
                <w:lang w:val="uk-UA" w:eastAsia="uk-UA"/>
              </w:rPr>
              <w:t>A</w:t>
            </w:r>
            <w:r w:rsidRPr="00D159D0">
              <w:rPr>
                <w:vertAlign w:val="subscript"/>
                <w:lang w:val="uk-UA" w:eastAsia="uk-UA"/>
              </w:rPr>
              <w:t>t</w:t>
            </w:r>
            <w:r w:rsidRPr="00D159D0">
              <w:rPr>
                <w:vertAlign w:val="superscript"/>
                <w:lang w:val="uk-UA" w:eastAsia="uk-UA"/>
              </w:rPr>
              <w:t>ст</w:t>
            </w:r>
            <w:proofErr w:type="spellEnd"/>
            <w:r w:rsidRPr="00D159D0">
              <w:rPr>
                <w:lang w:val="uk-UA" w:eastAsia="uk-UA"/>
              </w:rPr>
              <w:t xml:space="preserve"> дорівнює регуляторній амортизації на активи, створені на дату переходу до стимулюючого регулювання (</w:t>
            </w:r>
            <w:r w:rsidRPr="00D159D0">
              <w:rPr>
                <w:b/>
                <w:lang w:val="uk-UA" w:eastAsia="uk-UA"/>
              </w:rPr>
              <w:t>А</w:t>
            </w:r>
            <w:r w:rsidRPr="00D159D0">
              <w:rPr>
                <w:b/>
                <w:vertAlign w:val="superscript"/>
                <w:lang w:val="uk-UA" w:eastAsia="uk-UA"/>
              </w:rPr>
              <w:t>0</w:t>
            </w:r>
            <w:r w:rsidRPr="00D159D0">
              <w:rPr>
                <w:lang w:val="uk-UA" w:eastAsia="uk-UA"/>
              </w:rPr>
              <w:t xml:space="preserve">), розрахованій згідно з Порядком визначення регуляторної бази активів. Якщо </w:t>
            </w:r>
            <w:r w:rsidRPr="00D159D0">
              <w:rPr>
                <w:b/>
                <w:lang w:val="uk-UA" w:eastAsia="uk-UA"/>
              </w:rPr>
              <w:t>А</w:t>
            </w:r>
            <w:r w:rsidRPr="00D159D0">
              <w:rPr>
                <w:b/>
                <w:vertAlign w:val="superscript"/>
                <w:lang w:val="uk-UA" w:eastAsia="uk-UA"/>
              </w:rPr>
              <w:t>0</w:t>
            </w:r>
            <w:r w:rsidRPr="00D159D0">
              <w:rPr>
                <w:b/>
                <w:vertAlign w:val="subscript"/>
                <w:lang w:val="uk-UA" w:eastAsia="uk-UA"/>
              </w:rPr>
              <w:t xml:space="preserve"> </w:t>
            </w:r>
            <w:r w:rsidRPr="00D159D0">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D159D0">
              <w:rPr>
                <w:lang w:val="uk-UA" w:eastAsia="uk-UA"/>
              </w:rPr>
              <w:t>А</w:t>
            </w:r>
            <w:r w:rsidRPr="00D159D0">
              <w:rPr>
                <w:vertAlign w:val="superscript"/>
                <w:lang w:val="uk-UA" w:eastAsia="uk-UA"/>
              </w:rPr>
              <w:t>ст</w:t>
            </w:r>
            <w:proofErr w:type="spellEnd"/>
            <w:r w:rsidRPr="00D159D0">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D159D0">
              <w:rPr>
                <w:vertAlign w:val="superscript"/>
                <w:lang w:val="uk-UA" w:eastAsia="uk-UA"/>
              </w:rPr>
              <w:t>ст</w:t>
            </w:r>
            <w:r w:rsidRPr="00D159D0">
              <w:rPr>
                <w:vertAlign w:val="subscript"/>
                <w:lang w:val="uk-UA" w:eastAsia="uk-UA"/>
              </w:rPr>
              <w:t>t-1</w:t>
            </w:r>
            <w:r w:rsidRPr="00D159D0">
              <w:rPr>
                <w:lang w:val="uk-UA" w:eastAsia="uk-UA"/>
              </w:rPr>
              <w:t xml:space="preserve">, врахованого в тарифах попереднього року) до досягнення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D159D0">
              <w:rPr>
                <w:b/>
                <w:lang w:val="uk-UA" w:eastAsia="uk-UA"/>
              </w:rPr>
              <w:t xml:space="preserve"> (</w:t>
            </w:r>
            <w:r w:rsidRPr="00D159D0">
              <w:rPr>
                <w:lang w:val="uk-UA" w:eastAsia="uk-UA"/>
              </w:rPr>
              <w:t xml:space="preserve">на </w:t>
            </w:r>
            <w:r w:rsidRPr="00D159D0">
              <w:rPr>
                <w:b/>
                <w:lang w:val="uk-UA" w:eastAsia="uk-UA"/>
              </w:rPr>
              <w:t>2023 – 2025</w:t>
            </w:r>
            <w:r w:rsidRPr="00D159D0">
              <w:rPr>
                <w:lang w:val="uk-UA" w:eastAsia="uk-UA"/>
              </w:rPr>
              <w:t xml:space="preserve"> роки амортизація на активи, створені на дату переходу до стимулюючого регулювання (</w:t>
            </w:r>
            <w:proofErr w:type="spellStart"/>
            <w:r w:rsidRPr="00D159D0">
              <w:rPr>
                <w:lang w:val="uk-UA" w:eastAsia="uk-UA"/>
              </w:rPr>
              <w:t>А</w:t>
            </w:r>
            <w:r w:rsidRPr="00D159D0">
              <w:rPr>
                <w:vertAlign w:val="superscript"/>
                <w:lang w:val="uk-UA" w:eastAsia="uk-UA"/>
              </w:rPr>
              <w:t>ст</w:t>
            </w:r>
            <w:r w:rsidRPr="00D159D0">
              <w:rPr>
                <w:vertAlign w:val="subscript"/>
                <w:lang w:val="uk-UA" w:eastAsia="uk-UA"/>
              </w:rPr>
              <w:t>t</w:t>
            </w:r>
            <w:proofErr w:type="spellEnd"/>
            <w:r w:rsidRPr="00D159D0">
              <w:rPr>
                <w:lang w:val="uk-UA" w:eastAsia="uk-UA"/>
              </w:rPr>
              <w:t xml:space="preserve">) не перевищує </w:t>
            </w:r>
            <w:proofErr w:type="spellStart"/>
            <w:r w:rsidRPr="00D159D0">
              <w:rPr>
                <w:lang w:val="uk-UA" w:eastAsia="uk-UA"/>
              </w:rPr>
              <w:t>А</w:t>
            </w:r>
            <w:r w:rsidRPr="00D159D0">
              <w:rPr>
                <w:vertAlign w:val="superscript"/>
                <w:lang w:val="uk-UA" w:eastAsia="uk-UA"/>
              </w:rPr>
              <w:t>ст</w:t>
            </w:r>
            <w:proofErr w:type="spellEnd"/>
            <w:r w:rsidRPr="00D159D0">
              <w:rPr>
                <w:lang w:val="uk-UA" w:eastAsia="uk-UA"/>
              </w:rPr>
              <w:t xml:space="preserve"> </w:t>
            </w:r>
            <w:r w:rsidRPr="00D159D0">
              <w:rPr>
                <w:vertAlign w:val="subscript"/>
                <w:lang w:val="uk-UA" w:eastAsia="uk-UA"/>
              </w:rPr>
              <w:t>t-1</w:t>
            </w:r>
            <w:r w:rsidRPr="00D159D0">
              <w:rPr>
                <w:lang w:val="uk-UA" w:eastAsia="uk-UA"/>
              </w:rPr>
              <w:t xml:space="preserve">, враховану в тарифах </w:t>
            </w:r>
            <w:r w:rsidRPr="00D159D0">
              <w:rPr>
                <w:b/>
                <w:lang w:val="uk-UA" w:eastAsia="uk-UA"/>
              </w:rPr>
              <w:t>2022 – 2024</w:t>
            </w:r>
            <w:r w:rsidRPr="00D159D0">
              <w:rPr>
                <w:lang w:val="uk-UA" w:eastAsia="uk-UA"/>
              </w:rPr>
              <w:t xml:space="preserve"> років </w:t>
            </w:r>
            <w:r w:rsidRPr="00D159D0">
              <w:rPr>
                <w:lang w:val="uk-UA" w:eastAsia="uk-UA"/>
              </w:rPr>
              <w:lastRenderedPageBreak/>
              <w:t xml:space="preserve">відповідно, </w:t>
            </w:r>
            <w:r w:rsidRPr="00D159D0">
              <w:rPr>
                <w:b/>
                <w:lang w:val="uk-UA" w:eastAsia="uk-UA"/>
              </w:rPr>
              <w:t>крім ліцензіатів, перелік яких наведено в додатку 30 до цього Порядку</w:t>
            </w:r>
            <w:r w:rsidRPr="00D159D0">
              <w:rPr>
                <w:lang w:val="uk-UA" w:eastAsia="uk-UA"/>
              </w:rPr>
              <w:t xml:space="preserve">, для яких на </w:t>
            </w:r>
            <w:r w:rsidRPr="00D159D0">
              <w:rPr>
                <w:b/>
                <w:lang w:val="uk-UA" w:eastAsia="uk-UA"/>
              </w:rPr>
              <w:t xml:space="preserve">2024 </w:t>
            </w:r>
            <w:r w:rsidRPr="00D159D0">
              <w:rPr>
                <w:lang w:val="uk-UA" w:eastAsia="uk-UA"/>
              </w:rPr>
              <w:t>амортизація на активи, створені на дату переходу до стимулюючого регулювання, (</w:t>
            </w:r>
            <w:proofErr w:type="spellStart"/>
            <w:r w:rsidRPr="00D159D0">
              <w:rPr>
                <w:lang w:val="uk-UA" w:eastAsia="uk-UA"/>
              </w:rPr>
              <w:t>А</w:t>
            </w:r>
            <w:r w:rsidRPr="00D159D0">
              <w:rPr>
                <w:vertAlign w:val="superscript"/>
                <w:lang w:val="uk-UA" w:eastAsia="uk-UA"/>
              </w:rPr>
              <w:t>ст</w:t>
            </w:r>
            <w:r w:rsidRPr="00D159D0">
              <w:rPr>
                <w:vertAlign w:val="subscript"/>
                <w:lang w:val="uk-UA" w:eastAsia="uk-UA"/>
              </w:rPr>
              <w:t>t</w:t>
            </w:r>
            <w:proofErr w:type="spellEnd"/>
            <w:r w:rsidRPr="00D159D0">
              <w:rPr>
                <w:lang w:val="uk-UA" w:eastAsia="uk-UA"/>
              </w:rPr>
              <w:t>) фіксується на рівні А</w:t>
            </w:r>
            <w:r w:rsidRPr="00D159D0">
              <w:rPr>
                <w:vertAlign w:val="superscript"/>
                <w:lang w:val="uk-UA" w:eastAsia="uk-UA"/>
              </w:rPr>
              <w:t>ст</w:t>
            </w:r>
            <w:r w:rsidRPr="00D159D0">
              <w:rPr>
                <w:vertAlign w:val="subscript"/>
                <w:lang w:val="uk-UA" w:eastAsia="uk-UA"/>
              </w:rPr>
              <w:t>t-1,</w:t>
            </w:r>
            <w:r w:rsidRPr="00D159D0">
              <w:rPr>
                <w:lang w:val="uk-UA" w:eastAsia="uk-UA"/>
              </w:rPr>
              <w:t xml:space="preserve"> врахованому в тарифах </w:t>
            </w:r>
            <w:r w:rsidRPr="00D159D0">
              <w:rPr>
                <w:b/>
                <w:lang w:val="uk-UA" w:eastAsia="uk-UA"/>
              </w:rPr>
              <w:t>2023 року</w:t>
            </w:r>
            <w:r w:rsidRPr="00D159D0">
              <w:rPr>
                <w:lang w:val="uk-UA" w:eastAsia="uk-UA"/>
              </w:rPr>
              <w:t>);</w:t>
            </w:r>
          </w:p>
          <w:p w14:paraId="68924746" w14:textId="77777777" w:rsidR="00CA72C6" w:rsidRPr="00D159D0" w:rsidRDefault="00CA72C6" w:rsidP="004976F9">
            <w:pPr>
              <w:shd w:val="clear" w:color="auto" w:fill="FFFFFF"/>
              <w:jc w:val="both"/>
              <w:rPr>
                <w:rStyle w:val="a9"/>
                <w:lang w:val="uk-UA"/>
              </w:rPr>
            </w:pPr>
            <w:r w:rsidRPr="00D159D0">
              <w:rPr>
                <w:rStyle w:val="a9"/>
                <w:lang w:val="uk-UA"/>
              </w:rPr>
              <w:t>На 2025 рік для ліцензіатів, перелік яких зазначений у додатку 30, амортизація на активи, створені на дату переходу до стимулюючого регулювання, (</w:t>
            </w:r>
            <w:proofErr w:type="spellStart"/>
            <w:r w:rsidRPr="00D159D0">
              <w:rPr>
                <w:lang w:val="uk-UA" w:eastAsia="uk-UA"/>
              </w:rPr>
              <w:t>А</w:t>
            </w:r>
            <w:r w:rsidRPr="00D159D0">
              <w:rPr>
                <w:vertAlign w:val="superscript"/>
                <w:lang w:val="uk-UA" w:eastAsia="uk-UA"/>
              </w:rPr>
              <w:t>ст</w:t>
            </w:r>
            <w:r w:rsidRPr="00D159D0">
              <w:rPr>
                <w:vertAlign w:val="subscript"/>
                <w:lang w:val="uk-UA" w:eastAsia="uk-UA"/>
              </w:rPr>
              <w:t>t</w:t>
            </w:r>
            <w:proofErr w:type="spellEnd"/>
            <w:r w:rsidRPr="00D159D0">
              <w:rPr>
                <w:rStyle w:val="a9"/>
                <w:lang w:val="uk-UA"/>
              </w:rPr>
              <w:t>) розраховується на активи, за виключенням активів, що знаходяться на територіях за якими тимчасово втрачено контроль.</w:t>
            </w:r>
          </w:p>
          <w:p w14:paraId="4EC52F75" w14:textId="77777777" w:rsidR="00CA72C6" w:rsidRPr="00D159D0" w:rsidRDefault="00CA72C6" w:rsidP="004976F9">
            <w:pPr>
              <w:shd w:val="clear" w:color="auto" w:fill="FFFFFF"/>
              <w:jc w:val="both"/>
              <w:rPr>
                <w:b/>
                <w:lang w:val="uk-UA" w:eastAsia="uk-UA"/>
              </w:rPr>
            </w:pPr>
            <w:r w:rsidRPr="00D159D0">
              <w:rPr>
                <w:rStyle w:val="a9"/>
                <w:lang w:val="uk-UA"/>
              </w:rPr>
              <w:t xml:space="preserve">Починаючи з другого регуляторного періоду здійснюється врахування в тарифах ліцензіатів коштів, недоотриманих у 2023-2024 роках внаслідок застосування вимог щодо </w:t>
            </w:r>
            <w:proofErr w:type="spellStart"/>
            <w:r w:rsidRPr="00D159D0">
              <w:rPr>
                <w:rStyle w:val="a9"/>
                <w:lang w:val="uk-UA"/>
              </w:rPr>
              <w:t>неперевищення</w:t>
            </w:r>
            <w:proofErr w:type="spellEnd"/>
            <w:r w:rsidRPr="00D159D0">
              <w:rPr>
                <w:lang w:val="uk-UA" w:eastAsia="uk-UA"/>
              </w:rPr>
              <w:t xml:space="preserve"> А</w:t>
            </w:r>
            <w:r w:rsidRPr="00D159D0">
              <w:rPr>
                <w:vertAlign w:val="superscript"/>
                <w:lang w:val="uk-UA" w:eastAsia="uk-UA"/>
              </w:rPr>
              <w:t>ст</w:t>
            </w:r>
            <w:r w:rsidRPr="00D159D0">
              <w:rPr>
                <w:vertAlign w:val="subscript"/>
                <w:lang w:val="uk-UA" w:eastAsia="uk-UA"/>
              </w:rPr>
              <w:t>t-1</w:t>
            </w:r>
            <w:r w:rsidRPr="00D159D0">
              <w:rPr>
                <w:b/>
                <w:vertAlign w:val="superscript"/>
                <w:lang w:val="uk-UA" w:eastAsia="uk-UA"/>
              </w:rPr>
              <w:t xml:space="preserve"> </w:t>
            </w:r>
            <w:r w:rsidRPr="00D159D0">
              <w:rPr>
                <w:rStyle w:val="a9"/>
                <w:lang w:val="uk-UA"/>
              </w:rPr>
              <w:t xml:space="preserve"> рівня </w:t>
            </w:r>
            <m:oMath>
              <m:sSubSup>
                <m:sSubSupPr>
                  <m:ctrlPr>
                    <w:rPr>
                      <w:rFonts w:ascii="Cambria Math" w:hAnsi="Cambria Math"/>
                      <w:b/>
                      <w:i/>
                      <w:lang w:val="uk-UA" w:eastAsia="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D159D0">
              <w:rPr>
                <w:b/>
                <w:lang w:val="uk-UA" w:eastAsia="uk-UA"/>
              </w:rPr>
              <w:t xml:space="preserve"> . </w:t>
            </w:r>
          </w:p>
          <w:p w14:paraId="7DBA6BF9" w14:textId="77777777" w:rsidR="00BF7528" w:rsidRPr="00D159D0" w:rsidRDefault="00BF7528" w:rsidP="004976F9">
            <w:pPr>
              <w:shd w:val="clear" w:color="auto" w:fill="FFFFFF"/>
              <w:jc w:val="both"/>
              <w:rPr>
                <w:rStyle w:val="a9"/>
                <w:lang w:val="uk-UA"/>
              </w:rPr>
            </w:pPr>
          </w:p>
          <w:p w14:paraId="2222F2B6" w14:textId="77777777" w:rsidR="00BF7528" w:rsidRPr="00D159D0" w:rsidRDefault="00BF7528" w:rsidP="004976F9">
            <w:pPr>
              <w:jc w:val="both"/>
              <w:rPr>
                <w:b/>
                <w:lang w:val="uk-UA"/>
              </w:rPr>
            </w:pPr>
            <w:r w:rsidRPr="00D159D0">
              <w:rPr>
                <w:b/>
                <w:lang w:val="uk-UA"/>
              </w:rPr>
              <w:t>ПАТ «ЗАПОРІЖЖЯОБЛЕНЕРГО» лист від 12.07.2024 № 001-33/638</w:t>
            </w:r>
          </w:p>
          <w:p w14:paraId="31C5FCEB" w14:textId="094B4969" w:rsidR="00BF7528" w:rsidRPr="00D159D0" w:rsidRDefault="00BF7528" w:rsidP="004976F9">
            <w:pPr>
              <w:pStyle w:val="aa"/>
              <w:shd w:val="clear" w:color="auto" w:fill="FFFFFF"/>
              <w:spacing w:before="0" w:after="0"/>
              <w:ind w:firstLine="322"/>
              <w:jc w:val="both"/>
              <w:textAlignment w:val="baseline"/>
              <w:rPr>
                <w:lang w:val="uk-UA"/>
              </w:rPr>
            </w:pPr>
            <w:r w:rsidRPr="00D159D0">
              <w:rPr>
                <w:rFonts w:eastAsia="Calibri"/>
                <w:lang w:val="uk-UA" w:eastAsia="en-US"/>
              </w:rPr>
              <w:t xml:space="preserve">Фіксування </w:t>
            </w:r>
            <w:r w:rsidRPr="00D159D0">
              <w:rPr>
                <w:lang w:val="uk-UA"/>
              </w:rPr>
              <w:t>амортизації на «стару» та «нову» бази активів на рівні, врахованому в діючих тарифах</w:t>
            </w:r>
            <w:r w:rsidRPr="00D159D0">
              <w:rPr>
                <w:rFonts w:eastAsia="Calibri"/>
                <w:lang w:val="uk-UA" w:eastAsia="en-US"/>
              </w:rPr>
              <w:t xml:space="preserve">, приводить до невідповідності між рівнем амортизації, врахованої в структурі тарифів на послуги з розподілу електричної енергії та фактичним рівнем регуляторної амортизації. Також амортизація є основним джерелом фінансування Інвестиційної програми. </w:t>
            </w:r>
          </w:p>
          <w:p w14:paraId="1384A42E" w14:textId="77777777" w:rsidR="00BF7528" w:rsidRPr="00D159D0" w:rsidRDefault="00BF7528" w:rsidP="004976F9">
            <w:pPr>
              <w:pStyle w:val="aa"/>
              <w:shd w:val="clear" w:color="auto" w:fill="FFFFFF"/>
              <w:spacing w:before="0" w:after="0"/>
              <w:ind w:firstLine="322"/>
              <w:jc w:val="both"/>
              <w:textAlignment w:val="baseline"/>
              <w:rPr>
                <w:i/>
                <w:iCs/>
                <w:lang w:val="uk-UA"/>
              </w:rPr>
            </w:pPr>
            <w:r w:rsidRPr="00D159D0">
              <w:rPr>
                <w:rFonts w:eastAsia="Calibri"/>
                <w:i/>
                <w:iCs/>
                <w:lang w:val="uk-UA" w:eastAsia="en-US"/>
              </w:rPr>
              <w:t xml:space="preserve">Збільшення обсягів інвестиційної програми необхідно і для фінансування заходів з підвищення рівня надійності (у </w:t>
            </w:r>
            <w:proofErr w:type="spellStart"/>
            <w:r w:rsidRPr="00D159D0">
              <w:rPr>
                <w:rFonts w:eastAsia="Calibri"/>
                <w:i/>
                <w:iCs/>
                <w:lang w:val="uk-UA" w:eastAsia="en-US"/>
              </w:rPr>
              <w:t>т.ч</w:t>
            </w:r>
            <w:proofErr w:type="spellEnd"/>
            <w:r w:rsidRPr="00D159D0">
              <w:rPr>
                <w:rFonts w:eastAsia="Calibri"/>
                <w:i/>
                <w:iCs/>
                <w:lang w:val="uk-UA" w:eastAsia="en-US"/>
              </w:rPr>
              <w:t xml:space="preserve">. відновлення електричних мереж) і для оновлення електричного обладнання (у зв’язку із вимушеним використанням під час здійснення аварійних відключень), закупівлю спецтранспорту та </w:t>
            </w:r>
            <w:proofErr w:type="spellStart"/>
            <w:r w:rsidRPr="00D159D0">
              <w:rPr>
                <w:rFonts w:eastAsia="Calibri"/>
                <w:i/>
                <w:iCs/>
                <w:lang w:val="uk-UA" w:eastAsia="en-US"/>
              </w:rPr>
              <w:t>спецмеханізмів</w:t>
            </w:r>
            <w:proofErr w:type="spellEnd"/>
            <w:r w:rsidRPr="00D159D0">
              <w:rPr>
                <w:rFonts w:eastAsia="Calibri"/>
                <w:i/>
                <w:iCs/>
                <w:lang w:val="uk-UA" w:eastAsia="en-US"/>
              </w:rPr>
              <w:t xml:space="preserve">. </w:t>
            </w:r>
          </w:p>
          <w:p w14:paraId="629B4643" w14:textId="77777777" w:rsidR="00BF7528" w:rsidRPr="00D159D0" w:rsidRDefault="00BF7528" w:rsidP="004976F9">
            <w:pPr>
              <w:pStyle w:val="aa"/>
              <w:shd w:val="clear" w:color="auto" w:fill="FFFFFF"/>
              <w:spacing w:before="0" w:after="0"/>
              <w:ind w:firstLine="322"/>
              <w:jc w:val="both"/>
              <w:textAlignment w:val="baseline"/>
              <w:rPr>
                <w:i/>
                <w:iCs/>
                <w:lang w:val="uk-UA"/>
              </w:rPr>
            </w:pPr>
            <w:r w:rsidRPr="00D159D0">
              <w:rPr>
                <w:rFonts w:eastAsia="Calibri"/>
                <w:i/>
                <w:iCs/>
                <w:lang w:val="uk-UA" w:eastAsia="en-US"/>
              </w:rPr>
              <w:t>Вважаємо обґрунтованим, не подовжувати для ПАТ «</w:t>
            </w:r>
            <w:proofErr w:type="spellStart"/>
            <w:r w:rsidRPr="00D159D0">
              <w:rPr>
                <w:rFonts w:eastAsia="Calibri"/>
                <w:i/>
                <w:iCs/>
                <w:lang w:val="uk-UA" w:eastAsia="en-US"/>
              </w:rPr>
              <w:t>Запоріжжяобленерго</w:t>
            </w:r>
            <w:proofErr w:type="spellEnd"/>
            <w:r w:rsidRPr="00D159D0">
              <w:rPr>
                <w:rFonts w:eastAsia="Calibri"/>
                <w:i/>
                <w:iCs/>
                <w:lang w:val="uk-UA" w:eastAsia="en-US"/>
              </w:rPr>
              <w:t xml:space="preserve">» на 2025 рік фіксування амортизації на рівні, врахованому в діючих тарифах та </w:t>
            </w:r>
            <w:r w:rsidRPr="00D159D0">
              <w:rPr>
                <w:rFonts w:eastAsia="Calibri"/>
                <w:i/>
                <w:iCs/>
                <w:lang w:val="uk-UA" w:eastAsia="en-US"/>
              </w:rPr>
              <w:lastRenderedPageBreak/>
              <w:t>виключити ПАТ «</w:t>
            </w:r>
            <w:proofErr w:type="spellStart"/>
            <w:r w:rsidRPr="00D159D0">
              <w:rPr>
                <w:rFonts w:eastAsia="Calibri"/>
                <w:i/>
                <w:iCs/>
                <w:lang w:val="uk-UA" w:eastAsia="en-US"/>
              </w:rPr>
              <w:t>Запоріжжяобленерго</w:t>
            </w:r>
            <w:proofErr w:type="spellEnd"/>
            <w:r w:rsidRPr="00D159D0">
              <w:rPr>
                <w:rFonts w:eastAsia="Calibri"/>
                <w:i/>
                <w:iCs/>
                <w:lang w:val="uk-UA" w:eastAsia="en-US"/>
              </w:rPr>
              <w:t>» з  переліку ОСР, який наведено в додатку 30 до Порядку № 1175,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p w14:paraId="79E3521A" w14:textId="77777777" w:rsidR="00BF7528" w:rsidRPr="00D159D0" w:rsidRDefault="00BF7528" w:rsidP="004976F9">
            <w:pPr>
              <w:shd w:val="clear" w:color="auto" w:fill="FFFFFF"/>
              <w:jc w:val="both"/>
              <w:rPr>
                <w:rStyle w:val="a9"/>
                <w:lang w:val="uk-UA"/>
              </w:rPr>
            </w:pPr>
          </w:p>
          <w:p w14:paraId="20D1A084" w14:textId="77777777" w:rsidR="00BF7528" w:rsidRPr="00D159D0" w:rsidRDefault="00BF7528" w:rsidP="004976F9">
            <w:pPr>
              <w:shd w:val="clear" w:color="auto" w:fill="FFFFFF"/>
              <w:jc w:val="both"/>
              <w:rPr>
                <w:rStyle w:val="a9"/>
                <w:b w:val="0"/>
                <w:lang w:val="uk-UA"/>
              </w:rPr>
            </w:pPr>
            <w:r w:rsidRPr="00D159D0">
              <w:rPr>
                <w:b/>
                <w:bCs/>
                <w:lang w:val="uk-UA"/>
              </w:rPr>
              <w:t xml:space="preserve">АТ «ЧЕРНІВЦІОБЛЕНЕРГО» ЛИСТ ВІД </w:t>
            </w:r>
            <w:r w:rsidRPr="00D159D0">
              <w:rPr>
                <w:b/>
                <w:lang w:val="uk-UA"/>
              </w:rPr>
              <w:t>17.07.2024 №19/1-02/1864</w:t>
            </w:r>
          </w:p>
          <w:p w14:paraId="25079F2D" w14:textId="050C13BB" w:rsidR="00BF7528" w:rsidRPr="00D159D0" w:rsidRDefault="00BF7528" w:rsidP="004976F9">
            <w:pPr>
              <w:shd w:val="clear" w:color="auto" w:fill="FFFFFF"/>
              <w:ind w:firstLine="493"/>
              <w:jc w:val="both"/>
              <w:outlineLvl w:val="2"/>
              <w:rPr>
                <w:bCs/>
                <w:lang w:val="uk-UA" w:eastAsia="uk-UA"/>
              </w:rPr>
            </w:pPr>
            <w:r w:rsidRPr="00D159D0">
              <w:rPr>
                <w:lang w:val="uk-UA" w:eastAsia="uk-UA"/>
              </w:rPr>
              <w:t xml:space="preserve">Якщо </w:t>
            </w:r>
            <w:r w:rsidRPr="00D159D0">
              <w:rPr>
                <w:b/>
                <w:lang w:val="uk-UA" w:eastAsia="uk-UA"/>
              </w:rPr>
              <w:t>А</w:t>
            </w:r>
            <w:r w:rsidRPr="00D159D0">
              <w:rPr>
                <w:b/>
                <w:vertAlign w:val="superscript"/>
                <w:lang w:val="uk-UA" w:eastAsia="uk-UA"/>
              </w:rPr>
              <w:t>0</w:t>
            </w:r>
            <w:r w:rsidRPr="00D159D0">
              <w:rPr>
                <w:b/>
                <w:vertAlign w:val="subscript"/>
                <w:lang w:val="uk-UA" w:eastAsia="uk-UA"/>
              </w:rPr>
              <w:t xml:space="preserve"> </w:t>
            </w:r>
            <w:r w:rsidRPr="00D159D0">
              <w:rPr>
                <w:lang w:val="uk-UA" w:eastAsia="uk-UA"/>
              </w:rPr>
              <w:t xml:space="preserve">перевищує рівень амортизації, врахований в діючих тарифах на дату переходу до стимулюючого регулювання, на величину понад 50 %, то </w:t>
            </w:r>
            <w:proofErr w:type="spellStart"/>
            <w:r w:rsidRPr="00D159D0">
              <w:rPr>
                <w:lang w:val="uk-UA" w:eastAsia="uk-UA"/>
              </w:rPr>
              <w:t>А</w:t>
            </w:r>
            <w:r w:rsidRPr="00D159D0">
              <w:rPr>
                <w:vertAlign w:val="superscript"/>
                <w:lang w:val="uk-UA" w:eastAsia="uk-UA"/>
              </w:rPr>
              <w:t>ст</w:t>
            </w:r>
            <w:proofErr w:type="spellEnd"/>
            <w:r w:rsidRPr="00D159D0">
              <w:rPr>
                <w:lang w:val="uk-UA" w:eastAsia="uk-UA"/>
              </w:rPr>
              <w:t xml:space="preserve"> щорічно збільшується на 50 % (на перший рік - від рівня амортизації, врахованого в діючих тарифах на дату переходу до стимулюючого регулювання; на наступні роки - від рівня амортизації А</w:t>
            </w:r>
            <w:r w:rsidRPr="00D159D0">
              <w:rPr>
                <w:vertAlign w:val="superscript"/>
                <w:lang w:val="uk-UA" w:eastAsia="uk-UA"/>
              </w:rPr>
              <w:t>ст</w:t>
            </w:r>
            <w:r w:rsidRPr="00D159D0">
              <w:rPr>
                <w:vertAlign w:val="subscript"/>
                <w:lang w:val="uk-UA" w:eastAsia="uk-UA"/>
              </w:rPr>
              <w:t>t-1</w:t>
            </w:r>
            <w:r w:rsidRPr="00D159D0">
              <w:rPr>
                <w:lang w:val="uk-UA" w:eastAsia="uk-UA"/>
              </w:rPr>
              <w:t xml:space="preserve">, врахованого в тарифах попереднього року) до досягнення рівня </w:t>
            </w:r>
            <w:r w:rsidRPr="00D159D0">
              <w:rPr>
                <w:b/>
                <w:lang w:val="uk-UA" w:eastAsia="uk-UA"/>
              </w:rPr>
              <w:t>А</w:t>
            </w:r>
            <w:r w:rsidRPr="00D159D0">
              <w:rPr>
                <w:b/>
                <w:vertAlign w:val="superscript"/>
                <w:lang w:val="uk-UA" w:eastAsia="uk-UA"/>
              </w:rPr>
              <w:t>0</w:t>
            </w:r>
            <w:r w:rsidRPr="00D159D0">
              <w:rPr>
                <w:b/>
                <w:vertAlign w:val="subscript"/>
                <w:lang w:val="uk-UA" w:eastAsia="uk-UA"/>
              </w:rPr>
              <w:t xml:space="preserve"> </w:t>
            </w:r>
            <w:r w:rsidRPr="00D159D0">
              <w:rPr>
                <w:b/>
                <w:lang w:val="uk-UA" w:eastAsia="uk-UA"/>
              </w:rPr>
              <w:t>або</w:t>
            </w:r>
            <w:r w:rsidRPr="00D159D0">
              <w:rPr>
                <w:b/>
                <w:vertAlign w:val="subscript"/>
                <w:lang w:val="uk-UA" w:eastAsia="uk-UA"/>
              </w:rPr>
              <w:t xml:space="preserve"> </w:t>
            </w:r>
            <m:oMath>
              <m:sSubSup>
                <m:sSubSupPr>
                  <m:ctrlPr>
                    <w:rPr>
                      <w:rFonts w:ascii="Cambria Math" w:hAnsi="Cambria Math"/>
                      <w:b/>
                      <w:i/>
                      <w:lang w:val="uk-UA"/>
                    </w:rPr>
                  </m:ctrlPr>
                </m:sSubSupPr>
                <m:e>
                  <m:r>
                    <m:rPr>
                      <m:sty m:val="bi"/>
                    </m:rPr>
                    <w:rPr>
                      <w:rFonts w:ascii="Cambria Math" w:hAnsi="Cambria Math"/>
                      <w:lang w:val="uk-UA" w:eastAsia="uk-UA"/>
                    </w:rPr>
                    <m:t>А</m:t>
                  </m:r>
                </m:e>
                <m:sub>
                  <m:r>
                    <m:rPr>
                      <m:sty m:val="bi"/>
                    </m:rPr>
                    <w:rPr>
                      <w:rFonts w:ascii="Cambria Math" w:hAnsi="Cambria Math"/>
                      <w:lang w:val="uk-UA" w:eastAsia="uk-UA"/>
                    </w:rPr>
                    <m:t>t</m:t>
                  </m:r>
                </m:sub>
                <m:sup>
                  <m:r>
                    <m:rPr>
                      <m:sty m:val="bi"/>
                    </m:rPr>
                    <w:rPr>
                      <w:rFonts w:ascii="Cambria Math" w:hAnsi="Cambria Math"/>
                      <w:lang w:val="uk-UA" w:eastAsia="uk-UA"/>
                    </w:rPr>
                    <m:t>0</m:t>
                  </m:r>
                </m:sup>
              </m:sSubSup>
            </m:oMath>
            <w:r w:rsidRPr="00D159D0">
              <w:rPr>
                <w:b/>
                <w:lang w:val="uk-UA" w:eastAsia="uk-UA"/>
              </w:rPr>
              <w:t xml:space="preserve"> </w:t>
            </w:r>
            <w:r w:rsidRPr="00D159D0">
              <w:rPr>
                <w:b/>
                <w:strike/>
                <w:lang w:val="uk-UA" w:eastAsia="uk-UA"/>
              </w:rPr>
              <w:t>(на 2023 – 2025 роки амортизація на а</w:t>
            </w:r>
            <w:r w:rsidRPr="00D159D0">
              <w:rPr>
                <w:b/>
                <w:bCs/>
                <w:strike/>
                <w:lang w:val="uk-UA" w:eastAsia="uk-UA"/>
              </w:rPr>
              <w:t>ктиви, створені на дату переходу до стимулюючого регулювання (</w:t>
            </w:r>
            <w:proofErr w:type="spellStart"/>
            <w:r w:rsidRPr="00D159D0">
              <w:rPr>
                <w:b/>
                <w:bCs/>
                <w:strike/>
                <w:lang w:val="uk-UA" w:eastAsia="uk-UA"/>
              </w:rPr>
              <w:t>А</w:t>
            </w:r>
            <w:r w:rsidRPr="00D159D0">
              <w:rPr>
                <w:b/>
                <w:bCs/>
                <w:strike/>
                <w:vertAlign w:val="superscript"/>
                <w:lang w:val="uk-UA" w:eastAsia="uk-UA"/>
              </w:rPr>
              <w:t>ст</w:t>
            </w:r>
            <w:r w:rsidRPr="00D159D0">
              <w:rPr>
                <w:b/>
                <w:bCs/>
                <w:strike/>
                <w:vertAlign w:val="subscript"/>
                <w:lang w:val="uk-UA" w:eastAsia="uk-UA"/>
              </w:rPr>
              <w:t>t</w:t>
            </w:r>
            <w:proofErr w:type="spellEnd"/>
            <w:r w:rsidRPr="00D159D0">
              <w:rPr>
                <w:b/>
                <w:bCs/>
                <w:strike/>
                <w:lang w:val="uk-UA" w:eastAsia="uk-UA"/>
              </w:rPr>
              <w:t xml:space="preserve">) не перевищує </w:t>
            </w:r>
            <w:proofErr w:type="spellStart"/>
            <w:r w:rsidRPr="00D159D0">
              <w:rPr>
                <w:b/>
                <w:bCs/>
                <w:strike/>
                <w:lang w:val="uk-UA" w:eastAsia="uk-UA"/>
              </w:rPr>
              <w:t>А</w:t>
            </w:r>
            <w:r w:rsidRPr="00D159D0">
              <w:rPr>
                <w:b/>
                <w:bCs/>
                <w:strike/>
                <w:vertAlign w:val="superscript"/>
                <w:lang w:val="uk-UA" w:eastAsia="uk-UA"/>
              </w:rPr>
              <w:t>ст</w:t>
            </w:r>
            <w:proofErr w:type="spellEnd"/>
            <w:r w:rsidRPr="00D159D0">
              <w:rPr>
                <w:b/>
                <w:bCs/>
                <w:strike/>
                <w:lang w:val="uk-UA" w:eastAsia="uk-UA"/>
              </w:rPr>
              <w:t xml:space="preserve"> </w:t>
            </w:r>
            <w:r w:rsidRPr="00D159D0">
              <w:rPr>
                <w:b/>
                <w:bCs/>
                <w:strike/>
                <w:vertAlign w:val="subscript"/>
                <w:lang w:val="uk-UA" w:eastAsia="uk-UA"/>
              </w:rPr>
              <w:t>t-1</w:t>
            </w:r>
            <w:r w:rsidRPr="00D159D0">
              <w:rPr>
                <w:b/>
                <w:bCs/>
                <w:strike/>
                <w:lang w:val="uk-UA" w:eastAsia="uk-UA"/>
              </w:rPr>
              <w:t>, враховану в тарифах 2022 – 2024 років відповідно</w:t>
            </w:r>
            <w:r w:rsidRPr="00D159D0">
              <w:rPr>
                <w:lang w:val="uk-UA" w:eastAsia="uk-UA"/>
              </w:rPr>
              <w:t xml:space="preserve">, крім ліцензіатів, перелік яких наведено в додатку 30 до цього Порядку, для яких на </w:t>
            </w:r>
            <w:r w:rsidRPr="00D159D0">
              <w:rPr>
                <w:bCs/>
                <w:lang w:val="uk-UA" w:eastAsia="uk-UA"/>
              </w:rPr>
              <w:t>2024 та 2025 роки амортизація на активи, створені на дату переходу до стимулюючого регулювання, (</w:t>
            </w:r>
            <w:proofErr w:type="spellStart"/>
            <w:r w:rsidRPr="00D159D0">
              <w:rPr>
                <w:bCs/>
                <w:lang w:val="uk-UA" w:eastAsia="uk-UA"/>
              </w:rPr>
              <w:t>А</w:t>
            </w:r>
            <w:r w:rsidRPr="00D159D0">
              <w:rPr>
                <w:bCs/>
                <w:vertAlign w:val="superscript"/>
                <w:lang w:val="uk-UA" w:eastAsia="uk-UA"/>
              </w:rPr>
              <w:t>ст</w:t>
            </w:r>
            <w:r w:rsidRPr="00D159D0">
              <w:rPr>
                <w:bCs/>
                <w:vertAlign w:val="subscript"/>
                <w:lang w:val="uk-UA" w:eastAsia="uk-UA"/>
              </w:rPr>
              <w:t>t</w:t>
            </w:r>
            <w:proofErr w:type="spellEnd"/>
            <w:r w:rsidRPr="00D159D0">
              <w:rPr>
                <w:bCs/>
                <w:lang w:val="uk-UA" w:eastAsia="uk-UA"/>
              </w:rPr>
              <w:t>) фіксується на рівні А</w:t>
            </w:r>
            <w:r w:rsidRPr="00D159D0">
              <w:rPr>
                <w:bCs/>
                <w:vertAlign w:val="superscript"/>
                <w:lang w:val="uk-UA" w:eastAsia="uk-UA"/>
              </w:rPr>
              <w:t>ст</w:t>
            </w:r>
            <w:r w:rsidRPr="00D159D0">
              <w:rPr>
                <w:bCs/>
                <w:vertAlign w:val="subscript"/>
                <w:lang w:val="uk-UA" w:eastAsia="uk-UA"/>
              </w:rPr>
              <w:t>t-1,</w:t>
            </w:r>
            <w:r w:rsidRPr="00D159D0">
              <w:rPr>
                <w:bCs/>
                <w:lang w:val="uk-UA" w:eastAsia="uk-UA"/>
              </w:rPr>
              <w:t xml:space="preserve"> врахованому в тарифах 2023 року);</w:t>
            </w:r>
          </w:p>
          <w:p w14:paraId="3072562B" w14:textId="77777777" w:rsidR="00BF7528" w:rsidRPr="00D159D0" w:rsidRDefault="00BF7528" w:rsidP="004976F9">
            <w:pPr>
              <w:autoSpaceDE w:val="0"/>
              <w:autoSpaceDN w:val="0"/>
              <w:adjustRightInd w:val="0"/>
              <w:jc w:val="both"/>
              <w:rPr>
                <w:bCs/>
                <w:lang w:val="uk-UA"/>
              </w:rPr>
            </w:pPr>
          </w:p>
          <w:p w14:paraId="2D607AC7" w14:textId="77777777" w:rsidR="00BF7528" w:rsidRPr="00D159D0" w:rsidRDefault="00BF7528" w:rsidP="004976F9">
            <w:pPr>
              <w:autoSpaceDE w:val="0"/>
              <w:autoSpaceDN w:val="0"/>
              <w:adjustRightInd w:val="0"/>
              <w:jc w:val="both"/>
              <w:rPr>
                <w:bCs/>
                <w:i/>
                <w:iCs/>
                <w:lang w:val="uk-UA"/>
              </w:rPr>
            </w:pPr>
            <w:r w:rsidRPr="00D159D0">
              <w:rPr>
                <w:bCs/>
                <w:i/>
                <w:iCs/>
                <w:lang w:val="uk-UA"/>
              </w:rPr>
              <w:t>АТ «</w:t>
            </w:r>
            <w:proofErr w:type="spellStart"/>
            <w:r w:rsidRPr="00D159D0">
              <w:rPr>
                <w:bCs/>
                <w:i/>
                <w:iCs/>
                <w:lang w:val="uk-UA"/>
              </w:rPr>
              <w:t>Чернівціобленерго</w:t>
            </w:r>
            <w:proofErr w:type="spellEnd"/>
            <w:r w:rsidRPr="00D159D0">
              <w:rPr>
                <w:bCs/>
                <w:i/>
                <w:iCs/>
                <w:lang w:val="uk-UA"/>
              </w:rPr>
              <w:t xml:space="preserve">» вважає, що запропонований НКРЕКП підхід суперечить основним принципам стимулюючого регулювання не дозволяючи Товариству </w:t>
            </w:r>
            <w:r w:rsidRPr="00D159D0">
              <w:rPr>
                <w:bCs/>
                <w:i/>
                <w:iCs/>
                <w:lang w:val="uk-UA"/>
              </w:rPr>
              <w:lastRenderedPageBreak/>
              <w:t xml:space="preserve">розвивати електричні мережі </w:t>
            </w:r>
            <w:r w:rsidRPr="00D159D0">
              <w:rPr>
                <w:rFonts w:eastAsiaTheme="minorHAnsi"/>
                <w:i/>
                <w:iCs/>
                <w:lang w:val="uk-UA" w:eastAsia="en-US"/>
              </w:rPr>
              <w:t xml:space="preserve"> </w:t>
            </w:r>
            <w:r w:rsidRPr="00D159D0">
              <w:rPr>
                <w:bCs/>
                <w:i/>
                <w:iCs/>
                <w:lang w:val="uk-UA"/>
              </w:rPr>
              <w:t>Чернівецької області. В умовах воєнного стану, такі методи регулювання створюють</w:t>
            </w:r>
            <w:r w:rsidRPr="00D159D0">
              <w:rPr>
                <w:rFonts w:eastAsiaTheme="minorHAnsi"/>
                <w:i/>
                <w:iCs/>
                <w:lang w:val="uk-UA" w:eastAsia="en-US"/>
              </w:rPr>
              <w:t xml:space="preserve"> пряму загрозу  для сталої роботи об’єктів критичної інфраструктури.</w:t>
            </w:r>
          </w:p>
          <w:p w14:paraId="6952DEE2" w14:textId="77777777" w:rsidR="00BF7528" w:rsidRPr="00D159D0" w:rsidRDefault="00BF7528" w:rsidP="004976F9">
            <w:pPr>
              <w:jc w:val="both"/>
              <w:rPr>
                <w:i/>
                <w:iCs/>
                <w:lang w:val="uk-UA"/>
              </w:rPr>
            </w:pPr>
            <w:r w:rsidRPr="00D159D0">
              <w:rPr>
                <w:i/>
                <w:iCs/>
                <w:lang w:val="uk-UA"/>
              </w:rPr>
              <w:t xml:space="preserve">Амортизація, одне з основних джерел фінансування інвестиційної програми, за рахунок якої фінансується основна частина об’єктів електроенергетики. </w:t>
            </w:r>
          </w:p>
          <w:p w14:paraId="2B3D85F4" w14:textId="29E3B854" w:rsidR="00BF7528" w:rsidRPr="00D159D0" w:rsidRDefault="00BF7528" w:rsidP="004976F9">
            <w:pPr>
              <w:jc w:val="both"/>
              <w:rPr>
                <w:i/>
                <w:iCs/>
                <w:lang w:val="uk-UA" w:eastAsia="uk-UA"/>
              </w:rPr>
            </w:pPr>
            <w:r w:rsidRPr="00D159D0">
              <w:rPr>
                <w:bCs/>
                <w:i/>
                <w:iCs/>
                <w:lang w:val="uk-UA"/>
              </w:rPr>
              <w:t>АТ «</w:t>
            </w:r>
            <w:proofErr w:type="spellStart"/>
            <w:r w:rsidRPr="00D159D0">
              <w:rPr>
                <w:bCs/>
                <w:i/>
                <w:iCs/>
                <w:lang w:val="uk-UA"/>
              </w:rPr>
              <w:t>Чернівціобленерго</w:t>
            </w:r>
            <w:proofErr w:type="spellEnd"/>
            <w:r w:rsidRPr="00D159D0">
              <w:rPr>
                <w:bCs/>
                <w:i/>
                <w:iCs/>
                <w:lang w:val="uk-UA"/>
              </w:rPr>
              <w:t xml:space="preserve">» пропонує при розрахунку тарифів на послуги з розподілу електричної енергії на 2025 рік встановити рівень амортизації </w:t>
            </w:r>
            <w:r w:rsidRPr="00D159D0">
              <w:rPr>
                <w:i/>
                <w:iCs/>
                <w:lang w:val="uk-UA" w:eastAsia="uk-UA"/>
              </w:rPr>
              <w:t xml:space="preserve"> </w:t>
            </w:r>
            <w:proofErr w:type="spellStart"/>
            <w:r w:rsidRPr="00D159D0">
              <w:rPr>
                <w:i/>
                <w:iCs/>
                <w:lang w:val="uk-UA" w:eastAsia="uk-UA"/>
              </w:rPr>
              <w:t>A</w:t>
            </w:r>
            <w:r w:rsidRPr="00D159D0">
              <w:rPr>
                <w:i/>
                <w:iCs/>
                <w:vertAlign w:val="subscript"/>
                <w:lang w:val="uk-UA" w:eastAsia="uk-UA"/>
              </w:rPr>
              <w:t>t</w:t>
            </w:r>
            <w:r w:rsidRPr="00D159D0">
              <w:rPr>
                <w:i/>
                <w:iCs/>
                <w:vertAlign w:val="superscript"/>
                <w:lang w:val="uk-UA" w:eastAsia="uk-UA"/>
              </w:rPr>
              <w:t>ст</w:t>
            </w:r>
            <w:proofErr w:type="spellEnd"/>
            <w:r w:rsidRPr="00D159D0">
              <w:rPr>
                <w:i/>
                <w:iCs/>
                <w:lang w:val="uk-UA" w:eastAsia="uk-UA"/>
              </w:rPr>
              <w:t xml:space="preserve">, збільшивши її на 50 % від рівня амортизації врахованої в тарифах 2024 року. </w:t>
            </w:r>
          </w:p>
          <w:p w14:paraId="1E06C6F9" w14:textId="77777777" w:rsidR="007C486B" w:rsidRPr="00D159D0" w:rsidRDefault="007C486B" w:rsidP="004976F9">
            <w:pPr>
              <w:jc w:val="both"/>
              <w:rPr>
                <w:lang w:val="uk-UA" w:eastAsia="uk-UA"/>
              </w:rPr>
            </w:pPr>
          </w:p>
          <w:p w14:paraId="7248B329" w14:textId="77777777" w:rsidR="00BF7528" w:rsidRPr="00D159D0" w:rsidRDefault="00D15AE1" w:rsidP="004976F9">
            <w:pPr>
              <w:shd w:val="clear" w:color="auto" w:fill="FFFFFF"/>
              <w:jc w:val="both"/>
              <w:rPr>
                <w:rStyle w:val="a9"/>
                <w:lang w:val="uk-UA"/>
              </w:rPr>
            </w:pPr>
            <w:r w:rsidRPr="00D159D0">
              <w:rPr>
                <w:rStyle w:val="a9"/>
                <w:lang w:val="uk-UA"/>
              </w:rPr>
              <w:t>АТ «</w:t>
            </w:r>
            <w:r w:rsidR="00CE6436" w:rsidRPr="00D159D0">
              <w:rPr>
                <w:rStyle w:val="a9"/>
                <w:lang w:val="uk-UA"/>
              </w:rPr>
              <w:t>ХМЕЛЬНИЦЬКОБЛЕНЕРГО» лист від 19.07.2024 № 4-5323-02/24</w:t>
            </w:r>
          </w:p>
          <w:p w14:paraId="6A0E1DB5" w14:textId="2023370D" w:rsidR="00BF7528" w:rsidRPr="00D159D0" w:rsidRDefault="00CE6436" w:rsidP="004976F9">
            <w:pPr>
              <w:shd w:val="clear" w:color="auto" w:fill="FFFFFF"/>
              <w:jc w:val="both"/>
              <w:rPr>
                <w:rStyle w:val="a9"/>
                <w:b w:val="0"/>
                <w:lang w:val="uk-UA"/>
              </w:rPr>
            </w:pPr>
            <w:r w:rsidRPr="00D159D0">
              <w:rPr>
                <w:rStyle w:val="a9"/>
                <w:b w:val="0"/>
                <w:lang w:val="uk-UA"/>
              </w:rPr>
              <w:t>Пропонуємо залишити в діючій редакції з метою адекватного врахування сум амортизаційних відрахувань при розрахунку тарифів на послуги з розподілу на 2025 рік для здійснення заходів реконструкції, модернізації та побудови об’єктів електричних мереж.</w:t>
            </w:r>
          </w:p>
          <w:p w14:paraId="3A96A5A9" w14:textId="77777777" w:rsidR="00BF7528" w:rsidRPr="00D159D0" w:rsidRDefault="00BF7528" w:rsidP="004976F9">
            <w:pPr>
              <w:shd w:val="clear" w:color="auto" w:fill="FFFFFF"/>
              <w:jc w:val="both"/>
              <w:rPr>
                <w:rStyle w:val="a9"/>
                <w:lang w:val="uk-UA"/>
              </w:rPr>
            </w:pPr>
          </w:p>
          <w:p w14:paraId="71B58456" w14:textId="77777777" w:rsidR="00AF73E9" w:rsidRPr="00D159D0" w:rsidRDefault="00AF73E9" w:rsidP="004976F9">
            <w:pPr>
              <w:shd w:val="clear" w:color="auto" w:fill="FFFFFF"/>
              <w:jc w:val="both"/>
              <w:rPr>
                <w:rStyle w:val="a9"/>
                <w:lang w:val="uk-UA"/>
              </w:rPr>
            </w:pPr>
          </w:p>
          <w:p w14:paraId="1207988A" w14:textId="77777777" w:rsidR="00AF73E9" w:rsidRPr="00D159D0" w:rsidRDefault="00AF73E9" w:rsidP="004976F9">
            <w:pPr>
              <w:shd w:val="clear" w:color="auto" w:fill="FFFFFF"/>
              <w:jc w:val="both"/>
              <w:rPr>
                <w:rStyle w:val="a9"/>
                <w:lang w:val="uk-UA"/>
              </w:rPr>
            </w:pPr>
          </w:p>
          <w:p w14:paraId="178AD3D1" w14:textId="77777777" w:rsidR="00AF73E9" w:rsidRPr="00D159D0" w:rsidRDefault="00AF73E9" w:rsidP="004976F9">
            <w:pPr>
              <w:shd w:val="clear" w:color="auto" w:fill="FFFFFF"/>
              <w:jc w:val="both"/>
              <w:rPr>
                <w:rStyle w:val="a9"/>
                <w:lang w:val="uk-UA"/>
              </w:rPr>
            </w:pPr>
          </w:p>
          <w:p w14:paraId="6E086A43" w14:textId="77777777" w:rsidR="00AF73E9" w:rsidRPr="00D159D0" w:rsidRDefault="00AF73E9" w:rsidP="004976F9">
            <w:pPr>
              <w:shd w:val="clear" w:color="auto" w:fill="FFFFFF"/>
              <w:jc w:val="both"/>
              <w:rPr>
                <w:rStyle w:val="a9"/>
                <w:lang w:val="uk-UA"/>
              </w:rPr>
            </w:pPr>
          </w:p>
          <w:p w14:paraId="0D893174" w14:textId="77777777" w:rsidR="00AF73E9" w:rsidRPr="00D159D0" w:rsidRDefault="00AF73E9" w:rsidP="004976F9">
            <w:pPr>
              <w:shd w:val="clear" w:color="auto" w:fill="FFFFFF"/>
              <w:jc w:val="both"/>
              <w:rPr>
                <w:rStyle w:val="a9"/>
                <w:lang w:val="uk-UA"/>
              </w:rPr>
            </w:pPr>
          </w:p>
          <w:p w14:paraId="649EBE5F" w14:textId="77777777" w:rsidR="00AF73E9" w:rsidRPr="00D159D0" w:rsidRDefault="00AF73E9" w:rsidP="004976F9">
            <w:pPr>
              <w:shd w:val="clear" w:color="auto" w:fill="FFFFFF"/>
              <w:jc w:val="both"/>
              <w:rPr>
                <w:rStyle w:val="a9"/>
                <w:lang w:val="uk-UA"/>
              </w:rPr>
            </w:pPr>
          </w:p>
          <w:p w14:paraId="7060405F" w14:textId="77777777" w:rsidR="00AF73E9" w:rsidRPr="00D159D0" w:rsidRDefault="00AF73E9" w:rsidP="004976F9">
            <w:pPr>
              <w:shd w:val="clear" w:color="auto" w:fill="FFFFFF"/>
              <w:jc w:val="both"/>
              <w:rPr>
                <w:rStyle w:val="a9"/>
                <w:lang w:val="uk-UA"/>
              </w:rPr>
            </w:pPr>
          </w:p>
          <w:p w14:paraId="147981CC" w14:textId="77777777" w:rsidR="00CD1A1C" w:rsidRPr="00D159D0" w:rsidRDefault="00CD1A1C" w:rsidP="004976F9">
            <w:pPr>
              <w:shd w:val="clear" w:color="auto" w:fill="FFFFFF"/>
              <w:jc w:val="both"/>
              <w:rPr>
                <w:rStyle w:val="a9"/>
                <w:lang w:val="uk-UA"/>
              </w:rPr>
            </w:pPr>
          </w:p>
          <w:p w14:paraId="1DBDA84E" w14:textId="77777777" w:rsidR="00AF73E9" w:rsidRPr="00D159D0" w:rsidRDefault="00AF73E9" w:rsidP="004976F9">
            <w:pPr>
              <w:shd w:val="clear" w:color="auto" w:fill="FFFFFF"/>
              <w:jc w:val="both"/>
              <w:rPr>
                <w:rStyle w:val="a9"/>
                <w:lang w:val="uk-UA"/>
              </w:rPr>
            </w:pPr>
          </w:p>
          <w:p w14:paraId="405E165E" w14:textId="77777777" w:rsidR="00BF7528" w:rsidRPr="00D159D0" w:rsidRDefault="00BF7528" w:rsidP="004976F9">
            <w:pPr>
              <w:jc w:val="both"/>
              <w:rPr>
                <w:b/>
                <w:lang w:val="uk-UA"/>
              </w:rPr>
            </w:pPr>
            <w:r w:rsidRPr="00D159D0">
              <w:rPr>
                <w:b/>
                <w:lang w:val="uk-UA"/>
              </w:rPr>
              <w:t>ТОВ «ДТЕК ВИСОКОВОЛЬТНІ МЕРЕЖІ» лист від 17.07.2024 № 08-61/935</w:t>
            </w:r>
          </w:p>
          <w:p w14:paraId="748CE30C" w14:textId="77777777" w:rsidR="00BF7528" w:rsidRPr="00D159D0" w:rsidRDefault="00BF7528" w:rsidP="004976F9">
            <w:pPr>
              <w:jc w:val="both"/>
              <w:rPr>
                <w:b/>
                <w:lang w:val="uk-UA"/>
              </w:rPr>
            </w:pPr>
            <w:r w:rsidRPr="00D159D0">
              <w:rPr>
                <w:b/>
                <w:lang w:val="uk-UA"/>
              </w:rPr>
              <w:t>АТ «ДТЕК ДОНЕЦЬКІ ЕЛЕКТРОМЕРЕЖІ» лист від 17.07.2024 № 06/9956</w:t>
            </w:r>
          </w:p>
          <w:p w14:paraId="5BEF2776" w14:textId="77777777" w:rsidR="00CA72C6" w:rsidRPr="00D159D0" w:rsidRDefault="00CA72C6" w:rsidP="004976F9">
            <w:pPr>
              <w:shd w:val="clear" w:color="auto" w:fill="FFFFFF"/>
              <w:ind w:firstLine="477"/>
              <w:jc w:val="both"/>
              <w:outlineLvl w:val="2"/>
              <w:rPr>
                <w:lang w:val="uk-UA" w:eastAsia="uk-UA"/>
              </w:rPr>
            </w:pPr>
            <w:r w:rsidRPr="00D159D0">
              <w:rPr>
                <w:noProof/>
                <w:shd w:val="clear" w:color="auto" w:fill="FFFFFF"/>
                <w:lang w:val="uk-UA"/>
              </w:rPr>
              <w:lastRenderedPageBreak/>
              <w:drawing>
                <wp:inline distT="0" distB="0" distL="0" distR="0" wp14:anchorId="014270F3" wp14:editId="6CF3DC96">
                  <wp:extent cx="361950" cy="184150"/>
                  <wp:effectExtent l="0" t="0" r="0" b="6350"/>
                  <wp:docPr id="54" name="Рисунок 54">
                    <a:hlinkClick xmlns:a="http://schemas.openxmlformats.org/drawingml/2006/main" r:id="rId12"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a:hlinkClick r:id="rId17"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184150"/>
                          </a:xfrm>
                          <a:prstGeom prst="rect">
                            <a:avLst/>
                          </a:prstGeom>
                          <a:noFill/>
                          <a:ln>
                            <a:noFill/>
                          </a:ln>
                        </pic:spPr>
                      </pic:pic>
                    </a:graphicData>
                  </a:graphic>
                </wp:inline>
              </w:drawing>
            </w:r>
            <w:r w:rsidRPr="00D159D0">
              <w:rPr>
                <w:lang w:val="uk-UA" w:eastAsia="uk-UA"/>
              </w:rPr>
              <w:t xml:space="preserve">- амортизація у році t-1 на активи, віднесені до категорії 1, які створені після переходу на стимулююче регулювання, що розраховується поквартально згідно з додатком 9 до цього Порядку (крім ліцензіатів, перелік яких наведено в додатку 30 до цього Порядку, для яких на 2024 амортизація у році t-1 на активи, віднесені до категорії 1, які створені після переходу на стимулююче регулювання, фіксується на рівні, врахованому в тарифах </w:t>
            </w:r>
            <w:r w:rsidRPr="00D159D0">
              <w:rPr>
                <w:b/>
                <w:lang w:val="uk-UA" w:eastAsia="uk-UA"/>
              </w:rPr>
              <w:t>2023 року</w:t>
            </w:r>
            <w:r w:rsidRPr="00D159D0">
              <w:rPr>
                <w:lang w:val="uk-UA" w:eastAsia="uk-UA"/>
              </w:rPr>
              <w:t>), тис. грн;</w:t>
            </w:r>
          </w:p>
          <w:p w14:paraId="00C9CD7C" w14:textId="77777777" w:rsidR="00CA72C6" w:rsidRPr="00D159D0" w:rsidRDefault="00CA72C6" w:rsidP="004976F9">
            <w:pPr>
              <w:shd w:val="clear" w:color="auto" w:fill="FFFFFF"/>
              <w:jc w:val="both"/>
              <w:rPr>
                <w:rStyle w:val="a9"/>
                <w:lang w:val="uk-UA"/>
              </w:rPr>
            </w:pPr>
            <w:r w:rsidRPr="00D159D0">
              <w:rPr>
                <w:rStyle w:val="a9"/>
                <w:lang w:val="uk-UA"/>
              </w:rPr>
              <w:t>На 2025 рік для ліцензіатів, перелік яких зазначений у додатку 30  амортизація на активи, створені на дату переходу до стимулюючого регулювання, (</w:t>
            </w:r>
            <w:r w:rsidRPr="00D159D0">
              <w:rPr>
                <w:noProof/>
                <w:shd w:val="clear" w:color="auto" w:fill="FFFFFF"/>
                <w:lang w:val="uk-UA"/>
              </w:rPr>
              <w:drawing>
                <wp:inline distT="0" distB="0" distL="0" distR="0" wp14:anchorId="62625D2E" wp14:editId="729D884C">
                  <wp:extent cx="361950" cy="184150"/>
                  <wp:effectExtent l="0" t="0" r="0" b="6350"/>
                  <wp:docPr id="56" name="Рисунок 56">
                    <a:hlinkClick xmlns:a="http://schemas.openxmlformats.org/drawingml/2006/main" r:id="rId15"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a:hlinkClick r:id="rId15" tgtFrame="&quot;_blank&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1950" cy="184150"/>
                          </a:xfrm>
                          <a:prstGeom prst="rect">
                            <a:avLst/>
                          </a:prstGeom>
                          <a:noFill/>
                          <a:ln>
                            <a:noFill/>
                          </a:ln>
                        </pic:spPr>
                      </pic:pic>
                    </a:graphicData>
                  </a:graphic>
                </wp:inline>
              </w:drawing>
            </w:r>
            <w:r w:rsidRPr="00D159D0">
              <w:rPr>
                <w:rStyle w:val="a9"/>
                <w:lang w:val="uk-UA"/>
              </w:rPr>
              <w:t>) розраховується на активи, за виключенням активів,  що знаходяться на територіях за якими тимчасово втрачено контроль.</w:t>
            </w:r>
          </w:p>
          <w:p w14:paraId="29889161" w14:textId="77777777" w:rsidR="009A0837" w:rsidRPr="00D159D0" w:rsidRDefault="009A0837" w:rsidP="004976F9">
            <w:pPr>
              <w:shd w:val="clear" w:color="auto" w:fill="FFFFFF"/>
              <w:jc w:val="both"/>
              <w:rPr>
                <w:rStyle w:val="a9"/>
                <w:lang w:val="uk-UA"/>
              </w:rPr>
            </w:pPr>
          </w:p>
          <w:p w14:paraId="773DF759" w14:textId="77777777" w:rsidR="00CA72C6" w:rsidRPr="00D159D0" w:rsidRDefault="00F84FFC" w:rsidP="004976F9">
            <w:pPr>
              <w:shd w:val="clear" w:color="auto" w:fill="FFFFFF"/>
              <w:ind w:firstLine="489"/>
              <w:jc w:val="both"/>
              <w:outlineLvl w:val="2"/>
              <w:rPr>
                <w:lang w:val="uk-UA" w:eastAsia="uk-UA"/>
              </w:rPr>
            </w:pPr>
            <w:hyperlink r:id="rId23" w:tgtFrame="_blank" w:history="1">
              <w:r w:rsidR="00CA72C6" w:rsidRPr="00D159D0">
                <w:rPr>
                  <w:noProof/>
                  <w:lang w:val="uk-UA" w:eastAsia="uk-UA"/>
                </w:rPr>
                <w:drawing>
                  <wp:inline distT="0" distB="0" distL="0" distR="0" wp14:anchorId="2082BC9A" wp14:editId="528A367D">
                    <wp:extent cx="438150" cy="184150"/>
                    <wp:effectExtent l="0" t="0" r="0" b="6350"/>
                    <wp:docPr id="55" name="Рисунок 55"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descr="https://ips.ligazakon.net/l_flib1.nsf/LookupFiles/GK40721_IMG_265.GIF/$file/GK40721_IMG_26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 амортизація у році t-1 на активи, віднесені до категорії 2, які створені після переходу на стимулююче регулювання, що розраховується поквартально згідно з додатком 10 до цього Порядку</w:t>
              </w:r>
            </w:hyperlink>
            <w:r w:rsidR="00CA72C6" w:rsidRPr="00D159D0">
              <w:rPr>
                <w:lang w:val="uk-UA" w:eastAsia="uk-UA"/>
              </w:rPr>
              <w:t xml:space="preserve"> (крім ліцензіатів, перелік яких наведено в додатку 30 до цього Порядку, для яких на 2024 </w:t>
            </w:r>
            <w:r w:rsidR="00CA72C6" w:rsidRPr="00D159D0">
              <w:rPr>
                <w:b/>
                <w:lang w:val="uk-UA" w:eastAsia="uk-UA"/>
              </w:rPr>
              <w:t>рік</w:t>
            </w:r>
            <w:r w:rsidR="00CA72C6" w:rsidRPr="00D159D0">
              <w:rPr>
                <w:lang w:val="uk-UA" w:eastAsia="uk-UA"/>
              </w:rPr>
              <w:t xml:space="preserve"> амортизація у році t-1 на активи, віднесені до категорії 2,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r:id="rId24" w:tgtFrame="_blank" w:history="1">
              <w:r w:rsidR="00CA72C6" w:rsidRPr="00D159D0">
                <w:rPr>
                  <w:lang w:val="uk-UA" w:eastAsia="uk-UA"/>
                </w:rPr>
                <w:t>, тис. грн;</w:t>
              </w:r>
            </w:hyperlink>
          </w:p>
          <w:p w14:paraId="1F470B9E" w14:textId="77777777" w:rsidR="00CA72C6" w:rsidRPr="00D159D0" w:rsidRDefault="00CA72C6" w:rsidP="004976F9">
            <w:pPr>
              <w:shd w:val="clear" w:color="auto" w:fill="FFFFFF"/>
              <w:jc w:val="both"/>
              <w:rPr>
                <w:rStyle w:val="a9"/>
                <w:lang w:val="uk-UA"/>
              </w:rPr>
            </w:pPr>
            <w:r w:rsidRPr="00D159D0">
              <w:rPr>
                <w:rStyle w:val="a9"/>
                <w:lang w:val="uk-UA"/>
              </w:rPr>
              <w:t>На 2025 рік для ліцензіатів, перелік яких зазначений у додатку 30  амортизація на активи, створені на дату переходу до стимулюючого регулювання, (</w:t>
            </w:r>
            <w:r w:rsidRPr="00D159D0">
              <w:rPr>
                <w:noProof/>
                <w:lang w:val="uk-UA" w:eastAsia="uk-UA"/>
              </w:rPr>
              <w:drawing>
                <wp:inline distT="0" distB="0" distL="0" distR="0" wp14:anchorId="1B592B62" wp14:editId="46E21D80">
                  <wp:extent cx="438150" cy="184150"/>
                  <wp:effectExtent l="0" t="0" r="0" b="6350"/>
                  <wp:docPr id="57" name="Рисунок 57" descr="https://ips.ligazakon.net/l_flib1.nsf/LookupFiles/GK40721_IMG_265.GIF/$file/GK40721_IMG_26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Рисунок 18" descr="https://ips.ligazakon.net/l_flib1.nsf/LookupFiles/GK40721_IMG_265.GIF/$file/GK40721_IMG_265.GIF"/>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Pr="00D159D0">
              <w:rPr>
                <w:rStyle w:val="a9"/>
                <w:lang w:val="uk-UA"/>
              </w:rPr>
              <w:t xml:space="preserve">) розраховується на активи,  за виключенням активів,  що знаходяться на територіях за якими тимчасово втрачено контроль.  </w:t>
            </w:r>
          </w:p>
          <w:p w14:paraId="039570AA" w14:textId="77777777" w:rsidR="00CA72C6" w:rsidRPr="00D159D0" w:rsidRDefault="00CA72C6" w:rsidP="004976F9">
            <w:pPr>
              <w:shd w:val="clear" w:color="auto" w:fill="FFFFFF"/>
              <w:ind w:firstLine="489"/>
              <w:jc w:val="both"/>
              <w:outlineLvl w:val="2"/>
              <w:rPr>
                <w:lang w:val="uk-UA"/>
              </w:rPr>
            </w:pPr>
          </w:p>
          <w:p w14:paraId="170FC915" w14:textId="77777777" w:rsidR="00CA72C6" w:rsidRPr="00D159D0" w:rsidRDefault="00F84FFC" w:rsidP="004976F9">
            <w:pPr>
              <w:shd w:val="clear" w:color="auto" w:fill="FFFFFF"/>
              <w:ind w:firstLine="489"/>
              <w:jc w:val="both"/>
              <w:outlineLvl w:val="2"/>
              <w:rPr>
                <w:lang w:val="uk-UA" w:eastAsia="uk-UA"/>
              </w:rPr>
            </w:pPr>
            <w:hyperlink r:id="rId25" w:tgtFrame="_blank" w:history="1">
              <w:r w:rsidR="00CA72C6" w:rsidRPr="00D159D0">
                <w:rPr>
                  <w:noProof/>
                  <w:lang w:val="uk-UA" w:eastAsia="uk-UA"/>
                </w:rPr>
                <w:drawing>
                  <wp:inline distT="0" distB="0" distL="0" distR="0" wp14:anchorId="6B929B9A" wp14:editId="7268568F">
                    <wp:extent cx="438150" cy="184150"/>
                    <wp:effectExtent l="0" t="0" r="0" b="6350"/>
                    <wp:docPr id="1993780098" name="Рисунок 1993780098" descr="https://ips.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https://ips.ligazakon.net/l_flib1.nsf/LookupFiles/GK40721_IMG_266.GIF/$file/GK40721_IMG_26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xml:space="preserve"> - амортизація у році t-1 на активи, віднесені до категорії 3, які отримані після переходу до </w:t>
              </w:r>
              <w:r w:rsidR="00CA72C6" w:rsidRPr="00D159D0">
                <w:rPr>
                  <w:lang w:val="uk-UA" w:eastAsia="uk-UA"/>
                </w:rPr>
                <w:lastRenderedPageBreak/>
                <w:t>стимулюючого регулювання, що розраховується поквартально згідно з додатком 11 до цього Порядку</w:t>
              </w:r>
            </w:hyperlink>
            <w:r w:rsidR="00CA72C6" w:rsidRPr="00D159D0">
              <w:rPr>
                <w:lang w:val="uk-UA" w:eastAsia="uk-UA"/>
              </w:rPr>
              <w:t> (крім ліцензіатів, перелік яких наведено в додатку 30 до цього Порядку, для яких на 2024</w:t>
            </w:r>
            <w:r w:rsidR="00CA72C6" w:rsidRPr="00D159D0">
              <w:rPr>
                <w:b/>
                <w:lang w:val="uk-UA" w:eastAsia="uk-UA"/>
              </w:rPr>
              <w:t xml:space="preserve"> рік</w:t>
            </w:r>
            <w:r w:rsidR="00CA72C6" w:rsidRPr="00D159D0">
              <w:rPr>
                <w:lang w:val="uk-UA" w:eastAsia="uk-UA"/>
              </w:rPr>
              <w:t xml:space="preserve"> амортизація у році t-1 на активи, віднесені до категорії 3,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r:id="rId26" w:tgtFrame="_blank" w:history="1">
              <w:r w:rsidR="00CA72C6" w:rsidRPr="00D159D0">
                <w:rPr>
                  <w:lang w:val="uk-UA" w:eastAsia="uk-UA"/>
                </w:rPr>
                <w:t>, тис. грн;</w:t>
              </w:r>
            </w:hyperlink>
          </w:p>
          <w:p w14:paraId="53A1DB42" w14:textId="4A19ADEE" w:rsidR="00CA72C6" w:rsidRPr="00D159D0" w:rsidRDefault="00CA72C6" w:rsidP="004976F9">
            <w:pPr>
              <w:shd w:val="clear" w:color="auto" w:fill="FFFFFF"/>
              <w:jc w:val="both"/>
              <w:rPr>
                <w:rStyle w:val="a9"/>
                <w:lang w:val="uk-UA"/>
              </w:rPr>
            </w:pPr>
            <w:r w:rsidRPr="00D159D0">
              <w:rPr>
                <w:rStyle w:val="a9"/>
                <w:lang w:val="uk-UA"/>
              </w:rPr>
              <w:t>На 2025 рік для ліцензіатів, перелік яких зазначений у додатку 30 амортизація на активи, створені на дату переходу до стимулюючого регулювання, (</w:t>
            </w:r>
            <w:r w:rsidRPr="00D159D0">
              <w:rPr>
                <w:noProof/>
                <w:lang w:val="uk-UA" w:eastAsia="uk-UA"/>
              </w:rPr>
              <w:drawing>
                <wp:inline distT="0" distB="0" distL="0" distR="0" wp14:anchorId="27CD9048" wp14:editId="1424D607">
                  <wp:extent cx="438150" cy="184150"/>
                  <wp:effectExtent l="0" t="0" r="0" b="6350"/>
                  <wp:docPr id="1993780100" name="Рисунок 1993780100" descr="https://ips.ligazakon.net/l_flib1.nsf/LookupFiles/GK40721_IMG_266.GIF/$file/GK40721_IMG_2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Рисунок 19" descr="https://ips.ligazakon.net/l_flib1.nsf/LookupFiles/GK40721_IMG_266.GIF/$file/GK40721_IMG_266.GIF"/>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Pr="00D159D0">
              <w:rPr>
                <w:rStyle w:val="a9"/>
                <w:lang w:val="uk-UA"/>
              </w:rPr>
              <w:t>) розраховується на активи,  за виключенням активів,  що знаходяться на територіях за якими тимчасово втрачено контроль</w:t>
            </w:r>
            <w:r w:rsidR="00AF73E9" w:rsidRPr="00D159D0">
              <w:rPr>
                <w:rStyle w:val="a9"/>
                <w:lang w:val="uk-UA"/>
              </w:rPr>
              <w:t>.</w:t>
            </w:r>
            <w:r w:rsidRPr="00D159D0">
              <w:rPr>
                <w:rStyle w:val="a9"/>
                <w:lang w:val="uk-UA"/>
              </w:rPr>
              <w:t xml:space="preserve"> </w:t>
            </w:r>
          </w:p>
          <w:p w14:paraId="4A121434" w14:textId="77777777" w:rsidR="00AF73E9" w:rsidRPr="00D159D0" w:rsidRDefault="00AF73E9" w:rsidP="004976F9">
            <w:pPr>
              <w:shd w:val="clear" w:color="auto" w:fill="FFFFFF"/>
              <w:jc w:val="both"/>
              <w:rPr>
                <w:rStyle w:val="a9"/>
                <w:lang w:val="uk-UA"/>
              </w:rPr>
            </w:pPr>
          </w:p>
          <w:p w14:paraId="03654866" w14:textId="77777777" w:rsidR="00CA72C6" w:rsidRPr="00D159D0" w:rsidRDefault="00F84FFC" w:rsidP="004976F9">
            <w:pPr>
              <w:shd w:val="clear" w:color="auto" w:fill="FFFFFF"/>
              <w:jc w:val="both"/>
              <w:rPr>
                <w:rStyle w:val="a9"/>
                <w:lang w:val="uk-UA"/>
              </w:rPr>
            </w:pPr>
            <w:hyperlink r:id="rId27" w:tgtFrame="_blank" w:history="1">
              <w:r w:rsidR="00CA72C6" w:rsidRPr="00D159D0">
                <w:rPr>
                  <w:noProof/>
                  <w:lang w:val="uk-UA" w:eastAsia="uk-UA"/>
                </w:rPr>
                <w:drawing>
                  <wp:inline distT="0" distB="0" distL="0" distR="0" wp14:anchorId="64338309" wp14:editId="2736EED3">
                    <wp:extent cx="438150" cy="184150"/>
                    <wp:effectExtent l="0" t="0" r="0" b="6350"/>
                    <wp:docPr id="1993780101" name="Рисунок 1993780101" descr="https://ips.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https://ips.ligazakon.net/l_flib1.nsf/LookupFiles/GK40721_IMG_267.GIF/$file/GK40721_IMG_26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00CA72C6" w:rsidRPr="00D159D0">
                <w:rPr>
                  <w:lang w:val="uk-UA" w:eastAsia="uk-UA"/>
                </w:rPr>
                <w:t> - амортизація у році t-1 на активи, віднесені до категорії 4, які створені після переходу до стимулюючого регулювання, що розраховується поквартально згідно з додатком 12 до цього Порядку</w:t>
              </w:r>
            </w:hyperlink>
            <w:r w:rsidR="00CA72C6" w:rsidRPr="00D159D0">
              <w:rPr>
                <w:lang w:val="uk-UA" w:eastAsia="uk-UA"/>
              </w:rPr>
              <w:t> </w:t>
            </w:r>
            <w:hyperlink r:id="rId28" w:tgtFrame="_blank" w:history="1">
              <w:r w:rsidR="00CA72C6" w:rsidRPr="00D159D0">
                <w:rPr>
                  <w:lang w:val="uk-UA" w:eastAsia="uk-UA"/>
                </w:rPr>
                <w:t xml:space="preserve">(крім ліцензіатів, перелік яких наведено в додатку 30 до цього Порядку, для яких на 2024 амортизація у році t-1 на активи, віднесені до категорії 4, які створені після переходу на стимулююче регулювання, фіксується на рівні, врахованому в тарифах </w:t>
              </w:r>
              <w:r w:rsidR="00CA72C6" w:rsidRPr="00D159D0">
                <w:rPr>
                  <w:b/>
                  <w:lang w:val="uk-UA" w:eastAsia="uk-UA"/>
                </w:rPr>
                <w:t>2023 року</w:t>
              </w:r>
              <w:r w:rsidR="00CA72C6" w:rsidRPr="00D159D0">
                <w:rPr>
                  <w:lang w:val="uk-UA" w:eastAsia="uk-UA"/>
                </w:rPr>
                <w:t>)</w:t>
              </w:r>
            </w:hyperlink>
            <w:hyperlink r:id="rId29" w:tgtFrame="_blank" w:history="1">
              <w:r w:rsidR="00CA72C6" w:rsidRPr="00D159D0">
                <w:rPr>
                  <w:lang w:val="uk-UA" w:eastAsia="uk-UA"/>
                </w:rPr>
                <w:t>, тис. грн.</w:t>
              </w:r>
            </w:hyperlink>
          </w:p>
          <w:p w14:paraId="5F97273A" w14:textId="77777777" w:rsidR="00AD2A16" w:rsidRPr="00D159D0" w:rsidRDefault="00CA72C6" w:rsidP="004976F9">
            <w:pPr>
              <w:jc w:val="both"/>
              <w:rPr>
                <w:b/>
                <w:bCs/>
                <w:lang w:val="uk-UA"/>
              </w:rPr>
            </w:pPr>
            <w:r w:rsidRPr="00D159D0">
              <w:rPr>
                <w:rStyle w:val="a9"/>
                <w:lang w:val="uk-UA"/>
              </w:rPr>
              <w:t>На 2025 рік для ліцензіатів, перелік яких зазначений у додатку 30  амортизація на активи, створені на дату переходу до стимулюючого регулювання, (</w:t>
            </w:r>
            <w:r w:rsidRPr="00D159D0">
              <w:rPr>
                <w:noProof/>
                <w:lang w:val="uk-UA" w:eastAsia="uk-UA"/>
              </w:rPr>
              <w:drawing>
                <wp:inline distT="0" distB="0" distL="0" distR="0" wp14:anchorId="0174E67A" wp14:editId="7CBA9748">
                  <wp:extent cx="438150" cy="184150"/>
                  <wp:effectExtent l="0" t="0" r="0" b="6350"/>
                  <wp:docPr id="1993780103" name="Рисунок 1993780103" descr="https://ips.ligazakon.net/l_flib1.nsf/LookupFiles/GK40721_IMG_267.GIF/$file/GK40721_IMG_26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Рисунок 20" descr="https://ips.ligazakon.net/l_flib1.nsf/LookupFiles/GK40721_IMG_267.GIF/$file/GK40721_IMG_267.GIF"/>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38150" cy="184150"/>
                          </a:xfrm>
                          <a:prstGeom prst="rect">
                            <a:avLst/>
                          </a:prstGeom>
                          <a:noFill/>
                          <a:ln>
                            <a:noFill/>
                          </a:ln>
                        </pic:spPr>
                      </pic:pic>
                    </a:graphicData>
                  </a:graphic>
                </wp:inline>
              </w:drawing>
            </w:r>
            <w:r w:rsidRPr="00D159D0">
              <w:rPr>
                <w:rStyle w:val="a9"/>
                <w:lang w:val="uk-UA"/>
              </w:rPr>
              <w:t>) розраховується на активи,  за виключенням активів,  що знаходяться на територіях за якими тимчасово втрачено контроль.</w:t>
            </w:r>
          </w:p>
        </w:tc>
        <w:tc>
          <w:tcPr>
            <w:tcW w:w="3544" w:type="dxa"/>
          </w:tcPr>
          <w:p w14:paraId="44C8C26C" w14:textId="5C03C8D3" w:rsidR="00AD2A16" w:rsidRPr="00D159D0" w:rsidRDefault="002B13BD" w:rsidP="004976F9">
            <w:pPr>
              <w:jc w:val="both"/>
              <w:rPr>
                <w:b/>
                <w:bCs/>
                <w:lang w:val="uk-UA"/>
              </w:rPr>
            </w:pPr>
            <w:r w:rsidRPr="00D159D0">
              <w:rPr>
                <w:b/>
                <w:bCs/>
                <w:lang w:val="uk-UA"/>
              </w:rPr>
              <w:lastRenderedPageBreak/>
              <w:t>Прийнято до відома</w:t>
            </w:r>
          </w:p>
          <w:p w14:paraId="64D787B8" w14:textId="77777777" w:rsidR="00EC7509" w:rsidRPr="00D159D0" w:rsidRDefault="00EC7509" w:rsidP="004976F9">
            <w:pPr>
              <w:jc w:val="both"/>
              <w:rPr>
                <w:b/>
                <w:bCs/>
                <w:lang w:val="uk-UA"/>
              </w:rPr>
            </w:pPr>
          </w:p>
          <w:p w14:paraId="3B7E798E" w14:textId="77777777" w:rsidR="00EC7509" w:rsidRPr="00D159D0" w:rsidRDefault="00EC7509" w:rsidP="004976F9">
            <w:pPr>
              <w:jc w:val="both"/>
              <w:rPr>
                <w:b/>
                <w:bCs/>
                <w:lang w:val="uk-UA"/>
              </w:rPr>
            </w:pPr>
          </w:p>
          <w:p w14:paraId="7E0A2302" w14:textId="77777777" w:rsidR="00EC7509" w:rsidRPr="00D159D0" w:rsidRDefault="00EC7509" w:rsidP="004976F9">
            <w:pPr>
              <w:jc w:val="both"/>
              <w:rPr>
                <w:b/>
                <w:bCs/>
                <w:lang w:val="uk-UA"/>
              </w:rPr>
            </w:pPr>
          </w:p>
          <w:p w14:paraId="65EE0F8A" w14:textId="77777777" w:rsidR="00EC7509" w:rsidRPr="00D159D0" w:rsidRDefault="00EC7509" w:rsidP="004976F9">
            <w:pPr>
              <w:jc w:val="both"/>
              <w:rPr>
                <w:b/>
                <w:bCs/>
                <w:lang w:val="uk-UA"/>
              </w:rPr>
            </w:pPr>
          </w:p>
          <w:p w14:paraId="78D71F3C" w14:textId="77777777" w:rsidR="00EC7509" w:rsidRPr="00D159D0" w:rsidRDefault="00EC7509" w:rsidP="004976F9">
            <w:pPr>
              <w:jc w:val="both"/>
              <w:rPr>
                <w:b/>
                <w:bCs/>
                <w:lang w:val="uk-UA"/>
              </w:rPr>
            </w:pPr>
          </w:p>
          <w:p w14:paraId="7DAEE95A" w14:textId="77777777" w:rsidR="000850BC" w:rsidRPr="00D159D0" w:rsidRDefault="000850BC" w:rsidP="004976F9">
            <w:pPr>
              <w:jc w:val="both"/>
              <w:rPr>
                <w:b/>
                <w:bCs/>
                <w:lang w:val="uk-UA"/>
              </w:rPr>
            </w:pPr>
          </w:p>
          <w:p w14:paraId="6FD63588" w14:textId="77777777" w:rsidR="00EC7509" w:rsidRPr="00D159D0" w:rsidRDefault="00EC7509" w:rsidP="004976F9">
            <w:pPr>
              <w:jc w:val="both"/>
              <w:rPr>
                <w:b/>
                <w:bCs/>
                <w:lang w:val="uk-UA"/>
              </w:rPr>
            </w:pPr>
          </w:p>
          <w:p w14:paraId="0CC396B2" w14:textId="77777777" w:rsidR="000850BC" w:rsidRPr="00D159D0" w:rsidRDefault="000850BC" w:rsidP="000850BC">
            <w:pPr>
              <w:widowControl w:val="0"/>
              <w:suppressAutoHyphens/>
              <w:contextualSpacing/>
              <w:jc w:val="both"/>
              <w:rPr>
                <w:b/>
                <w:bCs/>
                <w:lang w:val="uk-UA"/>
              </w:rPr>
            </w:pPr>
            <w:r w:rsidRPr="00D159D0">
              <w:rPr>
                <w:b/>
                <w:bCs/>
                <w:lang w:val="uk-UA"/>
              </w:rPr>
              <w:t>Не враховується</w:t>
            </w:r>
          </w:p>
          <w:p w14:paraId="6F4407A7" w14:textId="5E5C8434" w:rsidR="000850BC" w:rsidRPr="00D159D0" w:rsidRDefault="000850BC" w:rsidP="000850BC">
            <w:pPr>
              <w:jc w:val="both"/>
              <w:rPr>
                <w:lang w:val="uk-UA"/>
              </w:rPr>
            </w:pPr>
            <w:r w:rsidRPr="00D159D0">
              <w:rPr>
                <w:b/>
                <w:lang w:val="uk-UA"/>
              </w:rPr>
              <w:t xml:space="preserve">Пропонується </w:t>
            </w:r>
            <w:r w:rsidRPr="00D159D0">
              <w:rPr>
                <w:lang w:val="uk-UA"/>
              </w:rPr>
              <w:t xml:space="preserve">розглянути запропоновані </w:t>
            </w:r>
            <w:r w:rsidR="0024195D" w:rsidRPr="00D159D0">
              <w:rPr>
                <w:lang w:val="uk-UA"/>
              </w:rPr>
              <w:t xml:space="preserve">пропозиції щодо діяльності прифронтових ОСР </w:t>
            </w:r>
            <w:r w:rsidRPr="00D159D0">
              <w:rPr>
                <w:lang w:val="uk-UA"/>
              </w:rPr>
              <w:t>під час формування окремого блоку чергових змін до Порядку.</w:t>
            </w:r>
          </w:p>
          <w:p w14:paraId="1FE67DA4" w14:textId="77777777" w:rsidR="000850BC" w:rsidRPr="00D159D0" w:rsidRDefault="000850BC" w:rsidP="000850BC">
            <w:pPr>
              <w:jc w:val="both"/>
              <w:rPr>
                <w:bCs/>
                <w:lang w:val="uk-UA"/>
              </w:rPr>
            </w:pPr>
          </w:p>
          <w:p w14:paraId="4124B28A" w14:textId="77777777" w:rsidR="00EC7509" w:rsidRPr="00D159D0" w:rsidRDefault="00EC7509" w:rsidP="004976F9">
            <w:pPr>
              <w:jc w:val="both"/>
              <w:rPr>
                <w:b/>
                <w:bCs/>
                <w:lang w:val="uk-UA"/>
              </w:rPr>
            </w:pPr>
          </w:p>
          <w:p w14:paraId="37E22443" w14:textId="77777777" w:rsidR="00EC7509" w:rsidRPr="00D159D0" w:rsidRDefault="00EC7509" w:rsidP="004976F9">
            <w:pPr>
              <w:jc w:val="both"/>
              <w:rPr>
                <w:b/>
                <w:bCs/>
                <w:lang w:val="uk-UA"/>
              </w:rPr>
            </w:pPr>
          </w:p>
          <w:p w14:paraId="7995E6CB" w14:textId="77777777" w:rsidR="00EC7509" w:rsidRPr="00D159D0" w:rsidRDefault="00EC7509" w:rsidP="004976F9">
            <w:pPr>
              <w:jc w:val="both"/>
              <w:rPr>
                <w:b/>
                <w:bCs/>
                <w:lang w:val="uk-UA"/>
              </w:rPr>
            </w:pPr>
          </w:p>
          <w:p w14:paraId="06C3EC64" w14:textId="77777777" w:rsidR="00EC7509" w:rsidRPr="00D159D0" w:rsidRDefault="00EC7509" w:rsidP="004976F9">
            <w:pPr>
              <w:jc w:val="both"/>
              <w:rPr>
                <w:b/>
                <w:bCs/>
                <w:lang w:val="uk-UA"/>
              </w:rPr>
            </w:pPr>
          </w:p>
          <w:p w14:paraId="25506882" w14:textId="77777777" w:rsidR="00EC7509" w:rsidRPr="00D159D0" w:rsidRDefault="00EC7509" w:rsidP="004976F9">
            <w:pPr>
              <w:jc w:val="both"/>
              <w:rPr>
                <w:b/>
                <w:bCs/>
                <w:lang w:val="uk-UA"/>
              </w:rPr>
            </w:pPr>
          </w:p>
          <w:p w14:paraId="18C61533" w14:textId="77777777" w:rsidR="00EC7509" w:rsidRPr="00D159D0" w:rsidRDefault="00EC7509" w:rsidP="004976F9">
            <w:pPr>
              <w:jc w:val="both"/>
              <w:rPr>
                <w:b/>
                <w:bCs/>
                <w:lang w:val="uk-UA"/>
              </w:rPr>
            </w:pPr>
          </w:p>
          <w:p w14:paraId="0228146E" w14:textId="77777777" w:rsidR="00EC7509" w:rsidRPr="00D159D0" w:rsidRDefault="00EC7509" w:rsidP="004976F9">
            <w:pPr>
              <w:jc w:val="both"/>
              <w:rPr>
                <w:b/>
                <w:bCs/>
                <w:lang w:val="uk-UA"/>
              </w:rPr>
            </w:pPr>
          </w:p>
          <w:p w14:paraId="56A47DB3" w14:textId="77777777" w:rsidR="00EC7509" w:rsidRPr="00D159D0" w:rsidRDefault="00EC7509" w:rsidP="004976F9">
            <w:pPr>
              <w:jc w:val="both"/>
              <w:rPr>
                <w:b/>
                <w:bCs/>
                <w:lang w:val="uk-UA"/>
              </w:rPr>
            </w:pPr>
          </w:p>
          <w:p w14:paraId="7F772FA4" w14:textId="77777777" w:rsidR="00EC7509" w:rsidRPr="00D159D0" w:rsidRDefault="00EC7509" w:rsidP="004976F9">
            <w:pPr>
              <w:jc w:val="both"/>
              <w:rPr>
                <w:b/>
                <w:bCs/>
                <w:lang w:val="uk-UA"/>
              </w:rPr>
            </w:pPr>
          </w:p>
          <w:p w14:paraId="1A6BA1D6" w14:textId="77777777" w:rsidR="00EC7509" w:rsidRPr="00D159D0" w:rsidRDefault="00EC7509" w:rsidP="004976F9">
            <w:pPr>
              <w:jc w:val="both"/>
              <w:rPr>
                <w:b/>
                <w:bCs/>
                <w:lang w:val="uk-UA"/>
              </w:rPr>
            </w:pPr>
          </w:p>
          <w:p w14:paraId="2E2C60F1" w14:textId="77777777" w:rsidR="00EC7509" w:rsidRPr="00D159D0" w:rsidRDefault="00EC7509" w:rsidP="004976F9">
            <w:pPr>
              <w:jc w:val="both"/>
              <w:rPr>
                <w:b/>
                <w:bCs/>
                <w:lang w:val="uk-UA"/>
              </w:rPr>
            </w:pPr>
          </w:p>
          <w:p w14:paraId="778FBAFD" w14:textId="77777777" w:rsidR="00EC7509" w:rsidRPr="00D159D0" w:rsidRDefault="00EC7509" w:rsidP="004976F9">
            <w:pPr>
              <w:jc w:val="both"/>
              <w:rPr>
                <w:b/>
                <w:bCs/>
                <w:lang w:val="uk-UA"/>
              </w:rPr>
            </w:pPr>
          </w:p>
          <w:p w14:paraId="60057A03" w14:textId="77777777" w:rsidR="00EC7509" w:rsidRPr="00D159D0" w:rsidRDefault="00EC7509" w:rsidP="004976F9">
            <w:pPr>
              <w:jc w:val="both"/>
              <w:rPr>
                <w:b/>
                <w:bCs/>
                <w:lang w:val="uk-UA"/>
              </w:rPr>
            </w:pPr>
          </w:p>
          <w:p w14:paraId="4D26B9E7" w14:textId="77777777" w:rsidR="00EC7509" w:rsidRPr="00D159D0" w:rsidRDefault="00EC7509" w:rsidP="004976F9">
            <w:pPr>
              <w:jc w:val="both"/>
              <w:rPr>
                <w:b/>
                <w:bCs/>
                <w:lang w:val="uk-UA"/>
              </w:rPr>
            </w:pPr>
          </w:p>
          <w:p w14:paraId="61B6B393" w14:textId="77777777" w:rsidR="00EC7509" w:rsidRPr="00D159D0" w:rsidRDefault="00EC7509" w:rsidP="004976F9">
            <w:pPr>
              <w:jc w:val="both"/>
              <w:rPr>
                <w:b/>
                <w:bCs/>
                <w:lang w:val="uk-UA"/>
              </w:rPr>
            </w:pPr>
          </w:p>
          <w:p w14:paraId="3913F461" w14:textId="77777777" w:rsidR="00EC7509" w:rsidRPr="00D159D0" w:rsidRDefault="00EC7509" w:rsidP="004976F9">
            <w:pPr>
              <w:jc w:val="both"/>
              <w:rPr>
                <w:b/>
                <w:bCs/>
                <w:lang w:val="uk-UA"/>
              </w:rPr>
            </w:pPr>
          </w:p>
          <w:p w14:paraId="4D930F3E" w14:textId="77777777" w:rsidR="00EC7509" w:rsidRPr="00D159D0" w:rsidRDefault="00EC7509" w:rsidP="004976F9">
            <w:pPr>
              <w:jc w:val="both"/>
              <w:rPr>
                <w:b/>
                <w:bCs/>
                <w:lang w:val="uk-UA"/>
              </w:rPr>
            </w:pPr>
          </w:p>
          <w:p w14:paraId="1DBCADD8" w14:textId="77777777" w:rsidR="00EC7509" w:rsidRPr="00D159D0" w:rsidRDefault="00EC7509" w:rsidP="004976F9">
            <w:pPr>
              <w:jc w:val="both"/>
              <w:rPr>
                <w:b/>
                <w:bCs/>
                <w:lang w:val="uk-UA"/>
              </w:rPr>
            </w:pPr>
          </w:p>
          <w:p w14:paraId="6A65F5A8" w14:textId="77777777" w:rsidR="00EC7509" w:rsidRPr="00D159D0" w:rsidRDefault="00EC7509" w:rsidP="004976F9">
            <w:pPr>
              <w:jc w:val="both"/>
              <w:rPr>
                <w:b/>
                <w:bCs/>
                <w:lang w:val="uk-UA"/>
              </w:rPr>
            </w:pPr>
          </w:p>
          <w:p w14:paraId="648E2517" w14:textId="77777777" w:rsidR="00EC7509" w:rsidRPr="00D159D0" w:rsidRDefault="00EC7509" w:rsidP="004976F9">
            <w:pPr>
              <w:jc w:val="both"/>
              <w:rPr>
                <w:b/>
                <w:bCs/>
                <w:lang w:val="uk-UA"/>
              </w:rPr>
            </w:pPr>
          </w:p>
          <w:p w14:paraId="3C31D53F" w14:textId="77777777" w:rsidR="00EC7509" w:rsidRPr="00D159D0" w:rsidRDefault="00EC7509" w:rsidP="004976F9">
            <w:pPr>
              <w:jc w:val="both"/>
              <w:rPr>
                <w:b/>
                <w:bCs/>
                <w:lang w:val="uk-UA"/>
              </w:rPr>
            </w:pPr>
          </w:p>
          <w:p w14:paraId="5ECEAF52" w14:textId="77777777" w:rsidR="00EC7509" w:rsidRPr="00D159D0" w:rsidRDefault="00EC7509" w:rsidP="004976F9">
            <w:pPr>
              <w:jc w:val="both"/>
              <w:rPr>
                <w:b/>
                <w:bCs/>
                <w:lang w:val="uk-UA"/>
              </w:rPr>
            </w:pPr>
          </w:p>
          <w:p w14:paraId="3A28CA09" w14:textId="77777777" w:rsidR="00EC7509" w:rsidRPr="00D159D0" w:rsidRDefault="00EC7509" w:rsidP="004976F9">
            <w:pPr>
              <w:jc w:val="both"/>
              <w:rPr>
                <w:b/>
                <w:bCs/>
                <w:lang w:val="uk-UA"/>
              </w:rPr>
            </w:pPr>
          </w:p>
          <w:p w14:paraId="49DB8EAA" w14:textId="77777777" w:rsidR="00EC7509" w:rsidRPr="00D159D0" w:rsidRDefault="00EC7509" w:rsidP="004976F9">
            <w:pPr>
              <w:jc w:val="both"/>
              <w:rPr>
                <w:b/>
                <w:bCs/>
                <w:lang w:val="uk-UA"/>
              </w:rPr>
            </w:pPr>
          </w:p>
          <w:p w14:paraId="06FCEFF8" w14:textId="77777777" w:rsidR="00EC7509" w:rsidRPr="00D159D0" w:rsidRDefault="00EC7509" w:rsidP="004976F9">
            <w:pPr>
              <w:jc w:val="both"/>
              <w:rPr>
                <w:b/>
                <w:bCs/>
                <w:lang w:val="uk-UA"/>
              </w:rPr>
            </w:pPr>
          </w:p>
          <w:p w14:paraId="308EB943" w14:textId="77777777" w:rsidR="00EC7509" w:rsidRPr="00D159D0" w:rsidRDefault="00EC7509" w:rsidP="004976F9">
            <w:pPr>
              <w:jc w:val="both"/>
              <w:rPr>
                <w:b/>
                <w:bCs/>
                <w:lang w:val="uk-UA"/>
              </w:rPr>
            </w:pPr>
          </w:p>
          <w:p w14:paraId="6E6613B5" w14:textId="77777777" w:rsidR="00EC7509" w:rsidRPr="00D159D0" w:rsidRDefault="00EC7509" w:rsidP="004976F9">
            <w:pPr>
              <w:jc w:val="both"/>
              <w:rPr>
                <w:b/>
                <w:bCs/>
                <w:lang w:val="uk-UA"/>
              </w:rPr>
            </w:pPr>
          </w:p>
          <w:p w14:paraId="5D0EF4D2" w14:textId="77777777" w:rsidR="00EC7509" w:rsidRPr="00D159D0" w:rsidRDefault="00EC7509" w:rsidP="004976F9">
            <w:pPr>
              <w:jc w:val="both"/>
              <w:rPr>
                <w:b/>
                <w:bCs/>
                <w:lang w:val="uk-UA"/>
              </w:rPr>
            </w:pPr>
          </w:p>
          <w:p w14:paraId="21D3160D" w14:textId="77777777" w:rsidR="00EC7509" w:rsidRPr="00D159D0" w:rsidRDefault="00EC7509" w:rsidP="004976F9">
            <w:pPr>
              <w:jc w:val="both"/>
              <w:rPr>
                <w:b/>
                <w:bCs/>
                <w:lang w:val="uk-UA"/>
              </w:rPr>
            </w:pPr>
          </w:p>
          <w:p w14:paraId="3A01AA91" w14:textId="77777777" w:rsidR="00EC7509" w:rsidRPr="00D159D0" w:rsidRDefault="00EC7509" w:rsidP="004976F9">
            <w:pPr>
              <w:jc w:val="both"/>
              <w:rPr>
                <w:b/>
                <w:bCs/>
                <w:lang w:val="uk-UA"/>
              </w:rPr>
            </w:pPr>
          </w:p>
          <w:p w14:paraId="6CF95F34" w14:textId="77777777" w:rsidR="00EC7509" w:rsidRPr="00D159D0" w:rsidRDefault="00EC7509" w:rsidP="004976F9">
            <w:pPr>
              <w:jc w:val="both"/>
              <w:rPr>
                <w:b/>
                <w:bCs/>
                <w:lang w:val="uk-UA"/>
              </w:rPr>
            </w:pPr>
          </w:p>
          <w:p w14:paraId="35C648A0" w14:textId="77777777" w:rsidR="00EC7509" w:rsidRPr="00D159D0" w:rsidRDefault="00EC7509" w:rsidP="004976F9">
            <w:pPr>
              <w:jc w:val="both"/>
              <w:rPr>
                <w:b/>
                <w:bCs/>
                <w:lang w:val="uk-UA"/>
              </w:rPr>
            </w:pPr>
          </w:p>
          <w:p w14:paraId="12DCE9FC" w14:textId="77777777" w:rsidR="00EC7509" w:rsidRPr="00D159D0" w:rsidRDefault="00EC7509" w:rsidP="004976F9">
            <w:pPr>
              <w:jc w:val="both"/>
              <w:rPr>
                <w:b/>
                <w:bCs/>
                <w:lang w:val="uk-UA"/>
              </w:rPr>
            </w:pPr>
          </w:p>
          <w:p w14:paraId="40092371" w14:textId="77777777" w:rsidR="00EC7509" w:rsidRPr="00D159D0" w:rsidRDefault="00EC7509" w:rsidP="004976F9">
            <w:pPr>
              <w:jc w:val="both"/>
              <w:rPr>
                <w:b/>
                <w:bCs/>
                <w:lang w:val="uk-UA"/>
              </w:rPr>
            </w:pPr>
          </w:p>
          <w:p w14:paraId="39A1770D" w14:textId="77777777" w:rsidR="00EC7509" w:rsidRPr="00D159D0" w:rsidRDefault="00EC7509" w:rsidP="004976F9">
            <w:pPr>
              <w:jc w:val="both"/>
              <w:rPr>
                <w:b/>
                <w:bCs/>
                <w:lang w:val="uk-UA"/>
              </w:rPr>
            </w:pPr>
          </w:p>
          <w:p w14:paraId="0260EEC4" w14:textId="77777777" w:rsidR="00EC7509" w:rsidRPr="00D159D0" w:rsidRDefault="00EC7509" w:rsidP="004976F9">
            <w:pPr>
              <w:jc w:val="both"/>
              <w:rPr>
                <w:b/>
                <w:bCs/>
                <w:lang w:val="uk-UA"/>
              </w:rPr>
            </w:pPr>
          </w:p>
          <w:p w14:paraId="5BB47BCA" w14:textId="77777777" w:rsidR="00EC7509" w:rsidRPr="00D159D0" w:rsidRDefault="00EC7509" w:rsidP="004976F9">
            <w:pPr>
              <w:jc w:val="both"/>
              <w:rPr>
                <w:b/>
                <w:bCs/>
                <w:lang w:val="uk-UA"/>
              </w:rPr>
            </w:pPr>
          </w:p>
          <w:p w14:paraId="35FDE321" w14:textId="77777777" w:rsidR="00EC7509" w:rsidRPr="00D159D0" w:rsidRDefault="00EC7509" w:rsidP="004976F9">
            <w:pPr>
              <w:jc w:val="both"/>
              <w:rPr>
                <w:b/>
                <w:bCs/>
                <w:lang w:val="uk-UA"/>
              </w:rPr>
            </w:pPr>
          </w:p>
          <w:p w14:paraId="67FF454C" w14:textId="77777777" w:rsidR="00EC7509" w:rsidRPr="00D159D0" w:rsidRDefault="00EC7509" w:rsidP="004976F9">
            <w:pPr>
              <w:jc w:val="both"/>
              <w:rPr>
                <w:b/>
                <w:bCs/>
                <w:lang w:val="uk-UA"/>
              </w:rPr>
            </w:pPr>
          </w:p>
          <w:p w14:paraId="47126C6B" w14:textId="77777777" w:rsidR="00EC7509" w:rsidRPr="00D159D0" w:rsidRDefault="00EC7509" w:rsidP="007C486B">
            <w:pPr>
              <w:jc w:val="both"/>
              <w:rPr>
                <w:b/>
                <w:bCs/>
                <w:lang w:val="uk-UA"/>
              </w:rPr>
            </w:pPr>
          </w:p>
          <w:p w14:paraId="7EA201AA" w14:textId="77777777" w:rsidR="00CD1A1C" w:rsidRPr="00D159D0" w:rsidRDefault="00CD1A1C" w:rsidP="007C486B">
            <w:pPr>
              <w:jc w:val="both"/>
              <w:rPr>
                <w:b/>
                <w:bCs/>
                <w:lang w:val="uk-UA"/>
              </w:rPr>
            </w:pPr>
          </w:p>
          <w:p w14:paraId="6D1FB375" w14:textId="77777777" w:rsidR="001E5EE5" w:rsidRPr="00D159D0" w:rsidRDefault="001E5EE5" w:rsidP="007C486B">
            <w:pPr>
              <w:widowControl w:val="0"/>
              <w:suppressAutoHyphens/>
              <w:ind w:hanging="49"/>
              <w:contextualSpacing/>
              <w:jc w:val="both"/>
              <w:rPr>
                <w:b/>
                <w:bCs/>
                <w:lang w:val="uk-UA"/>
              </w:rPr>
            </w:pPr>
            <w:r w:rsidRPr="00D159D0">
              <w:rPr>
                <w:b/>
                <w:bCs/>
                <w:lang w:val="uk-UA"/>
              </w:rPr>
              <w:t>Не враховано</w:t>
            </w:r>
          </w:p>
          <w:p w14:paraId="743491E0" w14:textId="3A3B201A" w:rsidR="001E5EE5" w:rsidRPr="00D159D0" w:rsidRDefault="001E5EE5" w:rsidP="007C486B">
            <w:pPr>
              <w:widowControl w:val="0"/>
              <w:suppressAutoHyphens/>
              <w:ind w:hanging="49"/>
              <w:contextualSpacing/>
              <w:jc w:val="both"/>
              <w:rPr>
                <w:lang w:val="uk-UA"/>
              </w:rPr>
            </w:pPr>
            <w:r w:rsidRPr="00D159D0">
              <w:rPr>
                <w:b/>
                <w:bCs/>
                <w:lang w:val="uk-UA"/>
              </w:rPr>
              <w:t>Недостатньо обґрунтована пропозиція</w:t>
            </w:r>
          </w:p>
          <w:p w14:paraId="1FCD40AD" w14:textId="0B104B42" w:rsidR="001E5EE5" w:rsidRPr="00D159D0" w:rsidRDefault="009A0837" w:rsidP="001E5EE5">
            <w:pPr>
              <w:widowControl w:val="0"/>
              <w:suppressAutoHyphens/>
              <w:ind w:hanging="49"/>
              <w:contextualSpacing/>
              <w:jc w:val="both"/>
              <w:rPr>
                <w:lang w:val="uk-UA"/>
              </w:rPr>
            </w:pPr>
            <w:r w:rsidRPr="00D159D0">
              <w:rPr>
                <w:lang w:val="uk-UA"/>
              </w:rPr>
              <w:t>В</w:t>
            </w:r>
            <w:r w:rsidR="001E5EE5" w:rsidRPr="00D159D0">
              <w:rPr>
                <w:lang w:val="uk-UA"/>
              </w:rPr>
              <w:t>рахування збільшеної амортизації на активи</w:t>
            </w:r>
            <w:r w:rsidR="003C095D" w:rsidRPr="00D159D0">
              <w:rPr>
                <w:lang w:val="uk-UA"/>
              </w:rPr>
              <w:t>,</w:t>
            </w:r>
            <w:r w:rsidR="001E5EE5" w:rsidRPr="00D159D0">
              <w:rPr>
                <w:lang w:val="uk-UA"/>
              </w:rPr>
              <w:t xml:space="preserve"> які створені до переходу на стимулююче регулювання (тобто активи</w:t>
            </w:r>
            <w:r w:rsidR="003C095D" w:rsidRPr="00D159D0">
              <w:rPr>
                <w:lang w:val="uk-UA"/>
              </w:rPr>
              <w:t>,</w:t>
            </w:r>
            <w:r w:rsidR="001E5EE5" w:rsidRPr="00D159D0">
              <w:rPr>
                <w:lang w:val="uk-UA"/>
              </w:rPr>
              <w:t xml:space="preserve"> створені за рахунок тарифних коштів – коштів споживачів)</w:t>
            </w:r>
            <w:r w:rsidR="003C095D" w:rsidRPr="00D159D0">
              <w:rPr>
                <w:lang w:val="uk-UA"/>
              </w:rPr>
              <w:t>,</w:t>
            </w:r>
            <w:r w:rsidR="001E5EE5" w:rsidRPr="00D159D0">
              <w:rPr>
                <w:lang w:val="uk-UA"/>
              </w:rPr>
              <w:t xml:space="preserve"> є не доречним, з урахуванням того, що Компанії не залучають кошти для капіталовкладень у період воєнного стану.</w:t>
            </w:r>
          </w:p>
          <w:p w14:paraId="203701E5" w14:textId="77777777" w:rsidR="001E5EE5" w:rsidRPr="00D159D0" w:rsidRDefault="001E5EE5" w:rsidP="001E5EE5">
            <w:pPr>
              <w:widowControl w:val="0"/>
              <w:suppressAutoHyphens/>
              <w:ind w:firstLine="33"/>
              <w:contextualSpacing/>
              <w:jc w:val="both"/>
              <w:rPr>
                <w:b/>
                <w:sz w:val="26"/>
                <w:szCs w:val="26"/>
                <w:shd w:val="clear" w:color="auto" w:fill="FFFFFF"/>
                <w:lang w:val="uk-UA"/>
              </w:rPr>
            </w:pPr>
            <w:r w:rsidRPr="00D159D0">
              <w:rPr>
                <w:rFonts w:eastAsia="SimSun"/>
                <w:lang w:val="uk-UA" w:bidi="ta-IN"/>
              </w:rPr>
              <w:t>Запропонована пропозиція має розглядатися</w:t>
            </w:r>
            <w:r w:rsidRPr="00D159D0">
              <w:rPr>
                <w:lang w:val="uk-UA"/>
              </w:rPr>
              <w:t xml:space="preserve"> з урахуванням балансу інтересів учасників ринку та споживачів, особливо в умовах воєнного часу.</w:t>
            </w:r>
          </w:p>
          <w:p w14:paraId="605DD08C" w14:textId="14751939" w:rsidR="000850BC" w:rsidRPr="00D159D0" w:rsidRDefault="000850BC" w:rsidP="000850BC">
            <w:pPr>
              <w:jc w:val="both"/>
              <w:rPr>
                <w:b/>
                <w:lang w:val="uk-UA"/>
              </w:rPr>
            </w:pPr>
            <w:r w:rsidRPr="00D159D0">
              <w:rPr>
                <w:b/>
                <w:lang w:val="uk-UA"/>
              </w:rPr>
              <w:lastRenderedPageBreak/>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p w14:paraId="795067E2" w14:textId="77777777" w:rsidR="00EC7509" w:rsidRPr="00D159D0" w:rsidRDefault="00EC7509" w:rsidP="004976F9">
            <w:pPr>
              <w:jc w:val="both"/>
              <w:rPr>
                <w:b/>
                <w:bCs/>
                <w:lang w:val="uk-UA"/>
              </w:rPr>
            </w:pPr>
          </w:p>
          <w:p w14:paraId="1CAE4410" w14:textId="77777777" w:rsidR="00EC7509" w:rsidRPr="00D159D0" w:rsidRDefault="00EC7509" w:rsidP="004976F9">
            <w:pPr>
              <w:jc w:val="both"/>
              <w:rPr>
                <w:b/>
                <w:bCs/>
                <w:lang w:val="uk-UA"/>
              </w:rPr>
            </w:pPr>
          </w:p>
          <w:p w14:paraId="6475D022" w14:textId="77777777" w:rsidR="00EC7509" w:rsidRPr="00D159D0" w:rsidRDefault="00EC7509" w:rsidP="004976F9">
            <w:pPr>
              <w:jc w:val="both"/>
              <w:rPr>
                <w:b/>
                <w:bCs/>
                <w:lang w:val="uk-UA"/>
              </w:rPr>
            </w:pPr>
          </w:p>
          <w:p w14:paraId="16BE9CA5" w14:textId="77777777" w:rsidR="00EC7509" w:rsidRPr="00D159D0" w:rsidRDefault="00EC7509" w:rsidP="004976F9">
            <w:pPr>
              <w:jc w:val="both"/>
              <w:rPr>
                <w:b/>
                <w:bCs/>
                <w:lang w:val="uk-UA"/>
              </w:rPr>
            </w:pPr>
          </w:p>
          <w:p w14:paraId="298C15D3" w14:textId="77777777" w:rsidR="00EC7509" w:rsidRPr="00D159D0" w:rsidRDefault="00EC7509" w:rsidP="004976F9">
            <w:pPr>
              <w:jc w:val="both"/>
              <w:rPr>
                <w:b/>
                <w:bCs/>
                <w:lang w:val="uk-UA"/>
              </w:rPr>
            </w:pPr>
          </w:p>
          <w:p w14:paraId="7E2DF5BF" w14:textId="77777777" w:rsidR="00EC7509" w:rsidRPr="00D159D0" w:rsidRDefault="00EC7509" w:rsidP="004976F9">
            <w:pPr>
              <w:jc w:val="both"/>
              <w:rPr>
                <w:b/>
                <w:bCs/>
                <w:lang w:val="uk-UA"/>
              </w:rPr>
            </w:pPr>
          </w:p>
          <w:p w14:paraId="4439A622" w14:textId="77777777" w:rsidR="00EC7509" w:rsidRPr="00D159D0" w:rsidRDefault="00EC7509" w:rsidP="004976F9">
            <w:pPr>
              <w:jc w:val="both"/>
              <w:rPr>
                <w:b/>
                <w:bCs/>
                <w:lang w:val="uk-UA"/>
              </w:rPr>
            </w:pPr>
          </w:p>
          <w:p w14:paraId="72A74908" w14:textId="77777777" w:rsidR="00EC7509" w:rsidRPr="00D159D0" w:rsidRDefault="00EC7509" w:rsidP="004976F9">
            <w:pPr>
              <w:jc w:val="both"/>
              <w:rPr>
                <w:b/>
                <w:bCs/>
                <w:lang w:val="uk-UA"/>
              </w:rPr>
            </w:pPr>
          </w:p>
          <w:p w14:paraId="2CCBBD24" w14:textId="77777777" w:rsidR="007C486B" w:rsidRPr="00D159D0" w:rsidRDefault="007C486B" w:rsidP="007C486B">
            <w:pPr>
              <w:jc w:val="both"/>
              <w:rPr>
                <w:b/>
                <w:bCs/>
                <w:lang w:val="uk-UA"/>
              </w:rPr>
            </w:pPr>
          </w:p>
          <w:p w14:paraId="1F23E6DF" w14:textId="77777777" w:rsidR="007C486B" w:rsidRPr="00D159D0" w:rsidRDefault="007C486B" w:rsidP="007C486B">
            <w:pPr>
              <w:widowControl w:val="0"/>
              <w:suppressAutoHyphens/>
              <w:ind w:hanging="49"/>
              <w:contextualSpacing/>
              <w:jc w:val="both"/>
              <w:rPr>
                <w:b/>
                <w:bCs/>
                <w:lang w:val="uk-UA"/>
              </w:rPr>
            </w:pPr>
            <w:r w:rsidRPr="00D159D0">
              <w:rPr>
                <w:b/>
                <w:bCs/>
                <w:lang w:val="uk-UA"/>
              </w:rPr>
              <w:t>Не враховано</w:t>
            </w:r>
          </w:p>
          <w:p w14:paraId="3F5CB5DB" w14:textId="77777777" w:rsidR="007C486B" w:rsidRPr="00D159D0" w:rsidRDefault="007C486B" w:rsidP="007C486B">
            <w:pPr>
              <w:widowControl w:val="0"/>
              <w:suppressAutoHyphens/>
              <w:ind w:hanging="49"/>
              <w:contextualSpacing/>
              <w:jc w:val="both"/>
              <w:rPr>
                <w:lang w:val="uk-UA"/>
              </w:rPr>
            </w:pPr>
            <w:r w:rsidRPr="00D159D0">
              <w:rPr>
                <w:b/>
                <w:bCs/>
                <w:lang w:val="uk-UA"/>
              </w:rPr>
              <w:t>Недостатньо обґрунтована пропозиція</w:t>
            </w:r>
          </w:p>
          <w:p w14:paraId="25A98A6D" w14:textId="68181C92" w:rsidR="007C486B" w:rsidRPr="00D159D0" w:rsidRDefault="007C486B" w:rsidP="007C486B">
            <w:pPr>
              <w:widowControl w:val="0"/>
              <w:suppressAutoHyphens/>
              <w:contextualSpacing/>
              <w:jc w:val="both"/>
              <w:rPr>
                <w:lang w:val="uk-UA"/>
              </w:rPr>
            </w:pPr>
            <w:r w:rsidRPr="00D159D0">
              <w:rPr>
                <w:lang w:val="uk-UA"/>
              </w:rPr>
              <w:t>Схваленими змінами враховане те, що на сьогодні врахування збільшеної амортизації на активи</w:t>
            </w:r>
            <w:r w:rsidR="003C095D" w:rsidRPr="00D159D0">
              <w:rPr>
                <w:lang w:val="uk-UA"/>
              </w:rPr>
              <w:t>,</w:t>
            </w:r>
            <w:r w:rsidRPr="00D159D0">
              <w:rPr>
                <w:lang w:val="uk-UA"/>
              </w:rPr>
              <w:t xml:space="preserve"> які створені до переходу на стимулююче регулювання (тобто активи</w:t>
            </w:r>
            <w:r w:rsidR="003C095D" w:rsidRPr="00D159D0">
              <w:rPr>
                <w:lang w:val="uk-UA"/>
              </w:rPr>
              <w:t>,</w:t>
            </w:r>
            <w:r w:rsidRPr="00D159D0">
              <w:rPr>
                <w:lang w:val="uk-UA"/>
              </w:rPr>
              <w:t xml:space="preserve"> створені за рахунок тарифних коштів – коштів споживачів)</w:t>
            </w:r>
            <w:r w:rsidR="003C095D" w:rsidRPr="00D159D0">
              <w:rPr>
                <w:lang w:val="uk-UA"/>
              </w:rPr>
              <w:t>,</w:t>
            </w:r>
            <w:r w:rsidRPr="00D159D0">
              <w:rPr>
                <w:lang w:val="uk-UA"/>
              </w:rPr>
              <w:t xml:space="preserve"> є не доречним, з урахуванням того, що Компанії не залучають кошти для капіталовкладень у період воєнного стану.</w:t>
            </w:r>
          </w:p>
          <w:p w14:paraId="7727BC7B" w14:textId="77777777" w:rsidR="00EC7509" w:rsidRPr="00D159D0" w:rsidRDefault="00EC7509" w:rsidP="004976F9">
            <w:pPr>
              <w:jc w:val="both"/>
              <w:rPr>
                <w:b/>
                <w:bCs/>
              </w:rPr>
            </w:pPr>
          </w:p>
          <w:p w14:paraId="4A76B33E" w14:textId="77777777" w:rsidR="00EC7509" w:rsidRPr="00D159D0" w:rsidRDefault="00EC7509" w:rsidP="004976F9">
            <w:pPr>
              <w:jc w:val="both"/>
              <w:rPr>
                <w:b/>
                <w:bCs/>
                <w:lang w:val="uk-UA"/>
              </w:rPr>
            </w:pPr>
          </w:p>
          <w:p w14:paraId="46C73567" w14:textId="77777777" w:rsidR="00EC7509" w:rsidRPr="00D159D0" w:rsidRDefault="00EC7509" w:rsidP="004976F9">
            <w:pPr>
              <w:jc w:val="both"/>
              <w:rPr>
                <w:b/>
                <w:bCs/>
                <w:lang w:val="uk-UA"/>
              </w:rPr>
            </w:pPr>
          </w:p>
          <w:p w14:paraId="63588F20" w14:textId="77777777" w:rsidR="00EC7509" w:rsidRPr="00D159D0" w:rsidRDefault="00EC7509" w:rsidP="004976F9">
            <w:pPr>
              <w:jc w:val="both"/>
              <w:rPr>
                <w:b/>
                <w:bCs/>
                <w:lang w:val="uk-UA"/>
              </w:rPr>
            </w:pPr>
          </w:p>
          <w:p w14:paraId="7B94F859" w14:textId="77777777" w:rsidR="007C486B" w:rsidRPr="00D159D0" w:rsidRDefault="007C486B" w:rsidP="004976F9">
            <w:pPr>
              <w:jc w:val="both"/>
              <w:rPr>
                <w:b/>
                <w:bCs/>
                <w:lang w:val="uk-UA"/>
              </w:rPr>
            </w:pPr>
          </w:p>
          <w:p w14:paraId="670C94F2" w14:textId="77777777" w:rsidR="007C486B" w:rsidRPr="00D159D0" w:rsidRDefault="007C486B" w:rsidP="004976F9">
            <w:pPr>
              <w:jc w:val="both"/>
              <w:rPr>
                <w:b/>
                <w:bCs/>
                <w:lang w:val="uk-UA"/>
              </w:rPr>
            </w:pPr>
          </w:p>
          <w:p w14:paraId="685EADA6" w14:textId="77777777" w:rsidR="007C486B" w:rsidRPr="00D159D0" w:rsidRDefault="007C486B" w:rsidP="004976F9">
            <w:pPr>
              <w:jc w:val="both"/>
              <w:rPr>
                <w:b/>
                <w:bCs/>
                <w:lang w:val="uk-UA"/>
              </w:rPr>
            </w:pPr>
          </w:p>
          <w:p w14:paraId="7F4EC322" w14:textId="77777777" w:rsidR="007C486B" w:rsidRPr="00D159D0" w:rsidRDefault="007C486B" w:rsidP="004976F9">
            <w:pPr>
              <w:jc w:val="both"/>
              <w:rPr>
                <w:b/>
                <w:bCs/>
                <w:lang w:val="uk-UA"/>
              </w:rPr>
            </w:pPr>
          </w:p>
          <w:p w14:paraId="35BFE707" w14:textId="77777777" w:rsidR="007C486B" w:rsidRPr="00D159D0" w:rsidRDefault="007C486B" w:rsidP="004976F9">
            <w:pPr>
              <w:jc w:val="both"/>
              <w:rPr>
                <w:b/>
                <w:bCs/>
                <w:lang w:val="uk-UA"/>
              </w:rPr>
            </w:pPr>
          </w:p>
          <w:p w14:paraId="3ACDFF67" w14:textId="77777777" w:rsidR="007C486B" w:rsidRPr="00D159D0" w:rsidRDefault="007C486B" w:rsidP="004976F9">
            <w:pPr>
              <w:jc w:val="both"/>
              <w:rPr>
                <w:b/>
                <w:bCs/>
                <w:lang w:val="uk-UA"/>
              </w:rPr>
            </w:pPr>
          </w:p>
          <w:p w14:paraId="2719E9D6" w14:textId="77777777" w:rsidR="007C486B" w:rsidRPr="00D159D0" w:rsidRDefault="007C486B" w:rsidP="004976F9">
            <w:pPr>
              <w:jc w:val="both"/>
              <w:rPr>
                <w:b/>
                <w:bCs/>
                <w:lang w:val="uk-UA"/>
              </w:rPr>
            </w:pPr>
          </w:p>
          <w:p w14:paraId="4B63D2F9" w14:textId="77777777" w:rsidR="007C486B" w:rsidRPr="00D159D0" w:rsidRDefault="007C486B" w:rsidP="004976F9">
            <w:pPr>
              <w:jc w:val="both"/>
              <w:rPr>
                <w:b/>
                <w:bCs/>
                <w:lang w:val="uk-UA"/>
              </w:rPr>
            </w:pPr>
          </w:p>
          <w:p w14:paraId="7ECF4699" w14:textId="77777777" w:rsidR="007C486B" w:rsidRPr="00D159D0" w:rsidRDefault="007C486B" w:rsidP="004976F9">
            <w:pPr>
              <w:jc w:val="both"/>
              <w:rPr>
                <w:b/>
                <w:bCs/>
                <w:lang w:val="uk-UA"/>
              </w:rPr>
            </w:pPr>
          </w:p>
          <w:p w14:paraId="1E1F9C5A" w14:textId="77777777" w:rsidR="007C486B" w:rsidRPr="00D159D0" w:rsidRDefault="007C486B" w:rsidP="004976F9">
            <w:pPr>
              <w:jc w:val="both"/>
              <w:rPr>
                <w:b/>
                <w:bCs/>
                <w:lang w:val="uk-UA"/>
              </w:rPr>
            </w:pPr>
          </w:p>
          <w:p w14:paraId="3A4F37A7" w14:textId="77777777" w:rsidR="007C486B" w:rsidRPr="00D159D0" w:rsidRDefault="007C486B" w:rsidP="004976F9">
            <w:pPr>
              <w:jc w:val="both"/>
              <w:rPr>
                <w:b/>
                <w:bCs/>
                <w:lang w:val="uk-UA"/>
              </w:rPr>
            </w:pPr>
          </w:p>
          <w:p w14:paraId="64519780" w14:textId="77777777" w:rsidR="007C486B" w:rsidRPr="00D159D0" w:rsidRDefault="007C486B" w:rsidP="004976F9">
            <w:pPr>
              <w:jc w:val="both"/>
              <w:rPr>
                <w:b/>
                <w:bCs/>
                <w:lang w:val="uk-UA"/>
              </w:rPr>
            </w:pPr>
          </w:p>
          <w:p w14:paraId="6265BC08" w14:textId="77777777" w:rsidR="007C486B" w:rsidRPr="00D159D0" w:rsidRDefault="007C486B" w:rsidP="004976F9">
            <w:pPr>
              <w:jc w:val="both"/>
              <w:rPr>
                <w:b/>
                <w:bCs/>
                <w:lang w:val="uk-UA"/>
              </w:rPr>
            </w:pPr>
          </w:p>
          <w:p w14:paraId="29A9872D" w14:textId="77777777" w:rsidR="007C486B" w:rsidRPr="00D159D0" w:rsidRDefault="007C486B" w:rsidP="004976F9">
            <w:pPr>
              <w:jc w:val="both"/>
              <w:rPr>
                <w:b/>
                <w:bCs/>
                <w:lang w:val="uk-UA"/>
              </w:rPr>
            </w:pPr>
          </w:p>
          <w:p w14:paraId="70A24474" w14:textId="77777777" w:rsidR="007C486B" w:rsidRPr="00D159D0" w:rsidRDefault="007C486B" w:rsidP="004976F9">
            <w:pPr>
              <w:jc w:val="both"/>
              <w:rPr>
                <w:b/>
                <w:bCs/>
                <w:lang w:val="uk-UA"/>
              </w:rPr>
            </w:pPr>
          </w:p>
          <w:p w14:paraId="7744D3C3" w14:textId="77777777" w:rsidR="00CD1A1C" w:rsidRPr="00D159D0" w:rsidRDefault="00CD1A1C" w:rsidP="004976F9">
            <w:pPr>
              <w:jc w:val="both"/>
              <w:rPr>
                <w:b/>
                <w:bCs/>
                <w:lang w:val="uk-UA"/>
              </w:rPr>
            </w:pPr>
          </w:p>
          <w:p w14:paraId="36B22946" w14:textId="77777777" w:rsidR="00AF73E9" w:rsidRPr="00D159D0" w:rsidRDefault="00AF73E9" w:rsidP="00AF73E9">
            <w:pPr>
              <w:widowControl w:val="0"/>
              <w:suppressAutoHyphens/>
              <w:ind w:hanging="49"/>
              <w:contextualSpacing/>
              <w:jc w:val="both"/>
              <w:rPr>
                <w:b/>
                <w:bCs/>
                <w:lang w:val="uk-UA"/>
              </w:rPr>
            </w:pPr>
            <w:r w:rsidRPr="00D159D0">
              <w:rPr>
                <w:b/>
                <w:bCs/>
                <w:lang w:val="uk-UA"/>
              </w:rPr>
              <w:t>Не враховано</w:t>
            </w:r>
          </w:p>
          <w:p w14:paraId="6BE63D8A" w14:textId="77777777" w:rsidR="00AF73E9" w:rsidRPr="00D159D0" w:rsidRDefault="00AF73E9" w:rsidP="00AF73E9">
            <w:pPr>
              <w:widowControl w:val="0"/>
              <w:suppressAutoHyphens/>
              <w:ind w:hanging="49"/>
              <w:contextualSpacing/>
              <w:jc w:val="both"/>
              <w:rPr>
                <w:lang w:val="uk-UA"/>
              </w:rPr>
            </w:pPr>
            <w:r w:rsidRPr="00D159D0">
              <w:rPr>
                <w:b/>
                <w:bCs/>
                <w:lang w:val="uk-UA"/>
              </w:rPr>
              <w:t>Недостатньо обґрунтована пропозиція</w:t>
            </w:r>
          </w:p>
          <w:p w14:paraId="7AD3D289" w14:textId="317C4882" w:rsidR="00AF73E9" w:rsidRPr="00D159D0" w:rsidRDefault="00AF73E9" w:rsidP="00AF73E9">
            <w:pPr>
              <w:widowControl w:val="0"/>
              <w:suppressAutoHyphens/>
              <w:contextualSpacing/>
              <w:jc w:val="both"/>
              <w:rPr>
                <w:lang w:val="uk-UA"/>
              </w:rPr>
            </w:pPr>
            <w:r w:rsidRPr="00D159D0">
              <w:rPr>
                <w:lang w:val="uk-UA"/>
              </w:rPr>
              <w:t>Схваленими змінами враховане те, що на сьогодні врахування збільшеної амортизації на активи</w:t>
            </w:r>
            <w:r w:rsidR="003C095D" w:rsidRPr="00D159D0">
              <w:rPr>
                <w:lang w:val="uk-UA"/>
              </w:rPr>
              <w:t>,</w:t>
            </w:r>
            <w:r w:rsidRPr="00D159D0">
              <w:rPr>
                <w:lang w:val="uk-UA"/>
              </w:rPr>
              <w:t xml:space="preserve"> які створені до переходу на стимулююче регулювання (тобто активи</w:t>
            </w:r>
            <w:r w:rsidR="003C095D" w:rsidRPr="00D159D0">
              <w:rPr>
                <w:lang w:val="uk-UA"/>
              </w:rPr>
              <w:t>,</w:t>
            </w:r>
            <w:r w:rsidRPr="00D159D0">
              <w:rPr>
                <w:lang w:val="uk-UA"/>
              </w:rPr>
              <w:t xml:space="preserve"> створені за рахунок тарифних коштів – коштів споживачів)</w:t>
            </w:r>
            <w:r w:rsidR="003C095D" w:rsidRPr="00D159D0">
              <w:rPr>
                <w:lang w:val="uk-UA"/>
              </w:rPr>
              <w:t>,</w:t>
            </w:r>
            <w:r w:rsidRPr="00D159D0">
              <w:rPr>
                <w:lang w:val="uk-UA"/>
              </w:rPr>
              <w:t xml:space="preserve"> є не доречним, з урахуванням того, що Компанії не залучають кошти для капіталовкладень у період воєнного стану.</w:t>
            </w:r>
          </w:p>
          <w:p w14:paraId="6CE3DB64" w14:textId="77777777" w:rsidR="007C486B" w:rsidRPr="00D159D0" w:rsidRDefault="007C486B" w:rsidP="004976F9">
            <w:pPr>
              <w:jc w:val="both"/>
              <w:rPr>
                <w:b/>
                <w:bCs/>
                <w:lang w:val="uk-UA"/>
              </w:rPr>
            </w:pPr>
          </w:p>
          <w:p w14:paraId="2C98F839" w14:textId="77777777" w:rsidR="00E97AAB" w:rsidRPr="00D159D0" w:rsidRDefault="00E97AAB" w:rsidP="004976F9">
            <w:pPr>
              <w:jc w:val="both"/>
              <w:rPr>
                <w:b/>
                <w:bCs/>
                <w:lang w:val="uk-UA"/>
              </w:rPr>
            </w:pPr>
          </w:p>
          <w:p w14:paraId="6459C88A" w14:textId="77777777" w:rsidR="00CD1A1C" w:rsidRPr="00D159D0" w:rsidRDefault="00CD1A1C" w:rsidP="004976F9">
            <w:pPr>
              <w:jc w:val="both"/>
              <w:rPr>
                <w:b/>
                <w:bCs/>
                <w:lang w:val="uk-UA"/>
              </w:rPr>
            </w:pPr>
          </w:p>
          <w:p w14:paraId="3FEB82F3" w14:textId="77777777" w:rsidR="00CD1A1C" w:rsidRPr="00D159D0" w:rsidRDefault="00CD1A1C" w:rsidP="004976F9">
            <w:pPr>
              <w:jc w:val="both"/>
              <w:rPr>
                <w:b/>
                <w:bCs/>
                <w:lang w:val="uk-UA"/>
              </w:rPr>
            </w:pPr>
          </w:p>
          <w:p w14:paraId="5AB84223" w14:textId="77777777" w:rsidR="00CD1A1C" w:rsidRPr="00D159D0" w:rsidRDefault="00CD1A1C" w:rsidP="004976F9">
            <w:pPr>
              <w:jc w:val="both"/>
              <w:rPr>
                <w:b/>
                <w:bCs/>
                <w:lang w:val="uk-UA"/>
              </w:rPr>
            </w:pPr>
          </w:p>
          <w:p w14:paraId="21C1A23A" w14:textId="77777777" w:rsidR="00CD1A1C" w:rsidRPr="00D159D0" w:rsidRDefault="00CD1A1C" w:rsidP="004976F9">
            <w:pPr>
              <w:jc w:val="both"/>
              <w:rPr>
                <w:b/>
                <w:bCs/>
                <w:lang w:val="uk-UA"/>
              </w:rPr>
            </w:pPr>
          </w:p>
          <w:p w14:paraId="731F09FE" w14:textId="77777777" w:rsidR="00CD1A1C" w:rsidRPr="00D159D0" w:rsidRDefault="00CD1A1C" w:rsidP="004976F9">
            <w:pPr>
              <w:jc w:val="both"/>
              <w:rPr>
                <w:b/>
                <w:bCs/>
                <w:lang w:val="uk-UA"/>
              </w:rPr>
            </w:pPr>
          </w:p>
          <w:p w14:paraId="14C81133" w14:textId="77777777" w:rsidR="00E97AAB" w:rsidRPr="00D159D0" w:rsidRDefault="00E97AAB" w:rsidP="00E97AAB">
            <w:pPr>
              <w:jc w:val="both"/>
              <w:rPr>
                <w:b/>
                <w:bCs/>
                <w:lang w:val="uk-UA"/>
              </w:rPr>
            </w:pPr>
            <w:r w:rsidRPr="00D159D0">
              <w:rPr>
                <w:b/>
                <w:bCs/>
                <w:lang w:val="uk-UA"/>
              </w:rPr>
              <w:lastRenderedPageBreak/>
              <w:t>Загальна позиція</w:t>
            </w:r>
          </w:p>
          <w:p w14:paraId="3A47B725" w14:textId="77777777" w:rsidR="00AF73E9" w:rsidRPr="00D159D0" w:rsidRDefault="00AF73E9" w:rsidP="00AF73E9">
            <w:pPr>
              <w:widowControl w:val="0"/>
              <w:suppressAutoHyphens/>
              <w:contextualSpacing/>
              <w:jc w:val="both"/>
              <w:rPr>
                <w:b/>
                <w:bCs/>
                <w:lang w:val="uk-UA"/>
              </w:rPr>
            </w:pPr>
            <w:r w:rsidRPr="00D159D0">
              <w:rPr>
                <w:b/>
                <w:bCs/>
                <w:lang w:val="uk-UA"/>
              </w:rPr>
              <w:t>Не враховується</w:t>
            </w:r>
          </w:p>
          <w:p w14:paraId="43DDBE51" w14:textId="77777777" w:rsidR="00CD1A1C" w:rsidRPr="00D159D0" w:rsidRDefault="00CD1A1C" w:rsidP="00CD1A1C">
            <w:pPr>
              <w:jc w:val="both"/>
              <w:rPr>
                <w:b/>
                <w:lang w:val="uk-UA"/>
              </w:rPr>
            </w:pPr>
            <w:r w:rsidRPr="00D159D0">
              <w:rPr>
                <w:b/>
                <w:lang w:val="uk-UA"/>
              </w:rPr>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p w14:paraId="0A40B89D" w14:textId="77777777" w:rsidR="007C486B" w:rsidRPr="00D159D0" w:rsidRDefault="007C486B" w:rsidP="004976F9">
            <w:pPr>
              <w:jc w:val="both"/>
              <w:rPr>
                <w:b/>
                <w:bCs/>
                <w:lang w:val="uk-UA"/>
              </w:rPr>
            </w:pPr>
          </w:p>
          <w:p w14:paraId="76E9A21A" w14:textId="77777777" w:rsidR="007C486B" w:rsidRPr="00D159D0" w:rsidRDefault="007C486B" w:rsidP="004976F9">
            <w:pPr>
              <w:jc w:val="both"/>
              <w:rPr>
                <w:b/>
                <w:bCs/>
                <w:lang w:val="uk-UA"/>
              </w:rPr>
            </w:pPr>
          </w:p>
          <w:p w14:paraId="2709BAD1" w14:textId="77777777" w:rsidR="007C486B" w:rsidRPr="00D159D0" w:rsidRDefault="007C486B" w:rsidP="004976F9">
            <w:pPr>
              <w:jc w:val="both"/>
              <w:rPr>
                <w:b/>
                <w:bCs/>
                <w:lang w:val="uk-UA"/>
              </w:rPr>
            </w:pPr>
          </w:p>
          <w:p w14:paraId="20E67866" w14:textId="77777777" w:rsidR="007C486B" w:rsidRPr="00D159D0" w:rsidRDefault="007C486B" w:rsidP="004976F9">
            <w:pPr>
              <w:jc w:val="both"/>
              <w:rPr>
                <w:b/>
                <w:bCs/>
                <w:lang w:val="uk-UA"/>
              </w:rPr>
            </w:pPr>
          </w:p>
          <w:p w14:paraId="21342094" w14:textId="77777777" w:rsidR="007C486B" w:rsidRPr="00D159D0" w:rsidRDefault="007C486B" w:rsidP="004976F9">
            <w:pPr>
              <w:jc w:val="both"/>
              <w:rPr>
                <w:b/>
                <w:bCs/>
                <w:lang w:val="uk-UA"/>
              </w:rPr>
            </w:pPr>
          </w:p>
          <w:p w14:paraId="1369E58A" w14:textId="77777777" w:rsidR="007C486B" w:rsidRPr="00D159D0" w:rsidRDefault="007C486B" w:rsidP="004976F9">
            <w:pPr>
              <w:jc w:val="both"/>
              <w:rPr>
                <w:b/>
                <w:bCs/>
                <w:lang w:val="uk-UA"/>
              </w:rPr>
            </w:pPr>
          </w:p>
          <w:p w14:paraId="35ABD0A2" w14:textId="77777777" w:rsidR="007C486B" w:rsidRPr="00D159D0" w:rsidRDefault="007C486B" w:rsidP="004976F9">
            <w:pPr>
              <w:jc w:val="both"/>
              <w:rPr>
                <w:b/>
                <w:bCs/>
                <w:lang w:val="uk-UA"/>
              </w:rPr>
            </w:pPr>
          </w:p>
          <w:p w14:paraId="2502DD2F" w14:textId="77777777" w:rsidR="007C486B" w:rsidRPr="00D159D0" w:rsidRDefault="007C486B" w:rsidP="004976F9">
            <w:pPr>
              <w:jc w:val="both"/>
              <w:rPr>
                <w:b/>
                <w:bCs/>
                <w:lang w:val="uk-UA"/>
              </w:rPr>
            </w:pPr>
          </w:p>
          <w:p w14:paraId="726595CD" w14:textId="77777777" w:rsidR="007C486B" w:rsidRPr="00D159D0" w:rsidRDefault="007C486B" w:rsidP="004976F9">
            <w:pPr>
              <w:jc w:val="both"/>
              <w:rPr>
                <w:b/>
                <w:bCs/>
                <w:lang w:val="uk-UA"/>
              </w:rPr>
            </w:pPr>
          </w:p>
          <w:p w14:paraId="714FA849" w14:textId="77777777" w:rsidR="007C486B" w:rsidRPr="00D159D0" w:rsidRDefault="007C486B" w:rsidP="004976F9">
            <w:pPr>
              <w:jc w:val="both"/>
              <w:rPr>
                <w:b/>
                <w:bCs/>
                <w:lang w:val="uk-UA"/>
              </w:rPr>
            </w:pPr>
          </w:p>
          <w:p w14:paraId="1B5BED94" w14:textId="77777777" w:rsidR="007C486B" w:rsidRPr="00D159D0" w:rsidRDefault="007C486B" w:rsidP="004976F9">
            <w:pPr>
              <w:jc w:val="both"/>
              <w:rPr>
                <w:b/>
                <w:bCs/>
                <w:lang w:val="uk-UA"/>
              </w:rPr>
            </w:pPr>
          </w:p>
          <w:p w14:paraId="544A6049" w14:textId="77777777" w:rsidR="007C486B" w:rsidRPr="00D159D0" w:rsidRDefault="007C486B" w:rsidP="004976F9">
            <w:pPr>
              <w:jc w:val="both"/>
              <w:rPr>
                <w:b/>
                <w:bCs/>
                <w:lang w:val="uk-UA"/>
              </w:rPr>
            </w:pPr>
          </w:p>
          <w:p w14:paraId="3128C6CB" w14:textId="77777777" w:rsidR="007C486B" w:rsidRPr="00D159D0" w:rsidRDefault="007C486B" w:rsidP="004976F9">
            <w:pPr>
              <w:jc w:val="both"/>
              <w:rPr>
                <w:b/>
                <w:bCs/>
                <w:lang w:val="uk-UA"/>
              </w:rPr>
            </w:pPr>
          </w:p>
          <w:p w14:paraId="538CF030" w14:textId="77777777" w:rsidR="007C486B" w:rsidRPr="00D159D0" w:rsidRDefault="007C486B" w:rsidP="004976F9">
            <w:pPr>
              <w:jc w:val="both"/>
              <w:rPr>
                <w:b/>
                <w:bCs/>
                <w:lang w:val="uk-UA"/>
              </w:rPr>
            </w:pPr>
          </w:p>
          <w:p w14:paraId="24D3A232" w14:textId="77777777" w:rsidR="007C486B" w:rsidRPr="00D159D0" w:rsidRDefault="007C486B" w:rsidP="004976F9">
            <w:pPr>
              <w:jc w:val="both"/>
              <w:rPr>
                <w:b/>
                <w:bCs/>
                <w:lang w:val="uk-UA"/>
              </w:rPr>
            </w:pPr>
          </w:p>
          <w:p w14:paraId="7A84E1B7" w14:textId="77777777" w:rsidR="007C486B" w:rsidRPr="00D159D0" w:rsidRDefault="007C486B" w:rsidP="004976F9">
            <w:pPr>
              <w:jc w:val="both"/>
              <w:rPr>
                <w:b/>
                <w:bCs/>
                <w:lang w:val="uk-UA"/>
              </w:rPr>
            </w:pPr>
          </w:p>
          <w:p w14:paraId="26133BF2" w14:textId="77777777" w:rsidR="007C486B" w:rsidRPr="00D159D0" w:rsidRDefault="007C486B" w:rsidP="004976F9">
            <w:pPr>
              <w:jc w:val="both"/>
              <w:rPr>
                <w:b/>
                <w:bCs/>
                <w:lang w:val="uk-UA"/>
              </w:rPr>
            </w:pPr>
          </w:p>
          <w:p w14:paraId="5DECF3DA" w14:textId="77777777" w:rsidR="007C486B" w:rsidRPr="00D159D0" w:rsidRDefault="007C486B" w:rsidP="004976F9">
            <w:pPr>
              <w:jc w:val="both"/>
              <w:rPr>
                <w:b/>
                <w:bCs/>
                <w:lang w:val="uk-UA"/>
              </w:rPr>
            </w:pPr>
          </w:p>
          <w:p w14:paraId="390C1854" w14:textId="77777777" w:rsidR="007C486B" w:rsidRPr="00D159D0" w:rsidRDefault="007C486B" w:rsidP="004976F9">
            <w:pPr>
              <w:jc w:val="both"/>
              <w:rPr>
                <w:b/>
                <w:bCs/>
                <w:lang w:val="uk-UA"/>
              </w:rPr>
            </w:pPr>
          </w:p>
          <w:p w14:paraId="5951A6B0" w14:textId="77777777" w:rsidR="007C486B" w:rsidRPr="00D159D0" w:rsidRDefault="007C486B" w:rsidP="004976F9">
            <w:pPr>
              <w:jc w:val="both"/>
              <w:rPr>
                <w:b/>
                <w:bCs/>
                <w:lang w:val="uk-UA"/>
              </w:rPr>
            </w:pPr>
          </w:p>
          <w:p w14:paraId="0F07FDC5" w14:textId="77777777" w:rsidR="007C486B" w:rsidRPr="00D159D0" w:rsidRDefault="007C486B" w:rsidP="004976F9">
            <w:pPr>
              <w:jc w:val="both"/>
              <w:rPr>
                <w:b/>
                <w:bCs/>
                <w:lang w:val="uk-UA"/>
              </w:rPr>
            </w:pPr>
          </w:p>
          <w:p w14:paraId="32320575" w14:textId="77777777" w:rsidR="007C486B" w:rsidRPr="00D159D0" w:rsidRDefault="007C486B" w:rsidP="004976F9">
            <w:pPr>
              <w:jc w:val="both"/>
              <w:rPr>
                <w:b/>
                <w:bCs/>
                <w:lang w:val="uk-UA"/>
              </w:rPr>
            </w:pPr>
          </w:p>
          <w:p w14:paraId="06568ECC" w14:textId="77777777" w:rsidR="007C486B" w:rsidRPr="00D159D0" w:rsidRDefault="007C486B" w:rsidP="004976F9">
            <w:pPr>
              <w:jc w:val="both"/>
              <w:rPr>
                <w:b/>
                <w:bCs/>
                <w:lang w:val="uk-UA"/>
              </w:rPr>
            </w:pPr>
          </w:p>
          <w:p w14:paraId="370A9081" w14:textId="77777777" w:rsidR="007C486B" w:rsidRPr="00D159D0" w:rsidRDefault="007C486B" w:rsidP="004976F9">
            <w:pPr>
              <w:jc w:val="both"/>
              <w:rPr>
                <w:b/>
                <w:bCs/>
                <w:lang w:val="uk-UA"/>
              </w:rPr>
            </w:pPr>
          </w:p>
          <w:p w14:paraId="2EA10413" w14:textId="77777777" w:rsidR="007C486B" w:rsidRPr="00D159D0" w:rsidRDefault="007C486B" w:rsidP="004976F9">
            <w:pPr>
              <w:jc w:val="both"/>
              <w:rPr>
                <w:b/>
                <w:bCs/>
                <w:lang w:val="uk-UA"/>
              </w:rPr>
            </w:pPr>
          </w:p>
          <w:p w14:paraId="3B64474F" w14:textId="77777777" w:rsidR="007C486B" w:rsidRPr="00D159D0" w:rsidRDefault="007C486B" w:rsidP="004976F9">
            <w:pPr>
              <w:jc w:val="both"/>
              <w:rPr>
                <w:b/>
                <w:bCs/>
                <w:lang w:val="uk-UA"/>
              </w:rPr>
            </w:pPr>
          </w:p>
          <w:p w14:paraId="411DE645" w14:textId="77777777" w:rsidR="007C486B" w:rsidRPr="00D159D0" w:rsidRDefault="007C486B" w:rsidP="004976F9">
            <w:pPr>
              <w:jc w:val="both"/>
              <w:rPr>
                <w:b/>
                <w:bCs/>
                <w:lang w:val="uk-UA"/>
              </w:rPr>
            </w:pPr>
          </w:p>
          <w:p w14:paraId="306E22AE" w14:textId="77777777" w:rsidR="007C486B" w:rsidRPr="00D159D0" w:rsidRDefault="007C486B" w:rsidP="004976F9">
            <w:pPr>
              <w:jc w:val="both"/>
              <w:rPr>
                <w:b/>
                <w:bCs/>
                <w:lang w:val="uk-UA"/>
              </w:rPr>
            </w:pPr>
          </w:p>
          <w:p w14:paraId="7080EB96" w14:textId="77777777" w:rsidR="007C486B" w:rsidRPr="00D159D0" w:rsidRDefault="007C486B" w:rsidP="004976F9">
            <w:pPr>
              <w:jc w:val="both"/>
              <w:rPr>
                <w:b/>
                <w:bCs/>
                <w:lang w:val="uk-UA"/>
              </w:rPr>
            </w:pPr>
          </w:p>
          <w:p w14:paraId="0F747ABB" w14:textId="77777777" w:rsidR="007C486B" w:rsidRPr="00D159D0" w:rsidRDefault="007C486B" w:rsidP="004976F9">
            <w:pPr>
              <w:jc w:val="both"/>
              <w:rPr>
                <w:b/>
                <w:bCs/>
                <w:lang w:val="uk-UA"/>
              </w:rPr>
            </w:pPr>
          </w:p>
          <w:p w14:paraId="5777AF3E" w14:textId="77777777" w:rsidR="00EC7509" w:rsidRPr="00D159D0" w:rsidRDefault="00EC7509" w:rsidP="004976F9">
            <w:pPr>
              <w:jc w:val="both"/>
              <w:rPr>
                <w:b/>
                <w:bCs/>
                <w:lang w:val="uk-UA"/>
              </w:rPr>
            </w:pPr>
          </w:p>
          <w:p w14:paraId="55B1DC11" w14:textId="77777777" w:rsidR="00EC7509" w:rsidRPr="00D159D0" w:rsidRDefault="00EC7509" w:rsidP="004976F9">
            <w:pPr>
              <w:jc w:val="both"/>
              <w:rPr>
                <w:b/>
                <w:bCs/>
                <w:lang w:val="uk-UA"/>
              </w:rPr>
            </w:pPr>
          </w:p>
          <w:p w14:paraId="23546B91" w14:textId="77777777" w:rsidR="00EC7509" w:rsidRPr="00D159D0" w:rsidRDefault="00EC7509" w:rsidP="004976F9">
            <w:pPr>
              <w:jc w:val="both"/>
              <w:rPr>
                <w:b/>
                <w:bCs/>
                <w:lang w:val="uk-UA"/>
              </w:rPr>
            </w:pPr>
          </w:p>
          <w:p w14:paraId="78AF6906" w14:textId="77777777" w:rsidR="00EC7509" w:rsidRPr="00D159D0" w:rsidRDefault="00EC7509" w:rsidP="004976F9">
            <w:pPr>
              <w:jc w:val="both"/>
              <w:rPr>
                <w:b/>
                <w:bCs/>
                <w:lang w:val="uk-UA"/>
              </w:rPr>
            </w:pPr>
          </w:p>
          <w:p w14:paraId="7C5CF2BA" w14:textId="77777777" w:rsidR="00EC7509" w:rsidRPr="00D159D0" w:rsidRDefault="00EC7509" w:rsidP="004976F9">
            <w:pPr>
              <w:jc w:val="both"/>
              <w:rPr>
                <w:b/>
                <w:bCs/>
                <w:lang w:val="uk-UA"/>
              </w:rPr>
            </w:pPr>
          </w:p>
          <w:p w14:paraId="14D8CAF9" w14:textId="77777777" w:rsidR="00EC7509" w:rsidRPr="00D159D0" w:rsidRDefault="00EC7509" w:rsidP="004976F9">
            <w:pPr>
              <w:jc w:val="both"/>
              <w:rPr>
                <w:b/>
                <w:bCs/>
                <w:lang w:val="uk-UA"/>
              </w:rPr>
            </w:pPr>
          </w:p>
          <w:p w14:paraId="5BEF809B" w14:textId="77777777" w:rsidR="00EC7509" w:rsidRPr="00D159D0" w:rsidRDefault="00EC7509" w:rsidP="004976F9">
            <w:pPr>
              <w:jc w:val="both"/>
              <w:rPr>
                <w:b/>
                <w:bCs/>
                <w:lang w:val="uk-UA"/>
              </w:rPr>
            </w:pPr>
          </w:p>
          <w:p w14:paraId="0E25A576" w14:textId="77777777" w:rsidR="00EC7509" w:rsidRPr="00D159D0" w:rsidRDefault="00EC7509" w:rsidP="004976F9">
            <w:pPr>
              <w:jc w:val="both"/>
              <w:rPr>
                <w:b/>
                <w:bCs/>
                <w:lang w:val="uk-UA"/>
              </w:rPr>
            </w:pPr>
          </w:p>
          <w:p w14:paraId="5549499A" w14:textId="77777777" w:rsidR="00EC7509" w:rsidRPr="00D159D0" w:rsidRDefault="00EC7509" w:rsidP="004976F9">
            <w:pPr>
              <w:jc w:val="both"/>
              <w:rPr>
                <w:b/>
                <w:bCs/>
                <w:lang w:val="uk-UA"/>
              </w:rPr>
            </w:pPr>
          </w:p>
          <w:p w14:paraId="77997973" w14:textId="77777777" w:rsidR="00EC7509" w:rsidRPr="00D159D0" w:rsidRDefault="00EC7509" w:rsidP="004976F9">
            <w:pPr>
              <w:jc w:val="both"/>
              <w:rPr>
                <w:b/>
                <w:bCs/>
                <w:lang w:val="uk-UA"/>
              </w:rPr>
            </w:pPr>
          </w:p>
          <w:p w14:paraId="55D52F2E" w14:textId="77777777" w:rsidR="00EC7509" w:rsidRPr="00D159D0" w:rsidRDefault="00EC7509" w:rsidP="004976F9">
            <w:pPr>
              <w:jc w:val="both"/>
              <w:rPr>
                <w:b/>
                <w:bCs/>
                <w:lang w:val="uk-UA"/>
              </w:rPr>
            </w:pPr>
          </w:p>
          <w:p w14:paraId="6E7FE208" w14:textId="77777777" w:rsidR="00EC7509" w:rsidRPr="00D159D0" w:rsidRDefault="00EC7509" w:rsidP="004976F9">
            <w:pPr>
              <w:jc w:val="both"/>
              <w:rPr>
                <w:b/>
                <w:bCs/>
                <w:lang w:val="uk-UA"/>
              </w:rPr>
            </w:pPr>
          </w:p>
          <w:p w14:paraId="3B0F4372" w14:textId="77777777" w:rsidR="00EC7509" w:rsidRPr="00D159D0" w:rsidRDefault="00EC7509" w:rsidP="004976F9">
            <w:pPr>
              <w:jc w:val="both"/>
              <w:rPr>
                <w:b/>
                <w:bCs/>
                <w:lang w:val="uk-UA"/>
              </w:rPr>
            </w:pPr>
          </w:p>
          <w:p w14:paraId="539B2DAD" w14:textId="77777777" w:rsidR="00EC7509" w:rsidRPr="00D159D0" w:rsidRDefault="00EC7509" w:rsidP="004976F9">
            <w:pPr>
              <w:jc w:val="both"/>
              <w:rPr>
                <w:b/>
                <w:bCs/>
                <w:lang w:val="uk-UA"/>
              </w:rPr>
            </w:pPr>
          </w:p>
          <w:p w14:paraId="033427B5" w14:textId="77777777" w:rsidR="00EC7509" w:rsidRPr="00D159D0" w:rsidRDefault="00EC7509" w:rsidP="004976F9">
            <w:pPr>
              <w:jc w:val="both"/>
              <w:rPr>
                <w:b/>
                <w:bCs/>
                <w:lang w:val="uk-UA"/>
              </w:rPr>
            </w:pPr>
          </w:p>
          <w:p w14:paraId="02E406C7" w14:textId="77777777" w:rsidR="00EC7509" w:rsidRPr="00D159D0" w:rsidRDefault="00EC7509" w:rsidP="004976F9">
            <w:pPr>
              <w:jc w:val="both"/>
              <w:rPr>
                <w:b/>
                <w:bCs/>
                <w:lang w:val="uk-UA"/>
              </w:rPr>
            </w:pPr>
          </w:p>
          <w:p w14:paraId="00E4A05E" w14:textId="77777777" w:rsidR="00EC7509" w:rsidRPr="00D159D0" w:rsidRDefault="00EC7509" w:rsidP="004976F9">
            <w:pPr>
              <w:jc w:val="both"/>
              <w:rPr>
                <w:b/>
                <w:bCs/>
                <w:lang w:val="uk-UA"/>
              </w:rPr>
            </w:pPr>
          </w:p>
          <w:p w14:paraId="5DE8F6BB" w14:textId="77777777" w:rsidR="00EC7509" w:rsidRPr="00D159D0" w:rsidRDefault="00EC7509" w:rsidP="004976F9">
            <w:pPr>
              <w:jc w:val="both"/>
              <w:rPr>
                <w:b/>
                <w:bCs/>
                <w:lang w:val="uk-UA"/>
              </w:rPr>
            </w:pPr>
          </w:p>
          <w:p w14:paraId="4D4E4C2C" w14:textId="77777777" w:rsidR="00EC7509" w:rsidRPr="00D159D0" w:rsidRDefault="00EC7509" w:rsidP="004976F9">
            <w:pPr>
              <w:jc w:val="both"/>
              <w:rPr>
                <w:b/>
                <w:bCs/>
                <w:lang w:val="uk-UA"/>
              </w:rPr>
            </w:pPr>
          </w:p>
          <w:p w14:paraId="4FCD2341" w14:textId="77777777" w:rsidR="00EC7509" w:rsidRPr="00D159D0" w:rsidRDefault="00EC7509" w:rsidP="004976F9">
            <w:pPr>
              <w:jc w:val="both"/>
              <w:rPr>
                <w:b/>
                <w:bCs/>
                <w:lang w:val="uk-UA"/>
              </w:rPr>
            </w:pPr>
          </w:p>
          <w:p w14:paraId="0BCE4457" w14:textId="77777777" w:rsidR="00EC7509" w:rsidRPr="00D159D0" w:rsidRDefault="00EC7509" w:rsidP="004976F9">
            <w:pPr>
              <w:jc w:val="both"/>
              <w:rPr>
                <w:b/>
                <w:bCs/>
                <w:lang w:val="uk-UA"/>
              </w:rPr>
            </w:pPr>
          </w:p>
          <w:p w14:paraId="03207B47" w14:textId="77777777" w:rsidR="00EC7509" w:rsidRPr="00D159D0" w:rsidRDefault="00EC7509" w:rsidP="004976F9">
            <w:pPr>
              <w:jc w:val="both"/>
              <w:rPr>
                <w:b/>
                <w:bCs/>
                <w:lang w:val="uk-UA"/>
              </w:rPr>
            </w:pPr>
          </w:p>
          <w:p w14:paraId="1025F2B7" w14:textId="77777777" w:rsidR="00EC7509" w:rsidRPr="00D159D0" w:rsidRDefault="00EC7509" w:rsidP="004976F9">
            <w:pPr>
              <w:jc w:val="both"/>
              <w:rPr>
                <w:b/>
                <w:bCs/>
                <w:lang w:val="uk-UA"/>
              </w:rPr>
            </w:pPr>
          </w:p>
          <w:p w14:paraId="1ADD187F" w14:textId="77777777" w:rsidR="00EC7509" w:rsidRPr="00D159D0" w:rsidRDefault="00EC7509" w:rsidP="004976F9">
            <w:pPr>
              <w:jc w:val="both"/>
              <w:rPr>
                <w:b/>
                <w:bCs/>
                <w:lang w:val="uk-UA"/>
              </w:rPr>
            </w:pPr>
          </w:p>
          <w:p w14:paraId="2F018B97" w14:textId="77777777" w:rsidR="00EC7509" w:rsidRPr="00D159D0" w:rsidRDefault="00EC7509" w:rsidP="004976F9">
            <w:pPr>
              <w:jc w:val="both"/>
              <w:rPr>
                <w:b/>
                <w:bCs/>
                <w:lang w:val="uk-UA"/>
              </w:rPr>
            </w:pPr>
          </w:p>
          <w:p w14:paraId="6954F652" w14:textId="77777777" w:rsidR="00EC7509" w:rsidRPr="00D159D0" w:rsidRDefault="00EC7509" w:rsidP="004976F9">
            <w:pPr>
              <w:jc w:val="both"/>
              <w:rPr>
                <w:b/>
                <w:bCs/>
                <w:lang w:val="uk-UA"/>
              </w:rPr>
            </w:pPr>
          </w:p>
          <w:p w14:paraId="7B7A9927" w14:textId="77777777" w:rsidR="00EC7509" w:rsidRPr="00D159D0" w:rsidRDefault="00EC7509" w:rsidP="004976F9">
            <w:pPr>
              <w:jc w:val="both"/>
              <w:rPr>
                <w:b/>
                <w:bCs/>
                <w:lang w:val="uk-UA"/>
              </w:rPr>
            </w:pPr>
          </w:p>
          <w:p w14:paraId="2952668E" w14:textId="77777777" w:rsidR="00EC7509" w:rsidRPr="00D159D0" w:rsidRDefault="00EC7509" w:rsidP="004976F9">
            <w:pPr>
              <w:jc w:val="both"/>
              <w:rPr>
                <w:b/>
                <w:bCs/>
                <w:lang w:val="uk-UA"/>
              </w:rPr>
            </w:pPr>
          </w:p>
          <w:p w14:paraId="593512F3" w14:textId="77777777" w:rsidR="00EC7509" w:rsidRPr="00D159D0" w:rsidRDefault="00EC7509" w:rsidP="004976F9">
            <w:pPr>
              <w:jc w:val="both"/>
              <w:rPr>
                <w:b/>
                <w:bCs/>
                <w:lang w:val="uk-UA"/>
              </w:rPr>
            </w:pPr>
          </w:p>
          <w:p w14:paraId="6424EB69" w14:textId="77777777" w:rsidR="00EC7509" w:rsidRPr="00D159D0" w:rsidRDefault="00EC7509" w:rsidP="004976F9">
            <w:pPr>
              <w:jc w:val="both"/>
              <w:rPr>
                <w:b/>
                <w:bCs/>
                <w:lang w:val="uk-UA"/>
              </w:rPr>
            </w:pPr>
          </w:p>
          <w:p w14:paraId="77681400" w14:textId="77777777" w:rsidR="00EC7509" w:rsidRPr="00D159D0" w:rsidRDefault="00EC7509" w:rsidP="004976F9">
            <w:pPr>
              <w:jc w:val="both"/>
              <w:rPr>
                <w:b/>
                <w:bCs/>
                <w:lang w:val="uk-UA"/>
              </w:rPr>
            </w:pPr>
          </w:p>
          <w:p w14:paraId="6ED443AD" w14:textId="77777777" w:rsidR="00EC7509" w:rsidRPr="00D159D0" w:rsidRDefault="00EC7509" w:rsidP="004976F9">
            <w:pPr>
              <w:jc w:val="both"/>
              <w:rPr>
                <w:b/>
                <w:bCs/>
                <w:lang w:val="uk-UA"/>
              </w:rPr>
            </w:pPr>
          </w:p>
          <w:p w14:paraId="5D26266B" w14:textId="77777777" w:rsidR="00EC7509" w:rsidRPr="00D159D0" w:rsidRDefault="00EC7509" w:rsidP="00AF73E9">
            <w:pPr>
              <w:jc w:val="both"/>
              <w:rPr>
                <w:b/>
                <w:bCs/>
                <w:lang w:val="uk-UA"/>
              </w:rPr>
            </w:pPr>
          </w:p>
        </w:tc>
      </w:tr>
      <w:tr w:rsidR="00D159D0" w:rsidRPr="00D159D0" w14:paraId="390B3B4E" w14:textId="77777777" w:rsidTr="00EE26FC">
        <w:tc>
          <w:tcPr>
            <w:tcW w:w="5665" w:type="dxa"/>
          </w:tcPr>
          <w:p w14:paraId="698C75BD" w14:textId="77777777" w:rsidR="005235BC" w:rsidRPr="00D159D0" w:rsidRDefault="005235BC" w:rsidP="004976F9">
            <w:pPr>
              <w:shd w:val="clear" w:color="auto" w:fill="FFFFFF"/>
              <w:ind w:firstLine="450"/>
              <w:jc w:val="both"/>
              <w:rPr>
                <w:lang w:val="uk-UA" w:eastAsia="uk-UA"/>
              </w:rPr>
            </w:pPr>
            <w:r w:rsidRPr="00D159D0">
              <w:rPr>
                <w:lang w:val="uk-UA" w:eastAsia="uk-UA"/>
              </w:rPr>
              <w:lastRenderedPageBreak/>
              <w:t>5.13. Прибуток на регуляторну базу активів у році t визначається за формулою</w:t>
            </w:r>
          </w:p>
          <w:tbl>
            <w:tblPr>
              <w:tblW w:w="4259" w:type="dxa"/>
              <w:tblLayout w:type="fixed"/>
              <w:tblCellMar>
                <w:top w:w="15" w:type="dxa"/>
                <w:left w:w="15" w:type="dxa"/>
                <w:bottom w:w="15" w:type="dxa"/>
                <w:right w:w="15" w:type="dxa"/>
              </w:tblCellMar>
              <w:tblLook w:val="04A0" w:firstRow="1" w:lastRow="0" w:firstColumn="1" w:lastColumn="0" w:noHBand="0" w:noVBand="1"/>
            </w:tblPr>
            <w:tblGrid>
              <w:gridCol w:w="184"/>
              <w:gridCol w:w="701"/>
              <w:gridCol w:w="68"/>
              <w:gridCol w:w="2401"/>
              <w:gridCol w:w="385"/>
              <w:gridCol w:w="520"/>
            </w:tblGrid>
            <w:tr w:rsidR="00D159D0" w:rsidRPr="00D159D0" w14:paraId="3D3F6116" w14:textId="77777777" w:rsidTr="00BE7345">
              <w:tc>
                <w:tcPr>
                  <w:tcW w:w="3739" w:type="dxa"/>
                  <w:gridSpan w:val="5"/>
                  <w:tcBorders>
                    <w:top w:val="single" w:sz="2" w:space="0" w:color="auto"/>
                    <w:left w:val="single" w:sz="2" w:space="0" w:color="auto"/>
                    <w:bottom w:val="single" w:sz="2" w:space="0" w:color="auto"/>
                    <w:right w:val="single" w:sz="2" w:space="0" w:color="auto"/>
                  </w:tcBorders>
                  <w:hideMark/>
                </w:tcPr>
                <w:p w14:paraId="4C8DBD75" w14:textId="77777777" w:rsidR="005235BC" w:rsidRPr="00D159D0" w:rsidRDefault="005235BC" w:rsidP="004976F9">
                  <w:pPr>
                    <w:jc w:val="center"/>
                    <w:rPr>
                      <w:lang w:val="uk-UA" w:eastAsia="uk-UA"/>
                    </w:rPr>
                  </w:pPr>
                  <w:r w:rsidRPr="00D159D0">
                    <w:rPr>
                      <w:noProof/>
                      <w:lang w:val="uk-UA" w:eastAsia="uk-UA"/>
                    </w:rPr>
                    <w:drawing>
                      <wp:inline distT="0" distB="0" distL="0" distR="0" wp14:anchorId="1D4A9182" wp14:editId="50BCD9E7">
                        <wp:extent cx="2927268" cy="154234"/>
                        <wp:effectExtent l="0" t="0" r="0" b="0"/>
                        <wp:docPr id="673281672" name="Рисунок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58070" cy="155857"/>
                                </a:xfrm>
                                <a:prstGeom prst="rect">
                                  <a:avLst/>
                                </a:prstGeom>
                                <a:noFill/>
                                <a:ln>
                                  <a:noFill/>
                                </a:ln>
                              </pic:spPr>
                            </pic:pic>
                          </a:graphicData>
                        </a:graphic>
                      </wp:inline>
                    </w:drawing>
                  </w:r>
                </w:p>
              </w:tc>
              <w:tc>
                <w:tcPr>
                  <w:tcW w:w="291" w:type="dxa"/>
                  <w:tcBorders>
                    <w:top w:val="single" w:sz="2" w:space="0" w:color="auto"/>
                    <w:left w:val="single" w:sz="2" w:space="0" w:color="auto"/>
                    <w:bottom w:val="single" w:sz="2" w:space="0" w:color="auto"/>
                    <w:right w:val="single" w:sz="2" w:space="0" w:color="auto"/>
                  </w:tcBorders>
                  <w:hideMark/>
                </w:tcPr>
                <w:p w14:paraId="74AA1D9F" w14:textId="77777777" w:rsidR="005235BC" w:rsidRPr="00D159D0" w:rsidRDefault="005235BC" w:rsidP="004976F9">
                  <w:pPr>
                    <w:jc w:val="right"/>
                    <w:rPr>
                      <w:lang w:val="uk-UA" w:eastAsia="uk-UA"/>
                    </w:rPr>
                  </w:pPr>
                  <w:r w:rsidRPr="00D159D0">
                    <w:rPr>
                      <w:lang w:val="uk-UA" w:eastAsia="uk-UA"/>
                    </w:rPr>
                    <w:t>(12)</w:t>
                  </w:r>
                </w:p>
              </w:tc>
            </w:tr>
            <w:tr w:rsidR="00D159D0" w:rsidRPr="00D159D0" w14:paraId="45209AAD" w14:textId="77777777" w:rsidTr="00BE7345">
              <w:tc>
                <w:tcPr>
                  <w:tcW w:w="184" w:type="dxa"/>
                  <w:tcBorders>
                    <w:top w:val="single" w:sz="2" w:space="0" w:color="auto"/>
                    <w:left w:val="single" w:sz="2" w:space="0" w:color="auto"/>
                    <w:bottom w:val="single" w:sz="2" w:space="0" w:color="auto"/>
                    <w:right w:val="single" w:sz="2" w:space="0" w:color="auto"/>
                  </w:tcBorders>
                  <w:hideMark/>
                </w:tcPr>
                <w:p w14:paraId="437C5A70" w14:textId="77777777" w:rsidR="005235BC" w:rsidRPr="00D159D0" w:rsidRDefault="005235BC" w:rsidP="004976F9">
                  <w:pPr>
                    <w:rPr>
                      <w:lang w:val="uk-UA" w:eastAsia="uk-UA"/>
                    </w:rPr>
                  </w:pPr>
                  <w:r w:rsidRPr="00D159D0">
                    <w:rPr>
                      <w:lang w:val="uk-UA" w:eastAsia="uk-UA"/>
                    </w:rPr>
                    <w:t>де</w:t>
                  </w:r>
                </w:p>
              </w:tc>
              <w:tc>
                <w:tcPr>
                  <w:tcW w:w="701" w:type="dxa"/>
                  <w:tcBorders>
                    <w:top w:val="single" w:sz="2" w:space="0" w:color="auto"/>
                    <w:left w:val="single" w:sz="2" w:space="0" w:color="auto"/>
                    <w:bottom w:val="single" w:sz="2" w:space="0" w:color="auto"/>
                    <w:right w:val="single" w:sz="2" w:space="0" w:color="auto"/>
                  </w:tcBorders>
                  <w:hideMark/>
                </w:tcPr>
                <w:p w14:paraId="14A6658A" w14:textId="77777777" w:rsidR="005235BC" w:rsidRPr="00D159D0" w:rsidRDefault="005235BC" w:rsidP="004976F9">
                  <w:pPr>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oMath>
                  </m:oMathPara>
                </w:p>
                <w:p w14:paraId="4E92135B" w14:textId="77777777" w:rsidR="005235BC" w:rsidRPr="00D159D0" w:rsidRDefault="005235BC" w:rsidP="004976F9">
                  <w:pPr>
                    <w:rPr>
                      <w:lang w:val="uk-UA" w:eastAsia="uk-UA"/>
                    </w:rPr>
                  </w:pPr>
                </w:p>
              </w:tc>
              <w:tc>
                <w:tcPr>
                  <w:tcW w:w="68" w:type="dxa"/>
                  <w:tcBorders>
                    <w:top w:val="single" w:sz="2" w:space="0" w:color="auto"/>
                    <w:left w:val="single" w:sz="2" w:space="0" w:color="auto"/>
                    <w:bottom w:val="single" w:sz="2" w:space="0" w:color="auto"/>
                    <w:right w:val="single" w:sz="2" w:space="0" w:color="auto"/>
                  </w:tcBorders>
                  <w:hideMark/>
                </w:tcPr>
                <w:p w14:paraId="54FD7B0D" w14:textId="77777777" w:rsidR="005235BC" w:rsidRPr="00D159D0" w:rsidRDefault="005235BC" w:rsidP="004976F9">
                  <w:pPr>
                    <w:jc w:val="center"/>
                    <w:rPr>
                      <w:lang w:val="uk-UA" w:eastAsia="uk-UA"/>
                    </w:rPr>
                  </w:pPr>
                  <w:r w:rsidRPr="00D159D0">
                    <w:rPr>
                      <w:lang w:val="uk-UA" w:eastAsia="uk-UA"/>
                    </w:rPr>
                    <w:t>-</w:t>
                  </w:r>
                </w:p>
              </w:tc>
              <w:tc>
                <w:tcPr>
                  <w:tcW w:w="3297" w:type="dxa"/>
                  <w:gridSpan w:val="3"/>
                  <w:tcBorders>
                    <w:top w:val="single" w:sz="2" w:space="0" w:color="auto"/>
                    <w:left w:val="single" w:sz="2" w:space="0" w:color="auto"/>
                    <w:bottom w:val="single" w:sz="2" w:space="0" w:color="auto"/>
                    <w:right w:val="single" w:sz="2" w:space="0" w:color="auto"/>
                  </w:tcBorders>
                  <w:hideMark/>
                </w:tcPr>
                <w:p w14:paraId="1B667844" w14:textId="77777777" w:rsidR="005235BC" w:rsidRPr="00D159D0" w:rsidRDefault="005235BC" w:rsidP="004976F9">
                  <w:pPr>
                    <w:ind w:left="284"/>
                    <w:rPr>
                      <w:lang w:val="uk-UA" w:eastAsia="uk-UA"/>
                    </w:rPr>
                  </w:pPr>
                  <w:r w:rsidRPr="00D159D0">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tc>
            </w:tr>
            <w:tr w:rsidR="00D159D0" w:rsidRPr="00D159D0" w14:paraId="51111B06" w14:textId="77777777" w:rsidTr="00BE7345">
              <w:tblPrEx>
                <w:tblCellMar>
                  <w:top w:w="0" w:type="dxa"/>
                  <w:left w:w="0" w:type="dxa"/>
                  <w:bottom w:w="0" w:type="dxa"/>
                  <w:right w:w="0" w:type="dxa"/>
                </w:tblCellMar>
              </w:tblPrEx>
              <w:tc>
                <w:tcPr>
                  <w:tcW w:w="3354" w:type="dxa"/>
                  <w:gridSpan w:val="4"/>
                  <w:tcBorders>
                    <w:top w:val="single" w:sz="2" w:space="0" w:color="auto"/>
                    <w:left w:val="single" w:sz="2" w:space="0" w:color="auto"/>
                    <w:bottom w:val="single" w:sz="2" w:space="0" w:color="auto"/>
                    <w:right w:val="single" w:sz="2" w:space="0" w:color="auto"/>
                  </w:tcBorders>
                  <w:hideMark/>
                </w:tcPr>
                <w:p w14:paraId="0EDAADC0" w14:textId="77777777" w:rsidR="005235BC" w:rsidRPr="00D159D0" w:rsidRDefault="005235BC" w:rsidP="004976F9">
                  <w:pPr>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Pr="00D159D0">
                    <w:rPr>
                      <w:b/>
                      <w:lang w:val="uk-UA"/>
                    </w:rPr>
                    <w:t xml:space="preserve">, </w:t>
                  </w:r>
                </w:p>
              </w:tc>
              <w:tc>
                <w:tcPr>
                  <w:tcW w:w="905" w:type="dxa"/>
                  <w:gridSpan w:val="2"/>
                  <w:tcBorders>
                    <w:top w:val="single" w:sz="2" w:space="0" w:color="auto"/>
                    <w:left w:val="single" w:sz="2" w:space="0" w:color="auto"/>
                    <w:bottom w:val="single" w:sz="2" w:space="0" w:color="auto"/>
                    <w:right w:val="single" w:sz="2" w:space="0" w:color="auto"/>
                  </w:tcBorders>
                  <w:hideMark/>
                </w:tcPr>
                <w:p w14:paraId="76485C7D" w14:textId="77777777" w:rsidR="005235BC" w:rsidRPr="00D159D0" w:rsidRDefault="005235BC" w:rsidP="004976F9">
                  <w:pPr>
                    <w:jc w:val="right"/>
                    <w:rPr>
                      <w:lang w:val="uk-UA" w:eastAsia="uk-UA"/>
                    </w:rPr>
                  </w:pPr>
                  <w:r w:rsidRPr="00D159D0">
                    <w:rPr>
                      <w:lang w:val="uk-UA" w:eastAsia="uk-UA"/>
                    </w:rPr>
                    <w:t>тис. грн (13)</w:t>
                  </w:r>
                </w:p>
              </w:tc>
            </w:tr>
          </w:tbl>
          <w:p w14:paraId="18469983" w14:textId="77777777" w:rsidR="005235BC" w:rsidRPr="00D159D0" w:rsidRDefault="005235BC" w:rsidP="004976F9">
            <w:pPr>
              <w:shd w:val="clear" w:color="auto" w:fill="FFFFFF"/>
              <w:jc w:val="center"/>
              <w:outlineLvl w:val="2"/>
              <w:rPr>
                <w:b/>
                <w:bCs/>
                <w:lang w:val="uk-UA" w:eastAsia="uk-UA"/>
              </w:rPr>
            </w:pPr>
          </w:p>
          <w:p w14:paraId="677BF261" w14:textId="77777777" w:rsidR="005235BC" w:rsidRPr="00D159D0" w:rsidRDefault="005235BC" w:rsidP="004976F9">
            <w:pPr>
              <w:shd w:val="clear" w:color="auto" w:fill="FFFFFF"/>
              <w:jc w:val="center"/>
              <w:outlineLvl w:val="2"/>
              <w:rPr>
                <w:b/>
                <w:bCs/>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76"/>
              <w:gridCol w:w="992"/>
              <w:gridCol w:w="114"/>
              <w:gridCol w:w="4061"/>
            </w:tblGrid>
            <w:tr w:rsidR="00D159D0" w:rsidRPr="00D159D0" w14:paraId="79EF050C" w14:textId="77777777" w:rsidTr="00BE7345">
              <w:tc>
                <w:tcPr>
                  <w:tcW w:w="362" w:type="dxa"/>
                  <w:tcBorders>
                    <w:top w:val="single" w:sz="2" w:space="0" w:color="auto"/>
                    <w:left w:val="single" w:sz="2" w:space="0" w:color="auto"/>
                    <w:bottom w:val="single" w:sz="2" w:space="0" w:color="auto"/>
                    <w:right w:val="single" w:sz="2" w:space="0" w:color="auto"/>
                  </w:tcBorders>
                  <w:hideMark/>
                </w:tcPr>
                <w:p w14:paraId="190E717F" w14:textId="77777777" w:rsidR="005235BC" w:rsidRPr="00D159D0" w:rsidRDefault="005235BC" w:rsidP="004976F9">
                  <w:pPr>
                    <w:rPr>
                      <w:lang w:val="uk-UA" w:eastAsia="uk-UA"/>
                    </w:rPr>
                  </w:pPr>
                  <w:r w:rsidRPr="00D159D0">
                    <w:rPr>
                      <w:lang w:val="uk-UA" w:eastAsia="uk-UA"/>
                    </w:rPr>
                    <w:t>де</w:t>
                  </w:r>
                </w:p>
              </w:tc>
              <w:tc>
                <w:tcPr>
                  <w:tcW w:w="1349" w:type="dxa"/>
                  <w:tcBorders>
                    <w:top w:val="single" w:sz="2" w:space="0" w:color="auto"/>
                    <w:left w:val="single" w:sz="2" w:space="0" w:color="auto"/>
                    <w:bottom w:val="single" w:sz="2" w:space="0" w:color="auto"/>
                    <w:right w:val="single" w:sz="2" w:space="0" w:color="auto"/>
                  </w:tcBorders>
                  <w:hideMark/>
                </w:tcPr>
                <w:p w14:paraId="5A24CB15" w14:textId="77777777" w:rsidR="005235BC" w:rsidRPr="00D159D0" w:rsidRDefault="00F84FFC" w:rsidP="004976F9">
                  <w:pPr>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508FDC70"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3A089F89" w14:textId="77777777" w:rsidR="005235BC" w:rsidRPr="00D159D0" w:rsidRDefault="005235BC" w:rsidP="004976F9">
                  <w:pPr>
                    <w:jc w:val="both"/>
                    <w:rPr>
                      <w:lang w:val="uk-UA" w:eastAsia="uk-UA"/>
                    </w:rPr>
                  </w:pPr>
                  <w:r w:rsidRPr="00D159D0">
                    <w:rPr>
                      <w:lang w:val="uk-UA" w:eastAsia="uk-UA"/>
                    </w:rPr>
                    <w:t xml:space="preserve">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w:t>
                  </w:r>
                  <w:r w:rsidRPr="00D159D0">
                    <w:rPr>
                      <w:b/>
                      <w:lang w:val="uk-UA" w:eastAsia="uk-UA"/>
                    </w:rPr>
                    <w:t>у році t-1</w:t>
                  </w:r>
                  <w:r w:rsidRPr="00D159D0">
                    <w:rPr>
                      <w:lang w:val="uk-UA" w:eastAsia="uk-UA"/>
                    </w:rPr>
                    <w:t>, тис. грн;</w:t>
                  </w:r>
                </w:p>
                <w:p w14:paraId="77DD255B" w14:textId="77777777" w:rsidR="005235BC" w:rsidRPr="00D159D0" w:rsidRDefault="005235BC" w:rsidP="004976F9">
                  <w:pPr>
                    <w:jc w:val="both"/>
                    <w:rPr>
                      <w:lang w:val="uk-UA" w:eastAsia="uk-UA"/>
                    </w:rPr>
                  </w:pPr>
                </w:p>
              </w:tc>
            </w:tr>
            <w:tr w:rsidR="00D159D0" w:rsidRPr="00D159D0" w14:paraId="03C889CF" w14:textId="77777777" w:rsidTr="00BE7345">
              <w:trPr>
                <w:trHeight w:val="1242"/>
              </w:trPr>
              <w:tc>
                <w:tcPr>
                  <w:tcW w:w="362" w:type="dxa"/>
                  <w:tcBorders>
                    <w:top w:val="single" w:sz="2" w:space="0" w:color="auto"/>
                    <w:left w:val="single" w:sz="2" w:space="0" w:color="auto"/>
                    <w:bottom w:val="single" w:sz="2" w:space="0" w:color="auto"/>
                    <w:right w:val="single" w:sz="2" w:space="0" w:color="auto"/>
                  </w:tcBorders>
                  <w:hideMark/>
                </w:tcPr>
                <w:p w14:paraId="61A19A43"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0FA7F4C1" w14:textId="77777777" w:rsidR="005235BC" w:rsidRPr="00D159D0" w:rsidRDefault="005235BC" w:rsidP="004976F9">
                  <w:pPr>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39653F9E"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7C467061" w14:textId="77777777" w:rsidR="005235BC" w:rsidRPr="00D159D0" w:rsidRDefault="005235BC" w:rsidP="004976F9">
                  <w:pPr>
                    <w:jc w:val="both"/>
                    <w:rPr>
                      <w:lang w:val="uk-UA" w:eastAsia="uk-UA"/>
                    </w:rPr>
                  </w:pPr>
                  <w:r w:rsidRPr="00D159D0">
                    <w:rPr>
                      <w:b/>
                      <w:lang w:val="uk-UA" w:eastAsia="uk-UA"/>
                    </w:rPr>
                    <w:t>регуляторна база активів, яка створена на дату переходу до стимулюючого регулювання визначена на рівні залишкової вартості активів включених неї</w:t>
                  </w:r>
                  <w:r w:rsidRPr="00D159D0">
                    <w:rPr>
                      <w:lang w:val="uk-UA" w:eastAsia="uk-UA"/>
                    </w:rPr>
                    <w:t xml:space="preserve"> на початок року t-1, тис. грн;</w:t>
                  </w:r>
                </w:p>
                <w:p w14:paraId="35522D3A" w14:textId="77777777" w:rsidR="005235BC" w:rsidRPr="00D159D0" w:rsidRDefault="005235BC" w:rsidP="004976F9">
                  <w:pPr>
                    <w:jc w:val="both"/>
                    <w:rPr>
                      <w:lang w:val="uk-UA" w:eastAsia="uk-UA"/>
                    </w:rPr>
                  </w:pPr>
                </w:p>
                <w:p w14:paraId="2C9DEACE" w14:textId="77777777" w:rsidR="005235BC" w:rsidRPr="00D159D0" w:rsidRDefault="005235BC" w:rsidP="004976F9">
                  <w:pPr>
                    <w:jc w:val="both"/>
                    <w:rPr>
                      <w:lang w:val="uk-UA" w:eastAsia="uk-UA"/>
                    </w:rPr>
                  </w:pPr>
                </w:p>
                <w:p w14:paraId="4145A76B" w14:textId="77777777" w:rsidR="005235BC" w:rsidRPr="00D159D0" w:rsidRDefault="005235BC" w:rsidP="004976F9">
                  <w:pPr>
                    <w:jc w:val="both"/>
                    <w:rPr>
                      <w:lang w:val="uk-UA" w:eastAsia="uk-UA"/>
                    </w:rPr>
                  </w:pPr>
                </w:p>
                <w:p w14:paraId="283491C2" w14:textId="77777777" w:rsidR="005235BC" w:rsidRPr="00D159D0" w:rsidRDefault="005235BC" w:rsidP="004976F9">
                  <w:pPr>
                    <w:jc w:val="both"/>
                    <w:rPr>
                      <w:lang w:val="uk-UA" w:eastAsia="uk-UA"/>
                    </w:rPr>
                  </w:pPr>
                </w:p>
              </w:tc>
            </w:tr>
            <w:tr w:rsidR="00D159D0" w:rsidRPr="00D159D0" w14:paraId="7C3703AB" w14:textId="77777777" w:rsidTr="00BE7345">
              <w:tc>
                <w:tcPr>
                  <w:tcW w:w="362" w:type="dxa"/>
                  <w:tcBorders>
                    <w:top w:val="single" w:sz="2" w:space="0" w:color="auto"/>
                    <w:left w:val="single" w:sz="2" w:space="0" w:color="auto"/>
                    <w:bottom w:val="single" w:sz="2" w:space="0" w:color="auto"/>
                    <w:right w:val="single" w:sz="2" w:space="0" w:color="auto"/>
                  </w:tcBorders>
                  <w:hideMark/>
                </w:tcPr>
                <w:p w14:paraId="3F5B84DE"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35051B1B" w14:textId="77777777" w:rsidR="005235BC" w:rsidRPr="00D159D0" w:rsidRDefault="005235BC" w:rsidP="004976F9">
                  <w:pPr>
                    <w:rPr>
                      <w:lang w:val="uk-UA" w:eastAsia="uk-UA"/>
                    </w:rPr>
                  </w:pPr>
                  <m:oMathPara>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1FEDA836"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7B5AEB71" w14:textId="77777777" w:rsidR="005235BC" w:rsidRPr="00D159D0" w:rsidRDefault="005235BC" w:rsidP="004976F9">
                  <w:pPr>
                    <w:jc w:val="both"/>
                    <w:rPr>
                      <w:lang w:val="uk-UA" w:eastAsia="uk-UA"/>
                    </w:rPr>
                  </w:pPr>
                  <w:r w:rsidRPr="00D159D0">
                    <w:rPr>
                      <w:lang w:val="uk-UA"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p w14:paraId="6A07475C" w14:textId="77777777" w:rsidR="005235BC" w:rsidRPr="00D159D0" w:rsidRDefault="005235BC" w:rsidP="004976F9">
                  <w:pPr>
                    <w:jc w:val="both"/>
                    <w:rPr>
                      <w:lang w:val="uk-UA" w:eastAsia="uk-UA"/>
                    </w:rPr>
                  </w:pPr>
                </w:p>
                <w:p w14:paraId="34497142" w14:textId="77777777" w:rsidR="005235BC" w:rsidRPr="00D159D0" w:rsidRDefault="005235BC" w:rsidP="004976F9">
                  <w:pPr>
                    <w:jc w:val="both"/>
                    <w:rPr>
                      <w:lang w:val="uk-UA" w:eastAsia="uk-UA"/>
                    </w:rPr>
                  </w:pPr>
                </w:p>
                <w:p w14:paraId="008ACCD8" w14:textId="77777777" w:rsidR="005235BC" w:rsidRPr="00D159D0" w:rsidRDefault="005235BC" w:rsidP="004976F9">
                  <w:pPr>
                    <w:jc w:val="both"/>
                    <w:rPr>
                      <w:lang w:val="uk-UA" w:eastAsia="uk-UA"/>
                    </w:rPr>
                  </w:pPr>
                </w:p>
                <w:p w14:paraId="67E1221B" w14:textId="77777777" w:rsidR="005235BC" w:rsidRPr="00D159D0" w:rsidRDefault="005235BC" w:rsidP="004976F9">
                  <w:pPr>
                    <w:jc w:val="both"/>
                    <w:rPr>
                      <w:lang w:val="uk-UA" w:eastAsia="uk-UA"/>
                    </w:rPr>
                  </w:pPr>
                </w:p>
                <w:p w14:paraId="42E64305" w14:textId="77777777" w:rsidR="005235BC" w:rsidRPr="00D159D0" w:rsidRDefault="005235BC" w:rsidP="004976F9">
                  <w:pPr>
                    <w:jc w:val="both"/>
                    <w:rPr>
                      <w:lang w:val="uk-UA" w:eastAsia="uk-UA"/>
                    </w:rPr>
                  </w:pPr>
                </w:p>
                <w:p w14:paraId="16A5FAA0" w14:textId="77777777" w:rsidR="005235BC" w:rsidRPr="00D159D0" w:rsidRDefault="005235BC" w:rsidP="004976F9">
                  <w:pPr>
                    <w:jc w:val="both"/>
                    <w:rPr>
                      <w:lang w:val="uk-UA" w:eastAsia="uk-UA"/>
                    </w:rPr>
                  </w:pPr>
                </w:p>
                <w:p w14:paraId="788C7D80" w14:textId="77777777" w:rsidR="005235BC" w:rsidRPr="00D159D0" w:rsidRDefault="005235BC" w:rsidP="004976F9">
                  <w:pPr>
                    <w:jc w:val="both"/>
                    <w:rPr>
                      <w:lang w:val="uk-UA" w:eastAsia="uk-UA"/>
                    </w:rPr>
                  </w:pPr>
                </w:p>
                <w:p w14:paraId="40B78C3D" w14:textId="77777777" w:rsidR="005235BC" w:rsidRPr="00D159D0" w:rsidRDefault="005235BC" w:rsidP="004976F9">
                  <w:pPr>
                    <w:jc w:val="both"/>
                    <w:rPr>
                      <w:lang w:val="uk-UA" w:eastAsia="uk-UA"/>
                    </w:rPr>
                  </w:pPr>
                </w:p>
                <w:p w14:paraId="5C8BD9FF" w14:textId="77777777" w:rsidR="005235BC" w:rsidRPr="00D159D0" w:rsidRDefault="005235BC" w:rsidP="004976F9">
                  <w:pPr>
                    <w:jc w:val="both"/>
                    <w:rPr>
                      <w:lang w:val="uk-UA" w:eastAsia="uk-UA"/>
                    </w:rPr>
                  </w:pPr>
                </w:p>
              </w:tc>
            </w:tr>
            <w:tr w:rsidR="00D159D0" w:rsidRPr="00F84FFC" w14:paraId="6799DACC" w14:textId="77777777" w:rsidTr="00BE7345">
              <w:tc>
                <w:tcPr>
                  <w:tcW w:w="362" w:type="dxa"/>
                  <w:tcBorders>
                    <w:top w:val="single" w:sz="2" w:space="0" w:color="auto"/>
                    <w:left w:val="single" w:sz="2" w:space="0" w:color="auto"/>
                    <w:bottom w:val="single" w:sz="2" w:space="0" w:color="auto"/>
                    <w:right w:val="single" w:sz="2" w:space="0" w:color="auto"/>
                  </w:tcBorders>
                  <w:hideMark/>
                </w:tcPr>
                <w:p w14:paraId="6594B6DF"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15387DAE" w14:textId="77777777" w:rsidR="005235BC" w:rsidRPr="00D159D0" w:rsidRDefault="00F84FFC" w:rsidP="004976F9">
                  <w:pPr>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oMath>
                  </m:oMathPara>
                </w:p>
              </w:tc>
              <w:tc>
                <w:tcPr>
                  <w:tcW w:w="138" w:type="dxa"/>
                  <w:tcBorders>
                    <w:top w:val="single" w:sz="2" w:space="0" w:color="auto"/>
                    <w:left w:val="single" w:sz="2" w:space="0" w:color="auto"/>
                    <w:bottom w:val="single" w:sz="2" w:space="0" w:color="auto"/>
                    <w:right w:val="single" w:sz="2" w:space="0" w:color="auto"/>
                  </w:tcBorders>
                  <w:hideMark/>
                </w:tcPr>
                <w:p w14:paraId="333A2892"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593330E5" w14:textId="77777777" w:rsidR="005235BC" w:rsidRPr="00D159D0" w:rsidRDefault="005235BC" w:rsidP="004976F9">
                  <w:pPr>
                    <w:jc w:val="both"/>
                    <w:rPr>
                      <w:lang w:val="uk-UA" w:eastAsia="uk-UA"/>
                    </w:rPr>
                  </w:pPr>
                  <w:r w:rsidRPr="00D159D0">
                    <w:rPr>
                      <w:lang w:val="uk-UA" w:eastAsia="uk-UA"/>
                    </w:rPr>
                    <w:t>первісна вартість активів, створених з дотриманням вимог </w:t>
                  </w:r>
                  <w:hyperlink r:id="rId32" w:anchor="n130" w:tgtFrame="_blank" w:history="1">
                    <w:r w:rsidRPr="00D159D0">
                      <w:rPr>
                        <w:u w:val="single"/>
                        <w:lang w:val="uk-UA" w:eastAsia="uk-UA"/>
                      </w:rPr>
                      <w:t>пунктів 2.5</w:t>
                    </w:r>
                  </w:hyperlink>
                  <w:r w:rsidRPr="00D159D0">
                    <w:rPr>
                      <w:lang w:val="uk-UA" w:eastAsia="uk-UA"/>
                    </w:rPr>
                    <w:t>, </w:t>
                  </w:r>
                  <w:hyperlink r:id="rId33" w:anchor="n131" w:tgtFrame="_blank" w:history="1">
                    <w:r w:rsidRPr="00D159D0">
                      <w:rPr>
                        <w:u w:val="single"/>
                        <w:lang w:val="uk-UA" w:eastAsia="uk-UA"/>
                      </w:rPr>
                      <w:t>2.6</w:t>
                    </w:r>
                  </w:hyperlink>
                  <w:r w:rsidRPr="00D159D0">
                    <w:rPr>
                      <w:lang w:val="uk-UA" w:eastAsia="uk-UA"/>
                    </w:rPr>
                    <w:t> та </w:t>
                  </w:r>
                  <w:hyperlink r:id="rId34" w:anchor="n139" w:tgtFrame="_blank" w:history="1">
                    <w:r w:rsidRPr="00D159D0">
                      <w:rPr>
                        <w:u w:val="single"/>
                        <w:lang w:val="uk-UA" w:eastAsia="uk-UA"/>
                      </w:rPr>
                      <w:t>2.10</w:t>
                    </w:r>
                  </w:hyperlink>
                  <w:r w:rsidRPr="00D159D0">
                    <w:rPr>
                      <w:lang w:val="uk-UA" w:eastAsia="uk-UA"/>
                    </w:rPr>
                    <w:t> розділу II Порядку визначення регуляторної бази активів, у році t-1, тис. грн;</w:t>
                  </w:r>
                </w:p>
                <w:p w14:paraId="1BE7A273" w14:textId="77777777" w:rsidR="005235BC" w:rsidRPr="00D159D0" w:rsidRDefault="005235BC" w:rsidP="004976F9">
                  <w:pPr>
                    <w:jc w:val="both"/>
                    <w:rPr>
                      <w:lang w:val="uk-UA" w:eastAsia="uk-UA"/>
                    </w:rPr>
                  </w:pPr>
                </w:p>
                <w:p w14:paraId="204FE6C7" w14:textId="77777777" w:rsidR="005235BC" w:rsidRPr="00D159D0" w:rsidRDefault="005235BC" w:rsidP="004976F9">
                  <w:pPr>
                    <w:jc w:val="both"/>
                    <w:rPr>
                      <w:lang w:val="uk-UA" w:eastAsia="uk-UA"/>
                    </w:rPr>
                  </w:pPr>
                </w:p>
                <w:p w14:paraId="34552155" w14:textId="77777777" w:rsidR="005235BC" w:rsidRPr="00D159D0" w:rsidRDefault="005235BC" w:rsidP="004976F9">
                  <w:pPr>
                    <w:jc w:val="both"/>
                    <w:rPr>
                      <w:lang w:val="uk-UA" w:eastAsia="uk-UA"/>
                    </w:rPr>
                  </w:pPr>
                </w:p>
                <w:p w14:paraId="40EC86D5" w14:textId="77777777" w:rsidR="005235BC" w:rsidRPr="00D159D0" w:rsidRDefault="005235BC" w:rsidP="004976F9">
                  <w:pPr>
                    <w:jc w:val="both"/>
                    <w:rPr>
                      <w:lang w:val="uk-UA" w:eastAsia="uk-UA"/>
                    </w:rPr>
                  </w:pPr>
                </w:p>
                <w:p w14:paraId="4CFD61C2" w14:textId="77777777" w:rsidR="005235BC" w:rsidRPr="00D159D0" w:rsidRDefault="005235BC" w:rsidP="004976F9">
                  <w:pPr>
                    <w:jc w:val="both"/>
                    <w:rPr>
                      <w:lang w:val="uk-UA" w:eastAsia="uk-UA"/>
                    </w:rPr>
                  </w:pPr>
                </w:p>
                <w:p w14:paraId="2F9C3B26" w14:textId="77777777" w:rsidR="005235BC" w:rsidRPr="00D159D0" w:rsidRDefault="005235BC" w:rsidP="004976F9">
                  <w:pPr>
                    <w:jc w:val="both"/>
                    <w:rPr>
                      <w:lang w:val="uk-UA" w:eastAsia="uk-UA"/>
                    </w:rPr>
                  </w:pPr>
                </w:p>
                <w:p w14:paraId="1795FB52" w14:textId="77777777" w:rsidR="005235BC" w:rsidRPr="00D159D0" w:rsidRDefault="005235BC" w:rsidP="004976F9">
                  <w:pPr>
                    <w:jc w:val="both"/>
                    <w:rPr>
                      <w:lang w:val="uk-UA" w:eastAsia="uk-UA"/>
                    </w:rPr>
                  </w:pPr>
                </w:p>
                <w:p w14:paraId="6FD73C72" w14:textId="77777777" w:rsidR="005235BC" w:rsidRPr="00D159D0" w:rsidRDefault="005235BC" w:rsidP="004976F9">
                  <w:pPr>
                    <w:jc w:val="both"/>
                    <w:rPr>
                      <w:lang w:val="uk-UA" w:eastAsia="uk-UA"/>
                    </w:rPr>
                  </w:pPr>
                </w:p>
                <w:p w14:paraId="2F36E271" w14:textId="77777777" w:rsidR="005235BC" w:rsidRPr="00D159D0" w:rsidRDefault="005235BC" w:rsidP="004976F9">
                  <w:pPr>
                    <w:jc w:val="both"/>
                    <w:rPr>
                      <w:lang w:val="uk-UA" w:eastAsia="uk-UA"/>
                    </w:rPr>
                  </w:pPr>
                </w:p>
              </w:tc>
            </w:tr>
            <w:tr w:rsidR="00D159D0" w:rsidRPr="00D159D0" w14:paraId="594643A6" w14:textId="77777777" w:rsidTr="00BE7345">
              <w:tc>
                <w:tcPr>
                  <w:tcW w:w="362" w:type="dxa"/>
                  <w:tcBorders>
                    <w:top w:val="single" w:sz="2" w:space="0" w:color="auto"/>
                    <w:left w:val="single" w:sz="2" w:space="0" w:color="auto"/>
                    <w:bottom w:val="single" w:sz="2" w:space="0" w:color="auto"/>
                    <w:right w:val="single" w:sz="2" w:space="0" w:color="auto"/>
                  </w:tcBorders>
                </w:tcPr>
                <w:p w14:paraId="146BA478"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009159B4" w14:textId="77777777" w:rsidR="005235BC" w:rsidRPr="00D159D0" w:rsidRDefault="00F84FFC" w:rsidP="004976F9">
                  <w:pPr>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005235BC" w:rsidRPr="00D159D0">
                    <w:rPr>
                      <w:b/>
                      <w:lang w:val="uk-UA"/>
                    </w:rPr>
                    <w:t>,</w:t>
                  </w:r>
                </w:p>
              </w:tc>
              <w:tc>
                <w:tcPr>
                  <w:tcW w:w="138" w:type="dxa"/>
                  <w:tcBorders>
                    <w:top w:val="single" w:sz="2" w:space="0" w:color="auto"/>
                    <w:left w:val="single" w:sz="2" w:space="0" w:color="auto"/>
                    <w:bottom w:val="single" w:sz="2" w:space="0" w:color="auto"/>
                    <w:right w:val="single" w:sz="2" w:space="0" w:color="auto"/>
                  </w:tcBorders>
                </w:tcPr>
                <w:p w14:paraId="632AF427"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01E56AFE" w14:textId="77777777" w:rsidR="005235BC" w:rsidRPr="00D159D0" w:rsidRDefault="005235BC" w:rsidP="004976F9">
                  <w:pPr>
                    <w:jc w:val="both"/>
                    <w:rPr>
                      <w:b/>
                      <w:bCs/>
                      <w:lang w:val="uk-UA" w:eastAsia="uk-UA"/>
                    </w:rPr>
                  </w:pPr>
                  <w:r w:rsidRPr="00D159D0">
                    <w:rPr>
                      <w:b/>
                      <w:bCs/>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tc>
            </w:tr>
            <w:tr w:rsidR="00D159D0" w:rsidRPr="00D159D0" w14:paraId="5078649F" w14:textId="77777777" w:rsidTr="00BE7345">
              <w:tc>
                <w:tcPr>
                  <w:tcW w:w="362" w:type="dxa"/>
                  <w:tcBorders>
                    <w:top w:val="single" w:sz="2" w:space="0" w:color="auto"/>
                    <w:left w:val="single" w:sz="2" w:space="0" w:color="auto"/>
                    <w:bottom w:val="single" w:sz="2" w:space="0" w:color="auto"/>
                    <w:right w:val="single" w:sz="2" w:space="0" w:color="auto"/>
                  </w:tcBorders>
                  <w:hideMark/>
                </w:tcPr>
                <w:p w14:paraId="779E2C0B"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hideMark/>
                </w:tcPr>
                <w:p w14:paraId="0A0C92B1" w14:textId="77777777" w:rsidR="005235BC" w:rsidRPr="00D159D0" w:rsidRDefault="005235BC" w:rsidP="004976F9">
                  <w:pPr>
                    <w:jc w:val="center"/>
                    <w:rPr>
                      <w:lang w:val="uk-UA" w:eastAsia="uk-UA"/>
                    </w:rPr>
                  </w:pPr>
                  <w:r w:rsidRPr="00D159D0">
                    <w:rPr>
                      <w:noProof/>
                      <w:lang w:val="uk-UA" w:eastAsia="uk-UA"/>
                    </w:rPr>
                    <w:drawing>
                      <wp:inline distT="0" distB="0" distL="0" distR="0" wp14:anchorId="78005D2A" wp14:editId="410303D4">
                        <wp:extent cx="422910" cy="189865"/>
                        <wp:effectExtent l="0" t="0" r="0" b="635"/>
                        <wp:docPr id="3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138" w:type="dxa"/>
                  <w:tcBorders>
                    <w:top w:val="single" w:sz="2" w:space="0" w:color="auto"/>
                    <w:left w:val="single" w:sz="2" w:space="0" w:color="auto"/>
                    <w:bottom w:val="single" w:sz="2" w:space="0" w:color="auto"/>
                    <w:right w:val="single" w:sz="2" w:space="0" w:color="auto"/>
                  </w:tcBorders>
                  <w:hideMark/>
                </w:tcPr>
                <w:p w14:paraId="1F644AF9"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hideMark/>
                </w:tcPr>
                <w:p w14:paraId="659CEE8C" w14:textId="77777777" w:rsidR="005235BC" w:rsidRPr="00D159D0" w:rsidRDefault="005235BC" w:rsidP="004976F9">
                  <w:pPr>
                    <w:jc w:val="both"/>
                    <w:rPr>
                      <w:lang w:val="uk-UA" w:eastAsia="uk-UA"/>
                    </w:rPr>
                  </w:pPr>
                  <w:r w:rsidRPr="00D159D0">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D159D0" w:rsidRPr="00D159D0" w14:paraId="4674FE59" w14:textId="77777777" w:rsidTr="00BE7345">
              <w:tc>
                <w:tcPr>
                  <w:tcW w:w="362" w:type="dxa"/>
                  <w:tcBorders>
                    <w:top w:val="single" w:sz="2" w:space="0" w:color="auto"/>
                    <w:left w:val="single" w:sz="2" w:space="0" w:color="auto"/>
                    <w:bottom w:val="single" w:sz="2" w:space="0" w:color="auto"/>
                    <w:right w:val="single" w:sz="2" w:space="0" w:color="auto"/>
                  </w:tcBorders>
                </w:tcPr>
                <w:p w14:paraId="35B919F4" w14:textId="77777777" w:rsidR="005235BC" w:rsidRPr="00D159D0" w:rsidRDefault="005235BC" w:rsidP="004976F9">
                  <w:pPr>
                    <w:rPr>
                      <w:lang w:val="uk-UA" w:eastAsia="uk-UA"/>
                    </w:rPr>
                  </w:pPr>
                </w:p>
              </w:tc>
              <w:tc>
                <w:tcPr>
                  <w:tcW w:w="1349" w:type="dxa"/>
                  <w:tcBorders>
                    <w:top w:val="single" w:sz="2" w:space="0" w:color="auto"/>
                    <w:left w:val="single" w:sz="2" w:space="0" w:color="auto"/>
                    <w:bottom w:val="single" w:sz="2" w:space="0" w:color="auto"/>
                    <w:right w:val="single" w:sz="2" w:space="0" w:color="auto"/>
                  </w:tcBorders>
                </w:tcPr>
                <w:p w14:paraId="19257897" w14:textId="77777777" w:rsidR="005235BC" w:rsidRPr="00D159D0" w:rsidRDefault="005235BC" w:rsidP="004976F9">
                  <w:pPr>
                    <w:jc w:val="center"/>
                    <w:rPr>
                      <w:noProof/>
                      <w:lang w:val="uk-UA" w:eastAsia="uk-UA"/>
                    </w:rPr>
                  </w:pPr>
                  <w:r w:rsidRPr="00D159D0">
                    <w:rPr>
                      <w:noProof/>
                      <w:lang w:val="uk-UA" w:eastAsia="uk-UA"/>
                    </w:rPr>
                    <w:drawing>
                      <wp:inline distT="0" distB="0" distL="0" distR="0" wp14:anchorId="2BB6A153" wp14:editId="1857C7AB">
                        <wp:extent cx="446748" cy="152812"/>
                        <wp:effectExtent l="0" t="0" r="0" b="0"/>
                        <wp:docPr id="35"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6386" cy="159529"/>
                                </a:xfrm>
                                <a:prstGeom prst="rect">
                                  <a:avLst/>
                                </a:prstGeom>
                                <a:noFill/>
                                <a:ln>
                                  <a:noFill/>
                                </a:ln>
                              </pic:spPr>
                            </pic:pic>
                          </a:graphicData>
                        </a:graphic>
                      </wp:inline>
                    </w:drawing>
                  </w:r>
                </w:p>
              </w:tc>
              <w:tc>
                <w:tcPr>
                  <w:tcW w:w="138" w:type="dxa"/>
                  <w:tcBorders>
                    <w:top w:val="single" w:sz="2" w:space="0" w:color="auto"/>
                    <w:left w:val="single" w:sz="2" w:space="0" w:color="auto"/>
                    <w:bottom w:val="single" w:sz="2" w:space="0" w:color="auto"/>
                    <w:right w:val="single" w:sz="2" w:space="0" w:color="auto"/>
                  </w:tcBorders>
                </w:tcPr>
                <w:p w14:paraId="4D8FEF41" w14:textId="77777777" w:rsidR="005235BC" w:rsidRPr="00D159D0" w:rsidRDefault="005235BC" w:rsidP="004976F9">
                  <w:pPr>
                    <w:jc w:val="center"/>
                    <w:rPr>
                      <w:lang w:val="uk-UA" w:eastAsia="uk-UA"/>
                    </w:rPr>
                  </w:pPr>
                  <w:r w:rsidRPr="00D159D0">
                    <w:rPr>
                      <w:lang w:val="uk-UA" w:eastAsia="uk-UA"/>
                    </w:rPr>
                    <w:t>-</w:t>
                  </w:r>
                </w:p>
              </w:tc>
              <w:tc>
                <w:tcPr>
                  <w:tcW w:w="5583" w:type="dxa"/>
                  <w:tcBorders>
                    <w:top w:val="single" w:sz="2" w:space="0" w:color="auto"/>
                    <w:left w:val="single" w:sz="2" w:space="0" w:color="auto"/>
                    <w:bottom w:val="single" w:sz="2" w:space="0" w:color="auto"/>
                    <w:right w:val="single" w:sz="2" w:space="0" w:color="auto"/>
                  </w:tcBorders>
                </w:tcPr>
                <w:p w14:paraId="25DA6582" w14:textId="77777777" w:rsidR="005235BC" w:rsidRPr="00D159D0" w:rsidRDefault="005235BC" w:rsidP="004976F9">
                  <w:pPr>
                    <w:jc w:val="both"/>
                    <w:rPr>
                      <w:lang w:val="uk-UA" w:eastAsia="uk-UA"/>
                    </w:rPr>
                  </w:pPr>
                  <w:r w:rsidRPr="00D159D0">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114E792C" w14:textId="77777777" w:rsidR="005235BC" w:rsidRPr="00D159D0" w:rsidRDefault="005235BC" w:rsidP="004976F9">
            <w:pPr>
              <w:shd w:val="clear" w:color="auto" w:fill="FFFFFF"/>
              <w:ind w:firstLine="450"/>
              <w:jc w:val="both"/>
              <w:rPr>
                <w:lang w:val="uk-UA" w:eastAsia="uk-UA"/>
              </w:rPr>
            </w:pPr>
            <w:r w:rsidRPr="00D159D0">
              <w:rPr>
                <w:lang w:val="uk-UA" w:eastAsia="uk-UA"/>
              </w:rPr>
              <w:t>На початок першого року першого регуляторного періоду впровадження стимулюючого регулювання РБА</w:t>
            </w:r>
            <w:r w:rsidRPr="00D159D0">
              <w:rPr>
                <w:vertAlign w:val="superscript"/>
                <w:lang w:val="uk-UA" w:eastAsia="uk-UA"/>
              </w:rPr>
              <w:t>0</w:t>
            </w:r>
            <w:r w:rsidRPr="00D159D0">
              <w:rPr>
                <w:vertAlign w:val="subscript"/>
                <w:lang w:val="uk-UA" w:eastAsia="uk-UA"/>
              </w:rPr>
              <w:t>поч</w:t>
            </w:r>
            <w:r w:rsidRPr="00D159D0">
              <w:rPr>
                <w:b/>
                <w:bCs/>
                <w:vertAlign w:val="subscript"/>
                <w:lang w:val="uk-UA" w:eastAsia="uk-UA"/>
              </w:rPr>
              <w:t xml:space="preserve"> t</w:t>
            </w:r>
            <w:r w:rsidRPr="00D159D0">
              <w:rPr>
                <w:lang w:val="uk-UA" w:eastAsia="uk-UA"/>
              </w:rPr>
              <w:t> дорівнює регуляторній базі активів, яка створена на дату переходу до стимулюючого регулювання (РБА</w:t>
            </w:r>
            <w:r w:rsidRPr="00D159D0">
              <w:rPr>
                <w:vertAlign w:val="superscript"/>
                <w:lang w:val="uk-UA" w:eastAsia="uk-UA"/>
              </w:rPr>
              <w:t>0</w:t>
            </w:r>
            <w:r w:rsidRPr="00D159D0">
              <w:rPr>
                <w:lang w:val="uk-UA" w:eastAsia="uk-UA"/>
              </w:rPr>
              <w:t>);</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78"/>
              <w:gridCol w:w="746"/>
              <w:gridCol w:w="50"/>
              <w:gridCol w:w="4369"/>
            </w:tblGrid>
            <w:tr w:rsidR="00D159D0" w:rsidRPr="00D159D0" w14:paraId="4FAA2012" w14:textId="77777777" w:rsidTr="00BE7345">
              <w:tc>
                <w:tcPr>
                  <w:tcW w:w="585" w:type="dxa"/>
                  <w:tcBorders>
                    <w:top w:val="single" w:sz="2" w:space="0" w:color="auto"/>
                    <w:left w:val="single" w:sz="2" w:space="0" w:color="auto"/>
                    <w:bottom w:val="single" w:sz="2" w:space="0" w:color="auto"/>
                    <w:right w:val="single" w:sz="2" w:space="0" w:color="auto"/>
                  </w:tcBorders>
                  <w:hideMark/>
                </w:tcPr>
                <w:p w14:paraId="0A8B427D" w14:textId="77777777" w:rsidR="005235BC" w:rsidRPr="00D159D0" w:rsidRDefault="005235BC" w:rsidP="004976F9">
                  <w:pPr>
                    <w:jc w:val="both"/>
                    <w:rPr>
                      <w:lang w:val="uk-UA" w:eastAsia="uk-UA"/>
                    </w:rPr>
                  </w:pPr>
                </w:p>
              </w:tc>
              <w:tc>
                <w:tcPr>
                  <w:tcW w:w="1680" w:type="dxa"/>
                  <w:tcBorders>
                    <w:top w:val="single" w:sz="2" w:space="0" w:color="auto"/>
                    <w:left w:val="single" w:sz="2" w:space="0" w:color="auto"/>
                    <w:bottom w:val="single" w:sz="2" w:space="0" w:color="auto"/>
                    <w:right w:val="single" w:sz="2" w:space="0" w:color="auto"/>
                  </w:tcBorders>
                  <w:hideMark/>
                </w:tcPr>
                <w:p w14:paraId="1B825D0D" w14:textId="77777777" w:rsidR="005235BC" w:rsidRPr="00D159D0" w:rsidRDefault="005235BC" w:rsidP="004976F9">
                  <w:pPr>
                    <w:rPr>
                      <w:lang w:val="uk-UA" w:eastAsia="uk-UA"/>
                    </w:rPr>
                  </w:pPr>
                  <w:r w:rsidRPr="00D159D0">
                    <w:rPr>
                      <w:noProof/>
                      <w:lang w:val="uk-UA" w:eastAsia="uk-UA"/>
                    </w:rPr>
                    <w:drawing>
                      <wp:inline distT="0" distB="0" distL="0" distR="0" wp14:anchorId="7A93AEC7" wp14:editId="0EA50953">
                        <wp:extent cx="314553" cy="97652"/>
                        <wp:effectExtent l="0" t="0" r="0" b="0"/>
                        <wp:docPr id="1869518775" name="Рисунок 1">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5104" cy="100928"/>
                                </a:xfrm>
                                <a:prstGeom prst="rect">
                                  <a:avLst/>
                                </a:prstGeom>
                                <a:noFill/>
                                <a:ln>
                                  <a:noFill/>
                                </a:ln>
                              </pic:spPr>
                            </pic:pic>
                          </a:graphicData>
                        </a:graphic>
                      </wp:inline>
                    </w:drawing>
                  </w:r>
                </w:p>
              </w:tc>
              <w:tc>
                <w:tcPr>
                  <w:tcW w:w="15" w:type="dxa"/>
                  <w:tcBorders>
                    <w:top w:val="single" w:sz="2" w:space="0" w:color="auto"/>
                    <w:left w:val="single" w:sz="2" w:space="0" w:color="auto"/>
                    <w:bottom w:val="single" w:sz="2" w:space="0" w:color="auto"/>
                    <w:right w:val="single" w:sz="2" w:space="0" w:color="auto"/>
                  </w:tcBorders>
                  <w:hideMark/>
                </w:tcPr>
                <w:p w14:paraId="73387291" w14:textId="77777777" w:rsidR="005235BC" w:rsidRPr="00D159D0" w:rsidRDefault="005235BC" w:rsidP="004976F9">
                  <w:pPr>
                    <w:jc w:val="center"/>
                    <w:rPr>
                      <w:lang w:val="uk-UA" w:eastAsia="uk-UA"/>
                    </w:rPr>
                  </w:pPr>
                  <w:r w:rsidRPr="00D159D0">
                    <w:rPr>
                      <w:lang w:val="uk-UA" w:eastAsia="uk-UA"/>
                    </w:rPr>
                    <w:t>-</w:t>
                  </w:r>
                </w:p>
              </w:tc>
              <w:tc>
                <w:tcPr>
                  <w:tcW w:w="10170" w:type="dxa"/>
                  <w:tcBorders>
                    <w:top w:val="single" w:sz="2" w:space="0" w:color="auto"/>
                    <w:left w:val="single" w:sz="2" w:space="0" w:color="auto"/>
                    <w:bottom w:val="single" w:sz="2" w:space="0" w:color="auto"/>
                    <w:right w:val="single" w:sz="2" w:space="0" w:color="auto"/>
                  </w:tcBorders>
                  <w:hideMark/>
                </w:tcPr>
                <w:p w14:paraId="57902361" w14:textId="77777777" w:rsidR="005235BC" w:rsidRPr="00D159D0" w:rsidRDefault="005235BC" w:rsidP="004976F9">
                  <w:pPr>
                    <w:rPr>
                      <w:lang w:val="uk-UA" w:eastAsia="uk-UA"/>
                    </w:rPr>
                  </w:pPr>
                  <w:r w:rsidRPr="00D159D0">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4C9D3897" w14:textId="77777777" w:rsidR="00AD2A16" w:rsidRPr="00D159D0" w:rsidRDefault="00AD2A16" w:rsidP="004976F9">
            <w:pPr>
              <w:jc w:val="both"/>
              <w:rPr>
                <w:b/>
                <w:bCs/>
                <w:lang w:val="uk-UA"/>
              </w:rPr>
            </w:pPr>
          </w:p>
        </w:tc>
        <w:tc>
          <w:tcPr>
            <w:tcW w:w="5954" w:type="dxa"/>
          </w:tcPr>
          <w:p w14:paraId="4690E1D4" w14:textId="77777777" w:rsidR="005235BC" w:rsidRPr="00D159D0" w:rsidRDefault="005235BC" w:rsidP="004976F9">
            <w:pPr>
              <w:jc w:val="both"/>
              <w:rPr>
                <w:b/>
                <w:lang w:val="uk-UA"/>
              </w:rPr>
            </w:pPr>
            <w:r w:rsidRPr="00D159D0">
              <w:rPr>
                <w:b/>
                <w:lang w:val="uk-UA"/>
              </w:rPr>
              <w:lastRenderedPageBreak/>
              <w:t>ТОВ «ДТЕК ВИСОКОВОЛЬТНІ МЕРЕЖІ» лист від 17.07.2024 № 08-61/935</w:t>
            </w:r>
          </w:p>
          <w:p w14:paraId="3F346E36" w14:textId="77777777" w:rsidR="005235BC" w:rsidRPr="00D159D0" w:rsidRDefault="005235BC" w:rsidP="004976F9">
            <w:pPr>
              <w:jc w:val="both"/>
              <w:rPr>
                <w:b/>
                <w:lang w:val="uk-UA"/>
              </w:rPr>
            </w:pPr>
            <w:r w:rsidRPr="00D159D0">
              <w:rPr>
                <w:b/>
                <w:lang w:val="uk-UA"/>
              </w:rPr>
              <w:t>АТ «ДТЕК ДОНЕЦЬКІ ЕЛЕКТРОМЕРЕЖІ» лист від 17.07.2024 № 06/9956</w:t>
            </w:r>
          </w:p>
          <w:p w14:paraId="5974F28B"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7689B208" w14:textId="77777777" w:rsidR="005235BC" w:rsidRPr="00D159D0" w:rsidRDefault="005235BC" w:rsidP="004976F9">
            <w:pPr>
              <w:shd w:val="clear" w:color="auto" w:fill="FFFFFF"/>
              <w:ind w:firstLine="450"/>
              <w:jc w:val="both"/>
              <w:rPr>
                <w:shd w:val="clear" w:color="auto" w:fill="FFFFFF"/>
                <w:lang w:val="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1B7FE08F" w14:textId="77777777" w:rsidR="005235BC" w:rsidRPr="00D159D0" w:rsidRDefault="005235BC" w:rsidP="004976F9">
            <w:pPr>
              <w:shd w:val="clear" w:color="auto" w:fill="FFFFFF"/>
              <w:ind w:firstLine="450"/>
              <w:jc w:val="both"/>
              <w:rPr>
                <w:lang w:val="uk-UA" w:eastAsia="uk-UA"/>
              </w:rPr>
            </w:pPr>
            <w:r w:rsidRPr="00D159D0">
              <w:rPr>
                <w:lang w:val="uk-UA" w:eastAsia="uk-UA"/>
              </w:rPr>
              <w:t>5.13. Прибуток на регуляторну базу активів у році t визначається за формулою</w:t>
            </w: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5336"/>
              <w:gridCol w:w="396"/>
            </w:tblGrid>
            <w:tr w:rsidR="00D159D0" w:rsidRPr="00D159D0" w14:paraId="587B405D" w14:textId="77777777" w:rsidTr="00BE7345">
              <w:tc>
                <w:tcPr>
                  <w:tcW w:w="8685" w:type="dxa"/>
                  <w:tcBorders>
                    <w:top w:val="single" w:sz="2" w:space="0" w:color="auto"/>
                    <w:left w:val="single" w:sz="2" w:space="0" w:color="auto"/>
                    <w:bottom w:val="single" w:sz="2" w:space="0" w:color="auto"/>
                    <w:right w:val="single" w:sz="2" w:space="0" w:color="auto"/>
                  </w:tcBorders>
                  <w:hideMark/>
                </w:tcPr>
                <w:p w14:paraId="13D686F9" w14:textId="77777777" w:rsidR="005235BC" w:rsidRPr="00D159D0" w:rsidRDefault="005235BC" w:rsidP="004976F9">
                  <w:pPr>
                    <w:jc w:val="center"/>
                    <w:rPr>
                      <w:lang w:val="uk-UA" w:eastAsia="uk-UA"/>
                    </w:rPr>
                  </w:pPr>
                  <w:r w:rsidRPr="00D159D0">
                    <w:rPr>
                      <w:noProof/>
                      <w:lang w:val="uk-UA" w:eastAsia="uk-UA"/>
                    </w:rPr>
                    <w:drawing>
                      <wp:inline distT="0" distB="0" distL="0" distR="0" wp14:anchorId="6C636089" wp14:editId="3B7B4821">
                        <wp:extent cx="2790701" cy="147038"/>
                        <wp:effectExtent l="0" t="0" r="0" b="5715"/>
                        <wp:docPr id="1993780104" name="Рисунок 8">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2925513" cy="154141"/>
                                </a:xfrm>
                                <a:prstGeom prst="rect">
                                  <a:avLst/>
                                </a:prstGeom>
                                <a:noFill/>
                                <a:ln>
                                  <a:noFill/>
                                </a:ln>
                              </pic:spPr>
                            </pic:pic>
                          </a:graphicData>
                        </a:graphic>
                      </wp:inline>
                    </w:drawing>
                  </w:r>
                </w:p>
              </w:tc>
              <w:tc>
                <w:tcPr>
                  <w:tcW w:w="615" w:type="dxa"/>
                  <w:tcBorders>
                    <w:top w:val="single" w:sz="2" w:space="0" w:color="auto"/>
                    <w:left w:val="single" w:sz="2" w:space="0" w:color="auto"/>
                    <w:bottom w:val="single" w:sz="2" w:space="0" w:color="auto"/>
                    <w:right w:val="single" w:sz="2" w:space="0" w:color="auto"/>
                  </w:tcBorders>
                  <w:hideMark/>
                </w:tcPr>
                <w:p w14:paraId="2804BAB3" w14:textId="77777777" w:rsidR="005235BC" w:rsidRPr="00D159D0" w:rsidRDefault="005235BC" w:rsidP="004976F9">
                  <w:pPr>
                    <w:jc w:val="right"/>
                    <w:rPr>
                      <w:lang w:val="uk-UA" w:eastAsia="uk-UA"/>
                    </w:rPr>
                  </w:pPr>
                  <w:r w:rsidRPr="00D159D0">
                    <w:rPr>
                      <w:lang w:val="uk-UA" w:eastAsia="uk-UA"/>
                    </w:rPr>
                    <w:t>(12)</w:t>
                  </w:r>
                </w:p>
              </w:tc>
            </w:tr>
          </w:tbl>
          <w:p w14:paraId="0B6119BD" w14:textId="77777777" w:rsidR="005235BC" w:rsidRPr="00D159D0" w:rsidRDefault="005235BC" w:rsidP="004976F9">
            <w:pPr>
              <w:ind w:firstLine="450"/>
              <w:jc w:val="both"/>
              <w:rPr>
                <w:shd w:val="clear" w:color="auto" w:fill="FFFFFF"/>
                <w:lang w:val="uk-UA" w:eastAsia="uk-UA"/>
              </w:rPr>
            </w:pPr>
          </w:p>
          <w:tbl>
            <w:tblPr>
              <w:tblW w:w="5000" w:type="pct"/>
              <w:tblLayout w:type="fixed"/>
              <w:tblCellMar>
                <w:top w:w="15" w:type="dxa"/>
                <w:left w:w="15" w:type="dxa"/>
                <w:bottom w:w="15" w:type="dxa"/>
                <w:right w:w="15" w:type="dxa"/>
              </w:tblCellMar>
              <w:tblLook w:val="04A0" w:firstRow="1" w:lastRow="0" w:firstColumn="1" w:lastColumn="0" w:noHBand="0" w:noVBand="1"/>
            </w:tblPr>
            <w:tblGrid>
              <w:gridCol w:w="261"/>
              <w:gridCol w:w="684"/>
              <w:gridCol w:w="97"/>
              <w:gridCol w:w="3403"/>
              <w:gridCol w:w="1287"/>
            </w:tblGrid>
            <w:tr w:rsidR="00D159D0" w:rsidRPr="00D159D0" w14:paraId="35089200" w14:textId="77777777" w:rsidTr="00BE7345">
              <w:tc>
                <w:tcPr>
                  <w:tcW w:w="184" w:type="dxa"/>
                  <w:tcBorders>
                    <w:top w:val="single" w:sz="2" w:space="0" w:color="auto"/>
                    <w:left w:val="single" w:sz="2" w:space="0" w:color="auto"/>
                    <w:bottom w:val="single" w:sz="2" w:space="0" w:color="auto"/>
                    <w:right w:val="single" w:sz="2" w:space="0" w:color="auto"/>
                  </w:tcBorders>
                  <w:hideMark/>
                </w:tcPr>
                <w:p w14:paraId="272514FE" w14:textId="77777777" w:rsidR="005235BC" w:rsidRPr="00D159D0" w:rsidRDefault="005235BC" w:rsidP="004976F9">
                  <w:pPr>
                    <w:rPr>
                      <w:lang w:val="uk-UA" w:eastAsia="uk-UA"/>
                    </w:rPr>
                  </w:pPr>
                  <w:r w:rsidRPr="00D159D0">
                    <w:rPr>
                      <w:lang w:val="uk-UA" w:eastAsia="uk-UA"/>
                    </w:rPr>
                    <w:t>де</w:t>
                  </w:r>
                </w:p>
              </w:tc>
              <w:tc>
                <w:tcPr>
                  <w:tcW w:w="481" w:type="dxa"/>
                  <w:tcBorders>
                    <w:top w:val="single" w:sz="2" w:space="0" w:color="auto"/>
                    <w:left w:val="single" w:sz="2" w:space="0" w:color="auto"/>
                    <w:bottom w:val="single" w:sz="2" w:space="0" w:color="auto"/>
                    <w:right w:val="single" w:sz="2" w:space="0" w:color="auto"/>
                  </w:tcBorders>
                  <w:hideMark/>
                </w:tcPr>
                <w:p w14:paraId="54A329FE" w14:textId="77777777" w:rsidR="005235BC" w:rsidRPr="00D159D0" w:rsidRDefault="005235BC" w:rsidP="004976F9">
                  <w:pPr>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oMath>
                  </m:oMathPara>
                </w:p>
                <w:p w14:paraId="128EC753" w14:textId="77777777" w:rsidR="005235BC" w:rsidRPr="00D159D0" w:rsidRDefault="005235BC" w:rsidP="004976F9">
                  <w:pPr>
                    <w:rPr>
                      <w:lang w:val="uk-UA" w:eastAsia="uk-UA"/>
                    </w:rPr>
                  </w:pPr>
                </w:p>
              </w:tc>
              <w:tc>
                <w:tcPr>
                  <w:tcW w:w="68" w:type="dxa"/>
                  <w:tcBorders>
                    <w:top w:val="single" w:sz="2" w:space="0" w:color="auto"/>
                    <w:left w:val="single" w:sz="2" w:space="0" w:color="auto"/>
                    <w:bottom w:val="single" w:sz="2" w:space="0" w:color="auto"/>
                    <w:right w:val="single" w:sz="2" w:space="0" w:color="auto"/>
                  </w:tcBorders>
                  <w:hideMark/>
                </w:tcPr>
                <w:p w14:paraId="0A816AA9" w14:textId="77777777" w:rsidR="005235BC" w:rsidRPr="00D159D0" w:rsidRDefault="005235BC" w:rsidP="004976F9">
                  <w:pPr>
                    <w:jc w:val="center"/>
                    <w:rPr>
                      <w:lang w:val="uk-UA" w:eastAsia="uk-UA"/>
                    </w:rPr>
                  </w:pPr>
                  <w:r w:rsidRPr="00D159D0">
                    <w:rPr>
                      <w:lang w:val="uk-UA" w:eastAsia="uk-UA"/>
                    </w:rPr>
                    <w:t>-</w:t>
                  </w:r>
                </w:p>
              </w:tc>
              <w:tc>
                <w:tcPr>
                  <w:tcW w:w="3298" w:type="dxa"/>
                  <w:gridSpan w:val="2"/>
                  <w:tcBorders>
                    <w:top w:val="single" w:sz="2" w:space="0" w:color="auto"/>
                    <w:left w:val="single" w:sz="2" w:space="0" w:color="auto"/>
                    <w:bottom w:val="single" w:sz="2" w:space="0" w:color="auto"/>
                    <w:right w:val="single" w:sz="2" w:space="0" w:color="auto"/>
                  </w:tcBorders>
                  <w:hideMark/>
                </w:tcPr>
                <w:p w14:paraId="21E58F04" w14:textId="77777777" w:rsidR="005235BC" w:rsidRPr="00D159D0" w:rsidRDefault="005235BC" w:rsidP="004976F9">
                  <w:pPr>
                    <w:rPr>
                      <w:lang w:val="uk-UA" w:eastAsia="uk-UA"/>
                    </w:rPr>
                  </w:pPr>
                  <w:r w:rsidRPr="00D159D0">
                    <w:rPr>
                      <w:lang w:val="uk-UA" w:eastAsia="uk-UA"/>
                    </w:rPr>
                    <w:t>регуляторна база активів, яка створена на дату переходу до стимулюючого регулювання, на початок року t, що розраховується за формулою</w:t>
                  </w:r>
                </w:p>
                <w:p w14:paraId="7EAC5A13" w14:textId="77777777" w:rsidR="005235BC" w:rsidRPr="00D159D0" w:rsidRDefault="005235BC" w:rsidP="004976F9">
                  <w:pPr>
                    <w:rPr>
                      <w:lang w:val="uk-UA" w:eastAsia="uk-UA"/>
                    </w:rPr>
                  </w:pPr>
                </w:p>
              </w:tc>
            </w:tr>
            <w:tr w:rsidR="00D159D0" w:rsidRPr="00D159D0" w14:paraId="14F947AD" w14:textId="77777777" w:rsidTr="00BE7345">
              <w:tblPrEx>
                <w:tblCellMar>
                  <w:top w:w="0" w:type="dxa"/>
                  <w:left w:w="0" w:type="dxa"/>
                  <w:bottom w:w="0" w:type="dxa"/>
                  <w:right w:w="0" w:type="dxa"/>
                </w:tblCellMar>
              </w:tblPrEx>
              <w:tc>
                <w:tcPr>
                  <w:tcW w:w="3126" w:type="dxa"/>
                  <w:gridSpan w:val="4"/>
                  <w:tcBorders>
                    <w:top w:val="single" w:sz="2" w:space="0" w:color="auto"/>
                    <w:left w:val="single" w:sz="2" w:space="0" w:color="auto"/>
                    <w:bottom w:val="single" w:sz="2" w:space="0" w:color="auto"/>
                    <w:right w:val="single" w:sz="2" w:space="0" w:color="auto"/>
                  </w:tcBorders>
                  <w:hideMark/>
                </w:tcPr>
                <w:p w14:paraId="24D5D0A9" w14:textId="77777777" w:rsidR="005235BC" w:rsidRPr="00D159D0" w:rsidRDefault="005235BC" w:rsidP="004976F9">
                  <w:pPr>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0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Pr="00D159D0">
                    <w:rPr>
                      <w:b/>
                      <w:lang w:val="uk-UA"/>
                    </w:rPr>
                    <w:t xml:space="preserve">, </w:t>
                  </w:r>
                </w:p>
              </w:tc>
              <w:tc>
                <w:tcPr>
                  <w:tcW w:w="905" w:type="dxa"/>
                  <w:tcBorders>
                    <w:top w:val="single" w:sz="2" w:space="0" w:color="auto"/>
                    <w:left w:val="single" w:sz="2" w:space="0" w:color="auto"/>
                    <w:bottom w:val="single" w:sz="2" w:space="0" w:color="auto"/>
                    <w:right w:val="single" w:sz="2" w:space="0" w:color="auto"/>
                  </w:tcBorders>
                  <w:hideMark/>
                </w:tcPr>
                <w:p w14:paraId="39B2A1E3" w14:textId="77777777" w:rsidR="005235BC" w:rsidRPr="00D159D0" w:rsidRDefault="005235BC" w:rsidP="004976F9">
                  <w:pPr>
                    <w:jc w:val="right"/>
                    <w:rPr>
                      <w:lang w:val="uk-UA" w:eastAsia="uk-UA"/>
                    </w:rPr>
                  </w:pPr>
                  <w:r w:rsidRPr="00D159D0">
                    <w:rPr>
                      <w:lang w:val="uk-UA" w:eastAsia="uk-UA"/>
                    </w:rPr>
                    <w:t>тис. грн (13)</w:t>
                  </w:r>
                </w:p>
              </w:tc>
            </w:tr>
          </w:tbl>
          <w:p w14:paraId="3A3F72E4" w14:textId="77777777" w:rsidR="005235BC" w:rsidRPr="00D159D0" w:rsidRDefault="005235BC" w:rsidP="004976F9">
            <w:pPr>
              <w:shd w:val="clear" w:color="auto" w:fill="FFFFFF"/>
              <w:jc w:val="center"/>
              <w:outlineLvl w:val="2"/>
              <w:rPr>
                <w:b/>
                <w:bCs/>
                <w:lang w:val="uk-UA" w:eastAsia="uk-UA"/>
              </w:rPr>
            </w:pPr>
          </w:p>
          <w:p w14:paraId="2F2773C3" w14:textId="77777777" w:rsidR="005235BC" w:rsidRPr="00D159D0" w:rsidRDefault="005235BC" w:rsidP="004976F9">
            <w:pPr>
              <w:shd w:val="clear" w:color="auto" w:fill="FFFFFF"/>
              <w:jc w:val="center"/>
              <w:outlineLvl w:val="2"/>
              <w:rPr>
                <w:b/>
                <w:bCs/>
                <w:lang w:val="uk-UA" w:eastAsia="uk-UA"/>
              </w:rPr>
            </w:pPr>
          </w:p>
          <w:tbl>
            <w:tblPr>
              <w:tblW w:w="5465" w:type="dxa"/>
              <w:tblLayout w:type="fixed"/>
              <w:tblCellMar>
                <w:top w:w="15" w:type="dxa"/>
                <w:left w:w="15" w:type="dxa"/>
                <w:bottom w:w="15" w:type="dxa"/>
                <w:right w:w="15" w:type="dxa"/>
              </w:tblCellMar>
              <w:tblLook w:val="04A0" w:firstRow="1" w:lastRow="0" w:firstColumn="1" w:lastColumn="0" w:noHBand="0" w:noVBand="1"/>
            </w:tblPr>
            <w:tblGrid>
              <w:gridCol w:w="16"/>
              <w:gridCol w:w="221"/>
              <w:gridCol w:w="900"/>
              <w:gridCol w:w="97"/>
              <w:gridCol w:w="4231"/>
            </w:tblGrid>
            <w:tr w:rsidR="00D159D0" w:rsidRPr="00D159D0" w14:paraId="44F1D199" w14:textId="77777777" w:rsidTr="00BE7345">
              <w:trPr>
                <w:gridBefore w:val="1"/>
                <w:wBefore w:w="16" w:type="dxa"/>
              </w:trPr>
              <w:tc>
                <w:tcPr>
                  <w:tcW w:w="221" w:type="dxa"/>
                  <w:tcBorders>
                    <w:top w:val="single" w:sz="2" w:space="0" w:color="auto"/>
                    <w:left w:val="single" w:sz="2" w:space="0" w:color="auto"/>
                    <w:bottom w:val="single" w:sz="2" w:space="0" w:color="auto"/>
                    <w:right w:val="single" w:sz="2" w:space="0" w:color="auto"/>
                  </w:tcBorders>
                  <w:hideMark/>
                </w:tcPr>
                <w:p w14:paraId="1790DF00" w14:textId="77777777" w:rsidR="005235BC" w:rsidRPr="00D159D0" w:rsidRDefault="005235BC" w:rsidP="004976F9">
                  <w:pPr>
                    <w:rPr>
                      <w:lang w:val="uk-UA" w:eastAsia="uk-UA"/>
                    </w:rPr>
                  </w:pPr>
                  <w:r w:rsidRPr="00D159D0">
                    <w:rPr>
                      <w:lang w:val="uk-UA" w:eastAsia="uk-UA"/>
                    </w:rPr>
                    <w:t>де</w:t>
                  </w:r>
                </w:p>
              </w:tc>
              <w:tc>
                <w:tcPr>
                  <w:tcW w:w="900" w:type="dxa"/>
                  <w:tcBorders>
                    <w:top w:val="single" w:sz="2" w:space="0" w:color="auto"/>
                    <w:left w:val="single" w:sz="2" w:space="0" w:color="auto"/>
                    <w:bottom w:val="single" w:sz="2" w:space="0" w:color="auto"/>
                    <w:right w:val="single" w:sz="2" w:space="0" w:color="auto"/>
                  </w:tcBorders>
                  <w:hideMark/>
                </w:tcPr>
                <w:p w14:paraId="2BC7D0B4" w14:textId="77777777" w:rsidR="005235BC" w:rsidRPr="00D159D0" w:rsidRDefault="00F84FFC" w:rsidP="004976F9">
                  <w:pPr>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0</m:t>
                          </m:r>
                        </m:sup>
                      </m:sSubSup>
                    </m:oMath>
                  </m:oMathPara>
                </w:p>
              </w:tc>
              <w:tc>
                <w:tcPr>
                  <w:tcW w:w="97" w:type="dxa"/>
                  <w:tcBorders>
                    <w:top w:val="single" w:sz="2" w:space="0" w:color="auto"/>
                    <w:left w:val="single" w:sz="2" w:space="0" w:color="auto"/>
                    <w:bottom w:val="single" w:sz="2" w:space="0" w:color="auto"/>
                    <w:right w:val="single" w:sz="2" w:space="0" w:color="auto"/>
                  </w:tcBorders>
                  <w:hideMark/>
                </w:tcPr>
                <w:p w14:paraId="2B9E4ABB"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hideMark/>
                </w:tcPr>
                <w:p w14:paraId="72A5AA64" w14:textId="77777777" w:rsidR="005235BC" w:rsidRPr="00D159D0" w:rsidRDefault="005235BC" w:rsidP="004976F9">
                  <w:pPr>
                    <w:jc w:val="both"/>
                    <w:rPr>
                      <w:lang w:val="uk-UA" w:eastAsia="uk-UA"/>
                    </w:rPr>
                  </w:pPr>
                  <w:r w:rsidRPr="00D159D0">
                    <w:rPr>
                      <w:lang w:val="uk-UA" w:eastAsia="uk-UA"/>
                    </w:rPr>
                    <w:t xml:space="preserve">регуляторна амортизація на активи, які створені на дату переходу до стимулюючого регулювання, що визначається відповідно до Порядку визначення регуляторної бази активів, </w:t>
                  </w:r>
                  <w:r w:rsidRPr="00D159D0">
                    <w:rPr>
                      <w:b/>
                      <w:lang w:val="uk-UA" w:eastAsia="uk-UA"/>
                    </w:rPr>
                    <w:t>у році t-1</w:t>
                  </w:r>
                  <w:r w:rsidRPr="00D159D0">
                    <w:rPr>
                      <w:lang w:val="uk-UA" w:eastAsia="uk-UA"/>
                    </w:rPr>
                    <w:t>, тис. грн;</w:t>
                  </w:r>
                </w:p>
                <w:p w14:paraId="5886C2F3" w14:textId="77777777" w:rsidR="005235BC" w:rsidRPr="00D159D0" w:rsidRDefault="005235BC" w:rsidP="004976F9">
                  <w:pPr>
                    <w:jc w:val="both"/>
                    <w:rPr>
                      <w:lang w:val="uk-UA" w:eastAsia="uk-UA"/>
                    </w:rPr>
                  </w:pPr>
                  <w:r w:rsidRPr="00D159D0">
                    <w:rPr>
                      <w:rStyle w:val="a9"/>
                      <w:lang w:val="uk-UA"/>
                    </w:rPr>
                    <w:t xml:space="preserve">На 2025 рік для ліцензіатів, перелік яких зазначений у додатку 30, регуляторна амортизація на активи, які створені на дату переходу до стимулюючого регулювання, розраховується на активи, за виключенням активів,  що </w:t>
                  </w:r>
                  <w:r w:rsidRPr="00D159D0">
                    <w:rPr>
                      <w:rStyle w:val="a9"/>
                      <w:lang w:val="uk-UA"/>
                    </w:rPr>
                    <w:lastRenderedPageBreak/>
                    <w:t>знаходяться на територіях за якими тимчасово втрачено контроль.</w:t>
                  </w:r>
                </w:p>
              </w:tc>
            </w:tr>
            <w:tr w:rsidR="00D159D0" w:rsidRPr="00D159D0" w14:paraId="00930135" w14:textId="77777777" w:rsidTr="00BE7345">
              <w:trPr>
                <w:gridBefore w:val="1"/>
                <w:wBefore w:w="16" w:type="dxa"/>
                <w:trHeight w:val="1242"/>
              </w:trPr>
              <w:tc>
                <w:tcPr>
                  <w:tcW w:w="221" w:type="dxa"/>
                  <w:tcBorders>
                    <w:top w:val="single" w:sz="2" w:space="0" w:color="auto"/>
                    <w:left w:val="single" w:sz="2" w:space="0" w:color="auto"/>
                    <w:bottom w:val="single" w:sz="2" w:space="0" w:color="auto"/>
                    <w:right w:val="single" w:sz="2" w:space="0" w:color="auto"/>
                  </w:tcBorders>
                  <w:hideMark/>
                </w:tcPr>
                <w:p w14:paraId="0C02B4F3"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hideMark/>
                </w:tcPr>
                <w:p w14:paraId="5EE48400" w14:textId="77777777" w:rsidR="005235BC" w:rsidRPr="00D159D0" w:rsidRDefault="005235BC" w:rsidP="004976F9">
                  <w:pPr>
                    <w:rPr>
                      <w:lang w:val="uk-UA" w:eastAsia="uk-UA"/>
                    </w:rPr>
                  </w:pPr>
                  <m:oMathPara>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0 </m:t>
                          </m:r>
                        </m:sup>
                      </m:sSubSup>
                    </m:oMath>
                  </m:oMathPara>
                </w:p>
              </w:tc>
              <w:tc>
                <w:tcPr>
                  <w:tcW w:w="97" w:type="dxa"/>
                  <w:tcBorders>
                    <w:top w:val="single" w:sz="2" w:space="0" w:color="auto"/>
                    <w:left w:val="single" w:sz="2" w:space="0" w:color="auto"/>
                    <w:bottom w:val="single" w:sz="2" w:space="0" w:color="auto"/>
                    <w:right w:val="single" w:sz="2" w:space="0" w:color="auto"/>
                  </w:tcBorders>
                  <w:hideMark/>
                </w:tcPr>
                <w:p w14:paraId="7FA8D6E7"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hideMark/>
                </w:tcPr>
                <w:p w14:paraId="0B495322" w14:textId="77777777" w:rsidR="005235BC" w:rsidRPr="00D159D0" w:rsidRDefault="005235BC" w:rsidP="004976F9">
                  <w:pPr>
                    <w:jc w:val="both"/>
                    <w:rPr>
                      <w:lang w:val="uk-UA" w:eastAsia="uk-UA"/>
                    </w:rPr>
                  </w:pPr>
                  <w:r w:rsidRPr="00D159D0">
                    <w:rPr>
                      <w:b/>
                      <w:lang w:val="uk-UA" w:eastAsia="uk-UA"/>
                    </w:rPr>
                    <w:t>регуляторна база активів, яка створена на дату переходу до стимулюючого регулювання визначена на рівні залишкової вартості активів включених неї</w:t>
                  </w:r>
                  <w:r w:rsidRPr="00D159D0">
                    <w:rPr>
                      <w:lang w:val="uk-UA" w:eastAsia="uk-UA"/>
                    </w:rPr>
                    <w:t xml:space="preserve"> на початок року t-1, тис. грн;</w:t>
                  </w:r>
                </w:p>
                <w:p w14:paraId="1706F288" w14:textId="778705DA" w:rsidR="005235BC" w:rsidRPr="00D159D0" w:rsidRDefault="005235BC" w:rsidP="004976F9">
                  <w:pPr>
                    <w:jc w:val="both"/>
                    <w:rPr>
                      <w:lang w:val="uk-UA" w:eastAsia="uk-UA"/>
                    </w:rPr>
                  </w:pPr>
                  <w:r w:rsidRPr="00D159D0">
                    <w:rPr>
                      <w:rStyle w:val="a9"/>
                      <w:lang w:val="uk-UA"/>
                    </w:rPr>
                    <w:t xml:space="preserve">На 2025 рік для ліцензіатів, перелік яких зазначений у додатку 30, </w:t>
                  </w:r>
                  <w:r w:rsidRPr="00D159D0">
                    <w:rPr>
                      <w:b/>
                      <w:lang w:val="uk-UA" w:eastAsia="uk-UA"/>
                    </w:rPr>
                    <w:t>регуляторна база активів, яка створена на дату переходу до стимулюючого регулювання визначена на рівні залишкової вартості активів включених неї</w:t>
                  </w:r>
                  <w:r w:rsidRPr="00D159D0">
                    <w:rPr>
                      <w:lang w:val="uk-UA" w:eastAsia="uk-UA"/>
                    </w:rPr>
                    <w:t xml:space="preserve"> на початок року t-1</w:t>
                  </w:r>
                  <w:r w:rsidRPr="00D159D0">
                    <w:rPr>
                      <w:rStyle w:val="a9"/>
                      <w:lang w:val="uk-UA"/>
                    </w:rPr>
                    <w:t>, визначається за виключенням активів,</w:t>
                  </w:r>
                  <w:r w:rsidR="00E97AAB" w:rsidRPr="00D159D0">
                    <w:rPr>
                      <w:rStyle w:val="a9"/>
                      <w:lang w:val="uk-UA"/>
                    </w:rPr>
                    <w:t xml:space="preserve"> </w:t>
                  </w:r>
                  <w:r w:rsidRPr="00D159D0">
                    <w:rPr>
                      <w:rStyle w:val="a9"/>
                      <w:lang w:val="uk-UA"/>
                    </w:rPr>
                    <w:t>що знаходяться на територіях за якими тимчасово втрачено контроль.</w:t>
                  </w:r>
                </w:p>
              </w:tc>
            </w:tr>
            <w:tr w:rsidR="00D159D0" w:rsidRPr="00D159D0" w14:paraId="05981D2E" w14:textId="77777777" w:rsidTr="00BE7345">
              <w:trPr>
                <w:gridBefore w:val="1"/>
                <w:wBefore w:w="16" w:type="dxa"/>
              </w:trPr>
              <w:tc>
                <w:tcPr>
                  <w:tcW w:w="221" w:type="dxa"/>
                  <w:tcBorders>
                    <w:top w:val="single" w:sz="2" w:space="0" w:color="auto"/>
                    <w:left w:val="single" w:sz="2" w:space="0" w:color="auto"/>
                    <w:bottom w:val="single" w:sz="2" w:space="0" w:color="auto"/>
                    <w:right w:val="single" w:sz="2" w:space="0" w:color="auto"/>
                  </w:tcBorders>
                  <w:hideMark/>
                </w:tcPr>
                <w:p w14:paraId="22A211C4"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hideMark/>
                </w:tcPr>
                <w:p w14:paraId="3E9058EE" w14:textId="77777777" w:rsidR="005235BC" w:rsidRPr="00D159D0" w:rsidRDefault="005235BC" w:rsidP="004976F9">
                  <w:pPr>
                    <w:rPr>
                      <w:lang w:val="uk-UA" w:eastAsia="uk-UA"/>
                    </w:rPr>
                  </w:pPr>
                  <m:oMathPara>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0 </m:t>
                          </m:r>
                        </m:sup>
                      </m:sSubSup>
                    </m:oMath>
                  </m:oMathPara>
                </w:p>
              </w:tc>
              <w:tc>
                <w:tcPr>
                  <w:tcW w:w="97" w:type="dxa"/>
                  <w:tcBorders>
                    <w:top w:val="single" w:sz="2" w:space="0" w:color="auto"/>
                    <w:left w:val="single" w:sz="2" w:space="0" w:color="auto"/>
                    <w:bottom w:val="single" w:sz="2" w:space="0" w:color="auto"/>
                    <w:right w:val="single" w:sz="2" w:space="0" w:color="auto"/>
                  </w:tcBorders>
                  <w:hideMark/>
                </w:tcPr>
                <w:p w14:paraId="42B087CD"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hideMark/>
                </w:tcPr>
                <w:p w14:paraId="0956A3D6" w14:textId="77777777" w:rsidR="005235BC" w:rsidRPr="00D159D0" w:rsidRDefault="005235BC" w:rsidP="004976F9">
                  <w:pPr>
                    <w:jc w:val="both"/>
                    <w:rPr>
                      <w:lang w:val="uk-UA" w:eastAsia="uk-UA"/>
                    </w:rPr>
                  </w:pPr>
                  <w:r w:rsidRPr="00D159D0">
                    <w:rPr>
                      <w:lang w:val="uk-UA" w:eastAsia="uk-UA"/>
                    </w:rPr>
                    <w:t>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тис. грн;</w:t>
                  </w:r>
                </w:p>
                <w:p w14:paraId="5BD7EC7B" w14:textId="751133D6" w:rsidR="005235BC" w:rsidRPr="00D159D0" w:rsidRDefault="005235BC" w:rsidP="004976F9">
                  <w:pPr>
                    <w:jc w:val="both"/>
                    <w:rPr>
                      <w:lang w:val="uk-UA" w:eastAsia="uk-UA"/>
                    </w:rPr>
                  </w:pPr>
                  <w:r w:rsidRPr="00D159D0">
                    <w:rPr>
                      <w:rStyle w:val="a9"/>
                      <w:lang w:val="uk-UA"/>
                    </w:rPr>
                    <w:t>На 2025 рік для ліцензіатів, перелік яких зазначений у додатку 30, залишкова вартість виведених з експлуатації активів (елементів активів) із регуляторної бази активів, яка створена на дату переходу до стимулюючого регулювання, у році t-1, визначається за виключенням активів, що знаходяться на територіях за якими тимчасово втрачено контроль.</w:t>
                  </w:r>
                </w:p>
              </w:tc>
            </w:tr>
            <w:tr w:rsidR="00D159D0" w:rsidRPr="00D159D0" w14:paraId="68F32219" w14:textId="77777777" w:rsidTr="00BE7345">
              <w:trPr>
                <w:gridBefore w:val="1"/>
                <w:wBefore w:w="16" w:type="dxa"/>
              </w:trPr>
              <w:tc>
                <w:tcPr>
                  <w:tcW w:w="221" w:type="dxa"/>
                  <w:tcBorders>
                    <w:top w:val="single" w:sz="2" w:space="0" w:color="auto"/>
                    <w:left w:val="single" w:sz="2" w:space="0" w:color="auto"/>
                    <w:bottom w:val="single" w:sz="2" w:space="0" w:color="auto"/>
                    <w:right w:val="single" w:sz="2" w:space="0" w:color="auto"/>
                  </w:tcBorders>
                  <w:hideMark/>
                </w:tcPr>
                <w:p w14:paraId="37A40FCE"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hideMark/>
                </w:tcPr>
                <w:p w14:paraId="2BFF1E1D" w14:textId="77777777" w:rsidR="005235BC" w:rsidRPr="00D159D0" w:rsidRDefault="00F84FFC" w:rsidP="004976F9">
                  <w:pPr>
                    <w:rPr>
                      <w:lang w:val="uk-UA" w:eastAsia="uk-UA"/>
                    </w:rPr>
                  </w:pPr>
                  <m:oMathPara>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0 </m:t>
                          </m:r>
                        </m:sup>
                      </m:sSubSup>
                    </m:oMath>
                  </m:oMathPara>
                </w:p>
              </w:tc>
              <w:tc>
                <w:tcPr>
                  <w:tcW w:w="97" w:type="dxa"/>
                  <w:tcBorders>
                    <w:top w:val="single" w:sz="2" w:space="0" w:color="auto"/>
                    <w:left w:val="single" w:sz="2" w:space="0" w:color="auto"/>
                    <w:bottom w:val="single" w:sz="2" w:space="0" w:color="auto"/>
                    <w:right w:val="single" w:sz="2" w:space="0" w:color="auto"/>
                  </w:tcBorders>
                  <w:hideMark/>
                </w:tcPr>
                <w:p w14:paraId="753314ED"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hideMark/>
                </w:tcPr>
                <w:p w14:paraId="43B6B27F" w14:textId="77777777" w:rsidR="005235BC" w:rsidRPr="00D159D0" w:rsidRDefault="005235BC" w:rsidP="004976F9">
                  <w:pPr>
                    <w:jc w:val="both"/>
                    <w:rPr>
                      <w:lang w:val="uk-UA" w:eastAsia="uk-UA"/>
                    </w:rPr>
                  </w:pPr>
                  <w:r w:rsidRPr="00D159D0">
                    <w:rPr>
                      <w:lang w:val="uk-UA" w:eastAsia="uk-UA"/>
                    </w:rPr>
                    <w:t>первісна вартість активів, створених з дотриманням вимог </w:t>
                  </w:r>
                  <w:hyperlink r:id="rId39" w:anchor="n130" w:tgtFrame="_blank" w:history="1">
                    <w:r w:rsidRPr="00D159D0">
                      <w:rPr>
                        <w:u w:val="single"/>
                        <w:lang w:val="uk-UA" w:eastAsia="uk-UA"/>
                      </w:rPr>
                      <w:t>пунктів 2.5</w:t>
                    </w:r>
                  </w:hyperlink>
                  <w:r w:rsidRPr="00D159D0">
                    <w:rPr>
                      <w:lang w:val="uk-UA" w:eastAsia="uk-UA"/>
                    </w:rPr>
                    <w:t>, </w:t>
                  </w:r>
                  <w:hyperlink r:id="rId40" w:anchor="n131" w:tgtFrame="_blank" w:history="1">
                    <w:r w:rsidRPr="00D159D0">
                      <w:rPr>
                        <w:u w:val="single"/>
                        <w:lang w:val="uk-UA" w:eastAsia="uk-UA"/>
                      </w:rPr>
                      <w:t>2.6</w:t>
                    </w:r>
                  </w:hyperlink>
                  <w:r w:rsidRPr="00D159D0">
                    <w:rPr>
                      <w:lang w:val="uk-UA" w:eastAsia="uk-UA"/>
                    </w:rPr>
                    <w:t> та </w:t>
                  </w:r>
                  <w:hyperlink r:id="rId41" w:anchor="n139" w:tgtFrame="_blank" w:history="1">
                    <w:r w:rsidRPr="00D159D0">
                      <w:rPr>
                        <w:u w:val="single"/>
                        <w:lang w:val="uk-UA" w:eastAsia="uk-UA"/>
                      </w:rPr>
                      <w:t>2.10</w:t>
                    </w:r>
                  </w:hyperlink>
                  <w:r w:rsidRPr="00D159D0">
                    <w:rPr>
                      <w:lang w:val="uk-UA" w:eastAsia="uk-UA"/>
                    </w:rPr>
                    <w:t> розділу II Порядку визначення регуляторної бази активів, у році t-1, тис. грн;</w:t>
                  </w:r>
                </w:p>
                <w:p w14:paraId="52EA8947" w14:textId="77777777" w:rsidR="005235BC" w:rsidRPr="00D159D0" w:rsidRDefault="005235BC" w:rsidP="004976F9">
                  <w:pPr>
                    <w:jc w:val="both"/>
                    <w:rPr>
                      <w:rStyle w:val="a9"/>
                      <w:lang w:val="uk-UA"/>
                    </w:rPr>
                  </w:pPr>
                  <w:r w:rsidRPr="00D159D0">
                    <w:rPr>
                      <w:rStyle w:val="a9"/>
                      <w:lang w:val="uk-UA"/>
                    </w:rPr>
                    <w:t>На 2025 рік для ліцензіатів, перелік яких зазначений у додатку 30, первісна вартість активів, створених з дотриманням вимог </w:t>
                  </w:r>
                  <w:hyperlink r:id="rId42" w:anchor="n130" w:tgtFrame="_blank" w:history="1">
                    <w:r w:rsidRPr="00D159D0">
                      <w:rPr>
                        <w:rStyle w:val="a9"/>
                        <w:lang w:val="uk-UA"/>
                      </w:rPr>
                      <w:t>пунктів 2.5</w:t>
                    </w:r>
                  </w:hyperlink>
                  <w:r w:rsidRPr="00D159D0">
                    <w:rPr>
                      <w:rStyle w:val="a9"/>
                      <w:lang w:val="uk-UA"/>
                    </w:rPr>
                    <w:t>, </w:t>
                  </w:r>
                  <w:hyperlink r:id="rId43" w:anchor="n131" w:tgtFrame="_blank" w:history="1">
                    <w:r w:rsidRPr="00D159D0">
                      <w:rPr>
                        <w:rStyle w:val="a9"/>
                        <w:lang w:val="uk-UA"/>
                      </w:rPr>
                      <w:t>2.6</w:t>
                    </w:r>
                  </w:hyperlink>
                  <w:r w:rsidRPr="00D159D0">
                    <w:rPr>
                      <w:rStyle w:val="a9"/>
                      <w:lang w:val="uk-UA"/>
                    </w:rPr>
                    <w:t> та </w:t>
                  </w:r>
                  <w:hyperlink r:id="rId44" w:anchor="n139" w:tgtFrame="_blank" w:history="1">
                    <w:r w:rsidRPr="00D159D0">
                      <w:rPr>
                        <w:rStyle w:val="a9"/>
                        <w:lang w:val="uk-UA"/>
                      </w:rPr>
                      <w:t>2.10</w:t>
                    </w:r>
                  </w:hyperlink>
                  <w:r w:rsidRPr="00D159D0">
                    <w:rPr>
                      <w:rStyle w:val="a9"/>
                      <w:lang w:val="uk-UA"/>
                    </w:rPr>
                    <w:t> розділу II Порядку визначення регуляторної бази активів, у році t-1, визначається за виключенням активів,  що знаходяться на територіях за якими тимчасово втрачено контроль.</w:t>
                  </w:r>
                </w:p>
                <w:p w14:paraId="0AA14C27" w14:textId="77777777" w:rsidR="005235BC" w:rsidRPr="00D159D0" w:rsidRDefault="005235BC" w:rsidP="004976F9">
                  <w:pPr>
                    <w:jc w:val="both"/>
                    <w:rPr>
                      <w:lang w:val="uk-UA" w:eastAsia="uk-UA"/>
                    </w:rPr>
                  </w:pPr>
                </w:p>
              </w:tc>
            </w:tr>
            <w:tr w:rsidR="00D159D0" w:rsidRPr="00D159D0" w14:paraId="012B7DB0" w14:textId="77777777" w:rsidTr="00BE7345">
              <w:trPr>
                <w:gridBefore w:val="1"/>
                <w:wBefore w:w="16" w:type="dxa"/>
              </w:trPr>
              <w:tc>
                <w:tcPr>
                  <w:tcW w:w="221" w:type="dxa"/>
                  <w:tcBorders>
                    <w:top w:val="single" w:sz="2" w:space="0" w:color="auto"/>
                    <w:left w:val="single" w:sz="2" w:space="0" w:color="auto"/>
                    <w:bottom w:val="single" w:sz="2" w:space="0" w:color="auto"/>
                    <w:right w:val="single" w:sz="2" w:space="0" w:color="auto"/>
                  </w:tcBorders>
                </w:tcPr>
                <w:p w14:paraId="5270002F"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tcPr>
                <w:p w14:paraId="2DC3E284" w14:textId="77777777" w:rsidR="005235BC" w:rsidRPr="00D159D0" w:rsidRDefault="00F84FFC" w:rsidP="004976F9">
                  <w:pPr>
                    <w:jc w:val="center"/>
                    <w:rPr>
                      <w:b/>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0 </m:t>
                        </m:r>
                      </m:sup>
                    </m:sSubSup>
                  </m:oMath>
                  <w:r w:rsidR="005235BC" w:rsidRPr="00D159D0">
                    <w:rPr>
                      <w:b/>
                      <w:lang w:val="uk-UA"/>
                    </w:rPr>
                    <w:t>,</w:t>
                  </w:r>
                </w:p>
              </w:tc>
              <w:tc>
                <w:tcPr>
                  <w:tcW w:w="97" w:type="dxa"/>
                  <w:tcBorders>
                    <w:top w:val="single" w:sz="2" w:space="0" w:color="auto"/>
                    <w:left w:val="single" w:sz="2" w:space="0" w:color="auto"/>
                    <w:bottom w:val="single" w:sz="2" w:space="0" w:color="auto"/>
                    <w:right w:val="single" w:sz="2" w:space="0" w:color="auto"/>
                  </w:tcBorders>
                </w:tcPr>
                <w:p w14:paraId="4ED5BAD1"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tcPr>
                <w:p w14:paraId="786CCE19" w14:textId="77777777" w:rsidR="005235BC" w:rsidRPr="00D159D0" w:rsidRDefault="005235BC" w:rsidP="004976F9">
                  <w:pPr>
                    <w:jc w:val="both"/>
                    <w:rPr>
                      <w:lang w:val="uk-UA" w:eastAsia="uk-UA"/>
                    </w:rPr>
                  </w:pPr>
                  <w:r w:rsidRPr="00D159D0">
                    <w:rPr>
                      <w:b/>
                      <w:bCs/>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tc>
            </w:tr>
            <w:tr w:rsidR="00D159D0" w:rsidRPr="00D159D0" w14:paraId="357C2539" w14:textId="77777777" w:rsidTr="00BE7345">
              <w:trPr>
                <w:gridBefore w:val="1"/>
                <w:wBefore w:w="16" w:type="dxa"/>
              </w:trPr>
              <w:tc>
                <w:tcPr>
                  <w:tcW w:w="221" w:type="dxa"/>
                  <w:tcBorders>
                    <w:top w:val="single" w:sz="2" w:space="0" w:color="auto"/>
                    <w:left w:val="single" w:sz="2" w:space="0" w:color="auto"/>
                    <w:bottom w:val="single" w:sz="2" w:space="0" w:color="auto"/>
                    <w:right w:val="single" w:sz="2" w:space="0" w:color="auto"/>
                  </w:tcBorders>
                  <w:hideMark/>
                </w:tcPr>
                <w:p w14:paraId="7C816BED"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hideMark/>
                </w:tcPr>
                <w:p w14:paraId="0C165CA3" w14:textId="77777777" w:rsidR="005235BC" w:rsidRPr="00D159D0" w:rsidRDefault="005235BC" w:rsidP="004976F9">
                  <w:pPr>
                    <w:jc w:val="center"/>
                    <w:rPr>
                      <w:lang w:val="uk-UA" w:eastAsia="uk-UA"/>
                    </w:rPr>
                  </w:pPr>
                  <w:r w:rsidRPr="00D159D0">
                    <w:rPr>
                      <w:noProof/>
                      <w:lang w:val="uk-UA" w:eastAsia="uk-UA"/>
                    </w:rPr>
                    <w:drawing>
                      <wp:inline distT="0" distB="0" distL="0" distR="0" wp14:anchorId="038AE43F" wp14:editId="0262F897">
                        <wp:extent cx="422910" cy="189865"/>
                        <wp:effectExtent l="0" t="0" r="0" b="635"/>
                        <wp:docPr id="1993780106"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Рисунок 3"/>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22910" cy="189865"/>
                                </a:xfrm>
                                <a:prstGeom prst="rect">
                                  <a:avLst/>
                                </a:prstGeom>
                                <a:noFill/>
                                <a:ln>
                                  <a:noFill/>
                                </a:ln>
                              </pic:spPr>
                            </pic:pic>
                          </a:graphicData>
                        </a:graphic>
                      </wp:inline>
                    </w:drawing>
                  </w:r>
                </w:p>
              </w:tc>
              <w:tc>
                <w:tcPr>
                  <w:tcW w:w="97" w:type="dxa"/>
                  <w:tcBorders>
                    <w:top w:val="single" w:sz="2" w:space="0" w:color="auto"/>
                    <w:left w:val="single" w:sz="2" w:space="0" w:color="auto"/>
                    <w:bottom w:val="single" w:sz="2" w:space="0" w:color="auto"/>
                    <w:right w:val="single" w:sz="2" w:space="0" w:color="auto"/>
                  </w:tcBorders>
                  <w:hideMark/>
                </w:tcPr>
                <w:p w14:paraId="50EC89B1"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hideMark/>
                </w:tcPr>
                <w:p w14:paraId="1D6B3926" w14:textId="77777777" w:rsidR="005235BC" w:rsidRPr="00D159D0" w:rsidRDefault="005235BC" w:rsidP="004976F9">
                  <w:pPr>
                    <w:jc w:val="both"/>
                    <w:rPr>
                      <w:lang w:val="uk-UA" w:eastAsia="uk-UA"/>
                    </w:rPr>
                  </w:pPr>
                  <w:r w:rsidRPr="00D159D0">
                    <w:rPr>
                      <w:lang w:val="uk-UA" w:eastAsia="uk-UA"/>
                    </w:rPr>
                    <w:t>встановлена НКРЕКП регуляторна норма доходу на регуляторну базу активів, яка створена на дату переходу до стимулюючого регулювання, відносні одиниці;</w:t>
                  </w:r>
                </w:p>
              </w:tc>
            </w:tr>
            <w:tr w:rsidR="00D159D0" w:rsidRPr="00D159D0" w14:paraId="6215BBE4" w14:textId="77777777" w:rsidTr="00BE7345">
              <w:tc>
                <w:tcPr>
                  <w:tcW w:w="237" w:type="dxa"/>
                  <w:gridSpan w:val="2"/>
                  <w:tcBorders>
                    <w:top w:val="single" w:sz="2" w:space="0" w:color="auto"/>
                    <w:left w:val="single" w:sz="2" w:space="0" w:color="auto"/>
                    <w:bottom w:val="single" w:sz="2" w:space="0" w:color="auto"/>
                    <w:right w:val="single" w:sz="2" w:space="0" w:color="auto"/>
                  </w:tcBorders>
                </w:tcPr>
                <w:p w14:paraId="76ACBAF2" w14:textId="77777777" w:rsidR="005235BC" w:rsidRPr="00D159D0" w:rsidRDefault="005235BC" w:rsidP="004976F9">
                  <w:pPr>
                    <w:rPr>
                      <w:lang w:val="uk-UA" w:eastAsia="uk-UA"/>
                    </w:rPr>
                  </w:pPr>
                </w:p>
              </w:tc>
              <w:tc>
                <w:tcPr>
                  <w:tcW w:w="900" w:type="dxa"/>
                  <w:tcBorders>
                    <w:top w:val="single" w:sz="2" w:space="0" w:color="auto"/>
                    <w:left w:val="single" w:sz="2" w:space="0" w:color="auto"/>
                    <w:bottom w:val="single" w:sz="2" w:space="0" w:color="auto"/>
                    <w:right w:val="single" w:sz="2" w:space="0" w:color="auto"/>
                  </w:tcBorders>
                </w:tcPr>
                <w:p w14:paraId="5B8CBB71" w14:textId="77777777" w:rsidR="005235BC" w:rsidRPr="00D159D0" w:rsidRDefault="005235BC" w:rsidP="004976F9">
                  <w:pPr>
                    <w:jc w:val="center"/>
                    <w:rPr>
                      <w:noProof/>
                      <w:lang w:val="uk-UA" w:eastAsia="uk-UA"/>
                    </w:rPr>
                  </w:pPr>
                  <w:r w:rsidRPr="00D159D0">
                    <w:rPr>
                      <w:noProof/>
                      <w:lang w:val="uk-UA" w:eastAsia="uk-UA"/>
                    </w:rPr>
                    <w:drawing>
                      <wp:inline distT="0" distB="0" distL="0" distR="0" wp14:anchorId="29E77912" wp14:editId="301C7492">
                        <wp:extent cx="446748" cy="152812"/>
                        <wp:effectExtent l="0" t="0" r="0" b="0"/>
                        <wp:docPr id="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Рисунок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466386" cy="159529"/>
                                </a:xfrm>
                                <a:prstGeom prst="rect">
                                  <a:avLst/>
                                </a:prstGeom>
                                <a:noFill/>
                                <a:ln>
                                  <a:noFill/>
                                </a:ln>
                              </pic:spPr>
                            </pic:pic>
                          </a:graphicData>
                        </a:graphic>
                      </wp:inline>
                    </w:drawing>
                  </w:r>
                </w:p>
              </w:tc>
              <w:tc>
                <w:tcPr>
                  <w:tcW w:w="97" w:type="dxa"/>
                  <w:tcBorders>
                    <w:top w:val="single" w:sz="2" w:space="0" w:color="auto"/>
                    <w:left w:val="single" w:sz="2" w:space="0" w:color="auto"/>
                    <w:bottom w:val="single" w:sz="2" w:space="0" w:color="auto"/>
                    <w:right w:val="single" w:sz="2" w:space="0" w:color="auto"/>
                  </w:tcBorders>
                </w:tcPr>
                <w:p w14:paraId="40FFBCAF" w14:textId="77777777" w:rsidR="005235BC" w:rsidRPr="00D159D0" w:rsidRDefault="005235BC" w:rsidP="004976F9">
                  <w:pPr>
                    <w:jc w:val="center"/>
                    <w:rPr>
                      <w:lang w:val="uk-UA" w:eastAsia="uk-UA"/>
                    </w:rPr>
                  </w:pPr>
                  <w:r w:rsidRPr="00D159D0">
                    <w:rPr>
                      <w:lang w:val="uk-UA" w:eastAsia="uk-UA"/>
                    </w:rPr>
                    <w:t>-</w:t>
                  </w:r>
                </w:p>
              </w:tc>
              <w:tc>
                <w:tcPr>
                  <w:tcW w:w="4231" w:type="dxa"/>
                  <w:tcBorders>
                    <w:top w:val="single" w:sz="2" w:space="0" w:color="auto"/>
                    <w:left w:val="single" w:sz="2" w:space="0" w:color="auto"/>
                    <w:bottom w:val="single" w:sz="2" w:space="0" w:color="auto"/>
                    <w:right w:val="single" w:sz="2" w:space="0" w:color="auto"/>
                  </w:tcBorders>
                </w:tcPr>
                <w:p w14:paraId="2DF66F39" w14:textId="77777777" w:rsidR="005235BC" w:rsidRPr="00D159D0" w:rsidRDefault="005235BC" w:rsidP="004976F9">
                  <w:pPr>
                    <w:jc w:val="both"/>
                    <w:rPr>
                      <w:lang w:val="uk-UA" w:eastAsia="uk-UA"/>
                    </w:rPr>
                  </w:pPr>
                  <w:r w:rsidRPr="00D159D0">
                    <w:rPr>
                      <w:lang w:val="uk-UA" w:eastAsia="uk-UA"/>
                    </w:rPr>
                    <w:t>регуляторна база активів, віднесених до категорії 1, що створена після переходу до стимулюючого регулювання, на початок року t, тис. грн.</w:t>
                  </w:r>
                </w:p>
              </w:tc>
            </w:tr>
          </w:tbl>
          <w:p w14:paraId="76D60007" w14:textId="77777777" w:rsidR="005235BC" w:rsidRPr="00D159D0" w:rsidRDefault="005235BC" w:rsidP="004976F9">
            <w:pPr>
              <w:shd w:val="clear" w:color="auto" w:fill="FFFFFF"/>
              <w:ind w:firstLine="450"/>
              <w:jc w:val="both"/>
              <w:rPr>
                <w:lang w:val="uk-UA" w:eastAsia="uk-UA"/>
              </w:rPr>
            </w:pPr>
            <w:r w:rsidRPr="00D159D0">
              <w:rPr>
                <w:lang w:val="uk-UA" w:eastAsia="uk-UA"/>
              </w:rPr>
              <w:t>На початок першого року першого регуляторного періоду впровадження стимулюючого регулювання РБА</w:t>
            </w:r>
            <w:r w:rsidRPr="00D159D0">
              <w:rPr>
                <w:vertAlign w:val="superscript"/>
                <w:lang w:val="uk-UA" w:eastAsia="uk-UA"/>
              </w:rPr>
              <w:t>0</w:t>
            </w:r>
            <w:r w:rsidRPr="00D159D0">
              <w:rPr>
                <w:vertAlign w:val="subscript"/>
                <w:lang w:val="uk-UA" w:eastAsia="uk-UA"/>
              </w:rPr>
              <w:t>поч</w:t>
            </w:r>
            <w:r w:rsidRPr="00D159D0">
              <w:rPr>
                <w:b/>
                <w:bCs/>
                <w:vertAlign w:val="subscript"/>
                <w:lang w:val="uk-UA" w:eastAsia="uk-UA"/>
              </w:rPr>
              <w:t xml:space="preserve"> t</w:t>
            </w:r>
            <w:r w:rsidRPr="00D159D0">
              <w:rPr>
                <w:lang w:val="uk-UA" w:eastAsia="uk-UA"/>
              </w:rPr>
              <w:t xml:space="preserve"> дорівнює регуляторній базі активів, яка </w:t>
            </w:r>
            <w:r w:rsidRPr="00D159D0">
              <w:rPr>
                <w:lang w:val="uk-UA" w:eastAsia="uk-UA"/>
              </w:rPr>
              <w:lastRenderedPageBreak/>
              <w:t>створена на дату переходу до стимулюючого регулювання (РБА</w:t>
            </w:r>
            <w:r w:rsidRPr="00D159D0">
              <w:rPr>
                <w:vertAlign w:val="superscript"/>
                <w:lang w:val="uk-UA" w:eastAsia="uk-UA"/>
              </w:rPr>
              <w:t>0</w:t>
            </w:r>
            <w:r w:rsidRPr="00D159D0">
              <w:rPr>
                <w:lang w:val="uk-UA" w:eastAsia="uk-UA"/>
              </w:rPr>
              <w:t>);</w:t>
            </w:r>
          </w:p>
          <w:tbl>
            <w:tblPr>
              <w:tblW w:w="4842" w:type="pct"/>
              <w:tblLayout w:type="fixed"/>
              <w:tblCellMar>
                <w:top w:w="15" w:type="dxa"/>
                <w:left w:w="15" w:type="dxa"/>
                <w:bottom w:w="15" w:type="dxa"/>
                <w:right w:w="15" w:type="dxa"/>
              </w:tblCellMar>
              <w:tblLook w:val="04A0" w:firstRow="1" w:lastRow="0" w:firstColumn="1" w:lastColumn="0" w:noHBand="0" w:noVBand="1"/>
            </w:tblPr>
            <w:tblGrid>
              <w:gridCol w:w="230"/>
              <w:gridCol w:w="941"/>
              <w:gridCol w:w="99"/>
              <w:gridCol w:w="4281"/>
            </w:tblGrid>
            <w:tr w:rsidR="00D159D0" w:rsidRPr="00D159D0" w14:paraId="36CF8E14" w14:textId="77777777" w:rsidTr="00BE7345">
              <w:tc>
                <w:tcPr>
                  <w:tcW w:w="227" w:type="dxa"/>
                  <w:tcBorders>
                    <w:top w:val="single" w:sz="2" w:space="0" w:color="auto"/>
                    <w:left w:val="single" w:sz="2" w:space="0" w:color="auto"/>
                    <w:bottom w:val="single" w:sz="2" w:space="0" w:color="auto"/>
                    <w:right w:val="single" w:sz="2" w:space="0" w:color="auto"/>
                  </w:tcBorders>
                  <w:hideMark/>
                </w:tcPr>
                <w:p w14:paraId="0ACC0375" w14:textId="77777777" w:rsidR="005235BC" w:rsidRPr="00D159D0" w:rsidRDefault="005235BC" w:rsidP="004976F9">
                  <w:pPr>
                    <w:jc w:val="both"/>
                    <w:rPr>
                      <w:lang w:val="uk-UA" w:eastAsia="uk-UA"/>
                    </w:rPr>
                  </w:pPr>
                </w:p>
              </w:tc>
              <w:tc>
                <w:tcPr>
                  <w:tcW w:w="926" w:type="dxa"/>
                  <w:tcBorders>
                    <w:top w:val="single" w:sz="2" w:space="0" w:color="auto"/>
                    <w:left w:val="single" w:sz="2" w:space="0" w:color="auto"/>
                    <w:bottom w:val="single" w:sz="2" w:space="0" w:color="auto"/>
                    <w:right w:val="single" w:sz="2" w:space="0" w:color="auto"/>
                  </w:tcBorders>
                  <w:hideMark/>
                </w:tcPr>
                <w:p w14:paraId="4FAD5D2B" w14:textId="77777777" w:rsidR="005235BC" w:rsidRPr="00D159D0" w:rsidRDefault="005235BC" w:rsidP="004976F9">
                  <w:pPr>
                    <w:rPr>
                      <w:lang w:val="uk-UA" w:eastAsia="uk-UA"/>
                    </w:rPr>
                  </w:pPr>
                  <w:r w:rsidRPr="00D159D0">
                    <w:rPr>
                      <w:noProof/>
                      <w:lang w:val="uk-UA" w:eastAsia="uk-UA"/>
                    </w:rPr>
                    <w:drawing>
                      <wp:inline distT="0" distB="0" distL="0" distR="0" wp14:anchorId="4EB0C507" wp14:editId="6E837C06">
                        <wp:extent cx="314553" cy="97652"/>
                        <wp:effectExtent l="0" t="0" r="0" b="0"/>
                        <wp:docPr id="8" name="Рисунок 1">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325104" cy="100928"/>
                                </a:xfrm>
                                <a:prstGeom prst="rect">
                                  <a:avLst/>
                                </a:prstGeom>
                                <a:noFill/>
                                <a:ln>
                                  <a:noFill/>
                                </a:ln>
                              </pic:spPr>
                            </pic:pic>
                          </a:graphicData>
                        </a:graphic>
                      </wp:inline>
                    </w:drawing>
                  </w:r>
                </w:p>
              </w:tc>
              <w:tc>
                <w:tcPr>
                  <w:tcW w:w="97" w:type="dxa"/>
                  <w:tcBorders>
                    <w:top w:val="single" w:sz="2" w:space="0" w:color="auto"/>
                    <w:left w:val="single" w:sz="2" w:space="0" w:color="auto"/>
                    <w:bottom w:val="single" w:sz="2" w:space="0" w:color="auto"/>
                    <w:right w:val="single" w:sz="2" w:space="0" w:color="auto"/>
                  </w:tcBorders>
                  <w:hideMark/>
                </w:tcPr>
                <w:p w14:paraId="48DC2744" w14:textId="77777777" w:rsidR="005235BC" w:rsidRPr="00D159D0" w:rsidRDefault="005235BC" w:rsidP="004976F9">
                  <w:pPr>
                    <w:jc w:val="center"/>
                    <w:rPr>
                      <w:lang w:val="uk-UA" w:eastAsia="uk-UA"/>
                    </w:rPr>
                  </w:pPr>
                  <w:r w:rsidRPr="00D159D0">
                    <w:rPr>
                      <w:lang w:val="uk-UA" w:eastAsia="uk-UA"/>
                    </w:rPr>
                    <w:t>-</w:t>
                  </w:r>
                </w:p>
              </w:tc>
              <w:tc>
                <w:tcPr>
                  <w:tcW w:w="4215" w:type="dxa"/>
                  <w:tcBorders>
                    <w:top w:val="single" w:sz="2" w:space="0" w:color="auto"/>
                    <w:left w:val="single" w:sz="2" w:space="0" w:color="auto"/>
                    <w:bottom w:val="single" w:sz="2" w:space="0" w:color="auto"/>
                    <w:right w:val="single" w:sz="2" w:space="0" w:color="auto"/>
                  </w:tcBorders>
                  <w:hideMark/>
                </w:tcPr>
                <w:p w14:paraId="40DB4414" w14:textId="77777777" w:rsidR="005235BC" w:rsidRPr="00D159D0" w:rsidRDefault="005235BC" w:rsidP="004976F9">
                  <w:pPr>
                    <w:rPr>
                      <w:lang w:val="uk-UA" w:eastAsia="uk-UA"/>
                    </w:rPr>
                  </w:pPr>
                  <w:r w:rsidRPr="00D159D0">
                    <w:rPr>
                      <w:lang w:val="uk-UA" w:eastAsia="uk-UA"/>
                    </w:rPr>
                    <w:t>встановлена НКРЕКП регуляторна норма доходу на регуляторну базу активів, яка створена після переходу до стимулюючого регулювання, відносні одиниці.</w:t>
                  </w:r>
                </w:p>
              </w:tc>
            </w:tr>
          </w:tbl>
          <w:p w14:paraId="538A74CC" w14:textId="77777777" w:rsidR="00AD2A16" w:rsidRPr="00D159D0" w:rsidRDefault="00AD2A16" w:rsidP="004976F9">
            <w:pPr>
              <w:jc w:val="both"/>
              <w:rPr>
                <w:b/>
                <w:bCs/>
                <w:lang w:val="uk-UA"/>
              </w:rPr>
            </w:pPr>
          </w:p>
        </w:tc>
        <w:tc>
          <w:tcPr>
            <w:tcW w:w="3544" w:type="dxa"/>
          </w:tcPr>
          <w:p w14:paraId="01AFA6A8" w14:textId="77777777" w:rsidR="009A0837" w:rsidRPr="00D159D0" w:rsidRDefault="009A0837" w:rsidP="009A0837">
            <w:pPr>
              <w:jc w:val="both"/>
              <w:rPr>
                <w:b/>
                <w:bCs/>
                <w:lang w:val="uk-UA"/>
              </w:rPr>
            </w:pPr>
            <w:r w:rsidRPr="00D159D0">
              <w:rPr>
                <w:b/>
                <w:bCs/>
                <w:lang w:val="uk-UA"/>
              </w:rPr>
              <w:lastRenderedPageBreak/>
              <w:t>Загальна позиція</w:t>
            </w:r>
          </w:p>
          <w:p w14:paraId="6520E56B" w14:textId="77777777" w:rsidR="001F7A4A" w:rsidRPr="00D159D0" w:rsidRDefault="001F7A4A" w:rsidP="001F7A4A">
            <w:pPr>
              <w:widowControl w:val="0"/>
              <w:suppressAutoHyphens/>
              <w:contextualSpacing/>
              <w:jc w:val="both"/>
              <w:rPr>
                <w:b/>
                <w:bCs/>
                <w:lang w:val="uk-UA"/>
              </w:rPr>
            </w:pPr>
            <w:r w:rsidRPr="00D159D0">
              <w:rPr>
                <w:b/>
                <w:bCs/>
                <w:lang w:val="uk-UA"/>
              </w:rPr>
              <w:t>Не враховується</w:t>
            </w:r>
          </w:p>
          <w:p w14:paraId="2CDAEF2F" w14:textId="77777777" w:rsidR="00CD1A1C" w:rsidRPr="00D159D0" w:rsidRDefault="00CD1A1C" w:rsidP="00CD1A1C">
            <w:pPr>
              <w:jc w:val="both"/>
              <w:rPr>
                <w:b/>
                <w:lang w:val="uk-UA"/>
              </w:rPr>
            </w:pPr>
            <w:r w:rsidRPr="00D159D0">
              <w:rPr>
                <w:b/>
                <w:lang w:val="uk-UA"/>
              </w:rPr>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p w14:paraId="544499DF" w14:textId="77777777" w:rsidR="006A72E4" w:rsidRPr="00D159D0" w:rsidRDefault="006A72E4" w:rsidP="004976F9">
            <w:pPr>
              <w:jc w:val="both"/>
              <w:rPr>
                <w:b/>
                <w:bCs/>
                <w:lang w:val="uk-UA"/>
              </w:rPr>
            </w:pPr>
          </w:p>
          <w:p w14:paraId="66CFD7AD" w14:textId="77777777" w:rsidR="006A72E4" w:rsidRPr="00D159D0" w:rsidRDefault="006A72E4" w:rsidP="004976F9">
            <w:pPr>
              <w:jc w:val="both"/>
              <w:rPr>
                <w:b/>
                <w:bCs/>
                <w:lang w:val="uk-UA"/>
              </w:rPr>
            </w:pPr>
          </w:p>
          <w:p w14:paraId="4E91F59E" w14:textId="77777777" w:rsidR="006A72E4" w:rsidRPr="00D159D0" w:rsidRDefault="006A72E4" w:rsidP="004976F9">
            <w:pPr>
              <w:jc w:val="both"/>
              <w:rPr>
                <w:b/>
                <w:bCs/>
                <w:lang w:val="uk-UA"/>
              </w:rPr>
            </w:pPr>
          </w:p>
          <w:p w14:paraId="50888C35" w14:textId="77777777" w:rsidR="006A72E4" w:rsidRPr="00D159D0" w:rsidRDefault="006A72E4" w:rsidP="004976F9">
            <w:pPr>
              <w:jc w:val="both"/>
              <w:rPr>
                <w:b/>
                <w:bCs/>
                <w:lang w:val="uk-UA"/>
              </w:rPr>
            </w:pPr>
          </w:p>
          <w:p w14:paraId="2177B6FB" w14:textId="77777777" w:rsidR="006A72E4" w:rsidRPr="00D159D0" w:rsidRDefault="006A72E4" w:rsidP="004976F9">
            <w:pPr>
              <w:jc w:val="both"/>
              <w:rPr>
                <w:b/>
                <w:bCs/>
                <w:lang w:val="uk-UA"/>
              </w:rPr>
            </w:pPr>
          </w:p>
          <w:p w14:paraId="08B379FA" w14:textId="77777777" w:rsidR="006A72E4" w:rsidRPr="00D159D0" w:rsidRDefault="006A72E4" w:rsidP="004976F9">
            <w:pPr>
              <w:jc w:val="both"/>
              <w:rPr>
                <w:b/>
                <w:bCs/>
                <w:lang w:val="uk-UA"/>
              </w:rPr>
            </w:pPr>
          </w:p>
          <w:p w14:paraId="685B2789" w14:textId="77777777" w:rsidR="006A72E4" w:rsidRPr="00D159D0" w:rsidRDefault="006A72E4" w:rsidP="004976F9">
            <w:pPr>
              <w:jc w:val="both"/>
              <w:rPr>
                <w:b/>
                <w:bCs/>
                <w:lang w:val="uk-UA"/>
              </w:rPr>
            </w:pPr>
          </w:p>
          <w:p w14:paraId="0C08AA0F" w14:textId="77777777" w:rsidR="006A72E4" w:rsidRPr="00D159D0" w:rsidRDefault="006A72E4" w:rsidP="004976F9">
            <w:pPr>
              <w:jc w:val="both"/>
              <w:rPr>
                <w:b/>
                <w:bCs/>
                <w:lang w:val="uk-UA"/>
              </w:rPr>
            </w:pPr>
          </w:p>
          <w:p w14:paraId="4370BB85" w14:textId="77777777" w:rsidR="006A72E4" w:rsidRPr="00D159D0" w:rsidRDefault="006A72E4" w:rsidP="004976F9">
            <w:pPr>
              <w:jc w:val="both"/>
              <w:rPr>
                <w:b/>
                <w:bCs/>
                <w:lang w:val="uk-UA"/>
              </w:rPr>
            </w:pPr>
          </w:p>
          <w:p w14:paraId="56D6AE63" w14:textId="77777777" w:rsidR="006A72E4" w:rsidRPr="00D159D0" w:rsidRDefault="006A72E4" w:rsidP="004976F9">
            <w:pPr>
              <w:jc w:val="both"/>
              <w:rPr>
                <w:b/>
                <w:bCs/>
                <w:lang w:val="uk-UA"/>
              </w:rPr>
            </w:pPr>
          </w:p>
          <w:p w14:paraId="04ECFA57" w14:textId="77777777" w:rsidR="006A72E4" w:rsidRPr="00D159D0" w:rsidRDefault="006A72E4" w:rsidP="004976F9">
            <w:pPr>
              <w:jc w:val="both"/>
              <w:rPr>
                <w:b/>
                <w:bCs/>
                <w:lang w:val="uk-UA"/>
              </w:rPr>
            </w:pPr>
          </w:p>
          <w:p w14:paraId="124C7E13" w14:textId="77777777" w:rsidR="006A72E4" w:rsidRPr="00D159D0" w:rsidRDefault="006A72E4" w:rsidP="004976F9">
            <w:pPr>
              <w:jc w:val="both"/>
              <w:rPr>
                <w:b/>
                <w:bCs/>
                <w:lang w:val="uk-UA"/>
              </w:rPr>
            </w:pPr>
          </w:p>
          <w:p w14:paraId="1B8D67A9" w14:textId="77777777" w:rsidR="006A72E4" w:rsidRPr="00D159D0" w:rsidRDefault="006A72E4" w:rsidP="004976F9">
            <w:pPr>
              <w:jc w:val="both"/>
              <w:rPr>
                <w:b/>
                <w:bCs/>
                <w:lang w:val="uk-UA"/>
              </w:rPr>
            </w:pPr>
          </w:p>
          <w:p w14:paraId="1ACE802F" w14:textId="77777777" w:rsidR="006A72E4" w:rsidRPr="00D159D0" w:rsidRDefault="006A72E4" w:rsidP="004976F9">
            <w:pPr>
              <w:jc w:val="both"/>
              <w:rPr>
                <w:b/>
                <w:bCs/>
                <w:lang w:val="uk-UA"/>
              </w:rPr>
            </w:pPr>
          </w:p>
          <w:p w14:paraId="7F1850FB" w14:textId="77777777" w:rsidR="006A72E4" w:rsidRPr="00D159D0" w:rsidRDefault="006A72E4" w:rsidP="004976F9">
            <w:pPr>
              <w:jc w:val="both"/>
              <w:rPr>
                <w:b/>
                <w:bCs/>
                <w:lang w:val="uk-UA"/>
              </w:rPr>
            </w:pPr>
          </w:p>
          <w:p w14:paraId="62E79914" w14:textId="77777777" w:rsidR="006A72E4" w:rsidRPr="00D159D0" w:rsidRDefault="006A72E4" w:rsidP="004976F9">
            <w:pPr>
              <w:jc w:val="both"/>
              <w:rPr>
                <w:b/>
                <w:bCs/>
                <w:lang w:val="uk-UA"/>
              </w:rPr>
            </w:pPr>
          </w:p>
          <w:p w14:paraId="69E883AF" w14:textId="77777777" w:rsidR="006A72E4" w:rsidRPr="00D159D0" w:rsidRDefault="006A72E4" w:rsidP="004976F9">
            <w:pPr>
              <w:jc w:val="both"/>
              <w:rPr>
                <w:b/>
                <w:bCs/>
                <w:lang w:val="uk-UA"/>
              </w:rPr>
            </w:pPr>
          </w:p>
          <w:p w14:paraId="1810AE3D" w14:textId="77777777" w:rsidR="006A72E4" w:rsidRPr="00D159D0" w:rsidRDefault="006A72E4" w:rsidP="004976F9">
            <w:pPr>
              <w:jc w:val="both"/>
              <w:rPr>
                <w:b/>
                <w:bCs/>
                <w:lang w:val="uk-UA"/>
              </w:rPr>
            </w:pPr>
          </w:p>
          <w:p w14:paraId="52F90F95" w14:textId="77777777" w:rsidR="006A72E4" w:rsidRPr="00D159D0" w:rsidRDefault="006A72E4" w:rsidP="004976F9">
            <w:pPr>
              <w:jc w:val="both"/>
              <w:rPr>
                <w:b/>
                <w:bCs/>
                <w:lang w:val="uk-UA"/>
              </w:rPr>
            </w:pPr>
          </w:p>
          <w:p w14:paraId="37D7B486" w14:textId="77777777" w:rsidR="006A72E4" w:rsidRPr="00D159D0" w:rsidRDefault="006A72E4" w:rsidP="004976F9">
            <w:pPr>
              <w:jc w:val="both"/>
              <w:rPr>
                <w:b/>
                <w:bCs/>
                <w:lang w:val="uk-UA"/>
              </w:rPr>
            </w:pPr>
          </w:p>
          <w:p w14:paraId="69355A02" w14:textId="77777777" w:rsidR="006A72E4" w:rsidRPr="00D159D0" w:rsidRDefault="006A72E4" w:rsidP="004976F9">
            <w:pPr>
              <w:jc w:val="both"/>
              <w:rPr>
                <w:b/>
                <w:bCs/>
                <w:lang w:val="uk-UA"/>
              </w:rPr>
            </w:pPr>
          </w:p>
          <w:p w14:paraId="3ECAFD0E" w14:textId="77777777" w:rsidR="006A72E4" w:rsidRPr="00D159D0" w:rsidRDefault="006A72E4" w:rsidP="004976F9">
            <w:pPr>
              <w:jc w:val="both"/>
              <w:rPr>
                <w:b/>
                <w:bCs/>
                <w:lang w:val="uk-UA"/>
              </w:rPr>
            </w:pPr>
          </w:p>
          <w:p w14:paraId="0C5AE55F" w14:textId="77777777" w:rsidR="006A72E4" w:rsidRPr="00D159D0" w:rsidRDefault="006A72E4" w:rsidP="004976F9">
            <w:pPr>
              <w:jc w:val="both"/>
              <w:rPr>
                <w:b/>
                <w:bCs/>
                <w:lang w:val="uk-UA"/>
              </w:rPr>
            </w:pPr>
          </w:p>
          <w:p w14:paraId="161E147A" w14:textId="77777777" w:rsidR="006A72E4" w:rsidRPr="00D159D0" w:rsidRDefault="006A72E4" w:rsidP="004976F9">
            <w:pPr>
              <w:jc w:val="both"/>
              <w:rPr>
                <w:b/>
                <w:bCs/>
                <w:lang w:val="uk-UA"/>
              </w:rPr>
            </w:pPr>
          </w:p>
          <w:p w14:paraId="1B04512F" w14:textId="77777777" w:rsidR="006A72E4" w:rsidRPr="00D159D0" w:rsidRDefault="006A72E4" w:rsidP="004976F9">
            <w:pPr>
              <w:jc w:val="both"/>
              <w:rPr>
                <w:b/>
                <w:bCs/>
                <w:lang w:val="uk-UA"/>
              </w:rPr>
            </w:pPr>
          </w:p>
          <w:p w14:paraId="0FAB28C8" w14:textId="77777777" w:rsidR="006A72E4" w:rsidRPr="00D159D0" w:rsidRDefault="006A72E4" w:rsidP="004976F9">
            <w:pPr>
              <w:jc w:val="both"/>
              <w:rPr>
                <w:b/>
                <w:bCs/>
                <w:lang w:val="uk-UA"/>
              </w:rPr>
            </w:pPr>
          </w:p>
          <w:p w14:paraId="344836AE" w14:textId="77777777" w:rsidR="006A72E4" w:rsidRPr="00D159D0" w:rsidRDefault="006A72E4" w:rsidP="004976F9">
            <w:pPr>
              <w:jc w:val="both"/>
              <w:rPr>
                <w:b/>
                <w:bCs/>
                <w:lang w:val="uk-UA"/>
              </w:rPr>
            </w:pPr>
          </w:p>
          <w:p w14:paraId="516689A0" w14:textId="77777777" w:rsidR="006A72E4" w:rsidRPr="00D159D0" w:rsidRDefault="006A72E4" w:rsidP="004976F9">
            <w:pPr>
              <w:jc w:val="both"/>
              <w:rPr>
                <w:b/>
                <w:bCs/>
                <w:lang w:val="uk-UA"/>
              </w:rPr>
            </w:pPr>
          </w:p>
          <w:p w14:paraId="65BAA5DA" w14:textId="77777777" w:rsidR="006A72E4" w:rsidRPr="00D159D0" w:rsidRDefault="006A72E4" w:rsidP="004976F9">
            <w:pPr>
              <w:jc w:val="both"/>
              <w:rPr>
                <w:b/>
                <w:bCs/>
                <w:lang w:val="uk-UA"/>
              </w:rPr>
            </w:pPr>
          </w:p>
          <w:p w14:paraId="44797729" w14:textId="77777777" w:rsidR="006A72E4" w:rsidRPr="00D159D0" w:rsidRDefault="006A72E4" w:rsidP="004976F9">
            <w:pPr>
              <w:jc w:val="both"/>
              <w:rPr>
                <w:b/>
                <w:bCs/>
                <w:lang w:val="uk-UA"/>
              </w:rPr>
            </w:pPr>
          </w:p>
          <w:p w14:paraId="02DD2701" w14:textId="77777777" w:rsidR="006A72E4" w:rsidRPr="00D159D0" w:rsidRDefault="006A72E4" w:rsidP="004976F9">
            <w:pPr>
              <w:jc w:val="both"/>
              <w:rPr>
                <w:b/>
                <w:bCs/>
                <w:lang w:val="uk-UA"/>
              </w:rPr>
            </w:pPr>
          </w:p>
          <w:p w14:paraId="67080095" w14:textId="6B714FD9" w:rsidR="006A72E4" w:rsidRPr="00D159D0" w:rsidRDefault="006A72E4" w:rsidP="004976F9">
            <w:pPr>
              <w:jc w:val="both"/>
              <w:rPr>
                <w:b/>
                <w:bCs/>
                <w:lang w:val="uk-UA"/>
              </w:rPr>
            </w:pPr>
          </w:p>
        </w:tc>
      </w:tr>
      <w:tr w:rsidR="00D159D0" w:rsidRPr="00D159D0" w14:paraId="2992BCA4" w14:textId="77777777" w:rsidTr="00EE26FC">
        <w:tc>
          <w:tcPr>
            <w:tcW w:w="5665" w:type="dxa"/>
          </w:tcPr>
          <w:p w14:paraId="7EEEFDBE" w14:textId="77777777" w:rsidR="005235BC" w:rsidRPr="00D159D0" w:rsidRDefault="005235BC" w:rsidP="004976F9">
            <w:pPr>
              <w:shd w:val="clear" w:color="auto" w:fill="FFFFFF"/>
              <w:ind w:firstLine="457"/>
              <w:jc w:val="both"/>
              <w:outlineLvl w:val="2"/>
              <w:rPr>
                <w:lang w:val="uk-UA"/>
              </w:rPr>
            </w:pPr>
          </w:p>
          <w:p w14:paraId="31895D22" w14:textId="2D3CAB82" w:rsidR="005235BC" w:rsidRPr="00D159D0" w:rsidRDefault="00F84FFC" w:rsidP="004976F9">
            <w:pPr>
              <w:shd w:val="clear" w:color="auto" w:fill="FFFFFF"/>
              <w:ind w:firstLine="457"/>
              <w:jc w:val="both"/>
              <w:outlineLvl w:val="2"/>
              <w:rPr>
                <w:lang w:val="uk-UA" w:eastAsia="uk-UA"/>
              </w:rPr>
            </w:pPr>
            <w:hyperlink r:id="rId45" w:tgtFrame="_blank" w:history="1">
              <w:r w:rsidR="005235BC" w:rsidRPr="00D159D0">
                <w:rPr>
                  <w:lang w:val="uk-UA" w:eastAsia="uk-UA"/>
                </w:rPr>
                <w:t>5.16.</w:t>
              </w:r>
            </w:hyperlink>
            <w:r w:rsidR="005235BC" w:rsidRPr="00D159D0">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5235BC" w:rsidRPr="00D159D0">
              <w:rPr>
                <w:noProof/>
                <w:lang w:val="uk-UA" w:eastAsia="uk-UA"/>
              </w:rPr>
              <w:drawing>
                <wp:inline distT="0" distB="0" distL="0" distR="0" wp14:anchorId="4539F441" wp14:editId="5B5C480A">
                  <wp:extent cx="548640" cy="152400"/>
                  <wp:effectExtent l="0" t="0" r="3810" b="0"/>
                  <wp:docPr id="53" name="Рисунок 53"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54551" cy="154042"/>
                          </a:xfrm>
                          <a:prstGeom prst="rect">
                            <a:avLst/>
                          </a:prstGeom>
                          <a:noFill/>
                          <a:ln>
                            <a:noFill/>
                          </a:ln>
                        </pic:spPr>
                      </pic:pic>
                    </a:graphicData>
                  </a:graphic>
                </wp:inline>
              </w:drawing>
            </w:r>
            <w:r w:rsidR="005235BC" w:rsidRPr="00D159D0">
              <w:rPr>
                <w:lang w:val="uk-UA" w:eastAsia="uk-UA"/>
              </w:rPr>
              <w:t>, на початок року t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oMath>
            <w:r w:rsidR="005235BC" w:rsidRPr="00D159D0">
              <w:rPr>
                <w:lang w:val="uk-UA" w:eastAsia="uk-UA"/>
              </w:rPr>
              <w:t>) визначається за формулою</w:t>
            </w:r>
          </w:p>
          <w:tbl>
            <w:tblPr>
              <w:tblW w:w="4997" w:type="pct"/>
              <w:tblLayout w:type="fixed"/>
              <w:tblCellMar>
                <w:left w:w="0" w:type="dxa"/>
                <w:right w:w="0" w:type="dxa"/>
              </w:tblCellMar>
              <w:tblLook w:val="04A0" w:firstRow="1" w:lastRow="0" w:firstColumn="1" w:lastColumn="0" w:noHBand="0" w:noVBand="1"/>
            </w:tblPr>
            <w:tblGrid>
              <w:gridCol w:w="4805"/>
              <w:gridCol w:w="635"/>
            </w:tblGrid>
            <w:tr w:rsidR="00D159D0" w:rsidRPr="00D159D0" w14:paraId="5E6892FC" w14:textId="77777777" w:rsidTr="00BE7345">
              <w:tc>
                <w:tcPr>
                  <w:tcW w:w="6492" w:type="dxa"/>
                  <w:tcBorders>
                    <w:top w:val="single" w:sz="2" w:space="0" w:color="auto"/>
                    <w:left w:val="single" w:sz="2" w:space="0" w:color="auto"/>
                    <w:bottom w:val="single" w:sz="2" w:space="0" w:color="auto"/>
                    <w:right w:val="single" w:sz="2" w:space="0" w:color="auto"/>
                  </w:tcBorders>
                  <w:hideMark/>
                </w:tcPr>
                <w:p w14:paraId="7DC6A59C" w14:textId="77777777" w:rsidR="005235BC" w:rsidRPr="00D159D0" w:rsidRDefault="005235BC" w:rsidP="004976F9">
                  <w:pPr>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1</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Pr="00D159D0">
                    <w:rPr>
                      <w:b/>
                      <w:lang w:val="uk-UA"/>
                    </w:rPr>
                    <w:t xml:space="preserve">, </w:t>
                  </w:r>
                </w:p>
              </w:tc>
              <w:tc>
                <w:tcPr>
                  <w:tcW w:w="851" w:type="dxa"/>
                  <w:tcBorders>
                    <w:top w:val="single" w:sz="2" w:space="0" w:color="auto"/>
                    <w:left w:val="single" w:sz="2" w:space="0" w:color="auto"/>
                    <w:bottom w:val="single" w:sz="2" w:space="0" w:color="auto"/>
                    <w:right w:val="single" w:sz="2" w:space="0" w:color="auto"/>
                  </w:tcBorders>
                  <w:hideMark/>
                </w:tcPr>
                <w:p w14:paraId="48CC3DB8" w14:textId="77777777" w:rsidR="005235BC" w:rsidRPr="00D159D0" w:rsidRDefault="005235BC" w:rsidP="004976F9">
                  <w:pPr>
                    <w:jc w:val="right"/>
                    <w:rPr>
                      <w:lang w:val="uk-UA" w:eastAsia="uk-UA"/>
                    </w:rPr>
                  </w:pPr>
                  <w:r w:rsidRPr="00D159D0">
                    <w:rPr>
                      <w:lang w:val="uk-UA" w:eastAsia="uk-UA"/>
                    </w:rPr>
                    <w:t>тис. грн (14)</w:t>
                  </w:r>
                </w:p>
              </w:tc>
            </w:tr>
          </w:tbl>
          <w:p w14:paraId="6CDBB0E6" w14:textId="77777777" w:rsidR="005235BC" w:rsidRPr="00D159D0" w:rsidRDefault="005235BC" w:rsidP="004976F9">
            <w:pPr>
              <w:shd w:val="clear" w:color="auto" w:fill="FFFFFF"/>
              <w:ind w:firstLine="457"/>
              <w:jc w:val="both"/>
              <w:outlineLvl w:val="2"/>
              <w:rPr>
                <w:lang w:val="uk-UA" w:eastAsia="uk-UA"/>
              </w:rPr>
            </w:pPr>
            <w:r w:rsidRPr="00D159D0">
              <w:rPr>
                <w:lang w:val="uk-UA" w:eastAsia="uk-UA"/>
              </w:rPr>
              <w:t>де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oMath>
            <w:r w:rsidRPr="00D159D0">
              <w:rPr>
                <w:lang w:val="uk-UA" w:eastAsia="uk-UA"/>
              </w:rPr>
              <w:t xml:space="preserve"> – регуляторна база активів, віднесених до категорії 1, що створена після переходу до стимулюючого регулювання, визначена на рівні </w:t>
            </w:r>
            <w:r w:rsidRPr="00D159D0">
              <w:rPr>
                <w:b/>
                <w:lang w:val="uk-UA" w:eastAsia="uk-UA"/>
              </w:rPr>
              <w:t>залишкової вартість активів, включених до неї</w:t>
            </w:r>
            <w:r w:rsidRPr="00D159D0">
              <w:rPr>
                <w:lang w:val="uk-UA" w:eastAsia="uk-UA"/>
              </w:rPr>
              <w:t xml:space="preserve"> на початок року t-1, тис. грн;</w:t>
            </w:r>
          </w:p>
          <w:p w14:paraId="431E6236" w14:textId="77777777" w:rsidR="005235BC" w:rsidRPr="00D159D0" w:rsidRDefault="005235BC" w:rsidP="004976F9">
            <w:pPr>
              <w:shd w:val="clear" w:color="auto" w:fill="FFFFFF"/>
              <w:ind w:firstLine="457"/>
              <w:jc w:val="both"/>
              <w:outlineLvl w:val="2"/>
              <w:rPr>
                <w:lang w:val="uk-UA" w:eastAsia="uk-UA"/>
              </w:rPr>
            </w:pPr>
          </w:p>
          <w:p w14:paraId="7FAA98CA" w14:textId="77777777" w:rsidR="005235BC" w:rsidRPr="00D159D0" w:rsidRDefault="005235BC" w:rsidP="004976F9">
            <w:pPr>
              <w:shd w:val="clear" w:color="auto" w:fill="FFFFFF"/>
              <w:ind w:firstLine="457"/>
              <w:jc w:val="both"/>
              <w:outlineLvl w:val="2"/>
              <w:rPr>
                <w:lang w:val="uk-UA" w:eastAsia="uk-UA"/>
              </w:rPr>
            </w:pPr>
          </w:p>
          <w:p w14:paraId="4EB48228" w14:textId="77777777" w:rsidR="005235BC" w:rsidRPr="00D159D0" w:rsidRDefault="005235BC" w:rsidP="004976F9">
            <w:pPr>
              <w:shd w:val="clear" w:color="auto" w:fill="FFFFFF"/>
              <w:ind w:firstLine="457"/>
              <w:jc w:val="both"/>
              <w:outlineLvl w:val="2"/>
              <w:rPr>
                <w:lang w:val="uk-UA" w:eastAsia="uk-UA"/>
              </w:rPr>
            </w:pPr>
          </w:p>
          <w:p w14:paraId="7DF20D46" w14:textId="77777777" w:rsidR="005235BC" w:rsidRPr="00D159D0" w:rsidRDefault="005235BC" w:rsidP="004976F9">
            <w:pPr>
              <w:shd w:val="clear" w:color="auto" w:fill="FFFFFF"/>
              <w:ind w:firstLine="457"/>
              <w:jc w:val="both"/>
              <w:outlineLvl w:val="2"/>
              <w:rPr>
                <w:lang w:val="uk-UA" w:eastAsia="uk-UA"/>
              </w:rPr>
            </w:pPr>
          </w:p>
          <w:p w14:paraId="49F420FA" w14:textId="77777777" w:rsidR="005235BC" w:rsidRPr="00D159D0" w:rsidRDefault="005235BC" w:rsidP="004976F9">
            <w:pPr>
              <w:shd w:val="clear" w:color="auto" w:fill="FFFFFF"/>
              <w:ind w:firstLine="457"/>
              <w:jc w:val="both"/>
              <w:outlineLvl w:val="2"/>
              <w:rPr>
                <w:lang w:val="uk-UA" w:eastAsia="uk-UA"/>
              </w:rPr>
            </w:pPr>
          </w:p>
          <w:p w14:paraId="35A1FC0D" w14:textId="77777777" w:rsidR="005235BC" w:rsidRPr="00D159D0" w:rsidRDefault="005235BC" w:rsidP="004976F9">
            <w:pPr>
              <w:shd w:val="clear" w:color="auto" w:fill="FFFFFF"/>
              <w:ind w:firstLine="457"/>
              <w:jc w:val="both"/>
              <w:outlineLvl w:val="2"/>
              <w:rPr>
                <w:lang w:val="uk-UA" w:eastAsia="uk-UA"/>
              </w:rPr>
            </w:pPr>
          </w:p>
          <w:p w14:paraId="224F4169" w14:textId="77777777" w:rsidR="005235BC" w:rsidRPr="00D159D0" w:rsidRDefault="005235BC" w:rsidP="004976F9">
            <w:pPr>
              <w:shd w:val="clear" w:color="auto" w:fill="FFFFFF"/>
              <w:ind w:firstLine="457"/>
              <w:jc w:val="both"/>
              <w:outlineLvl w:val="2"/>
              <w:rPr>
                <w:lang w:val="uk-UA" w:eastAsia="uk-UA"/>
              </w:rPr>
            </w:pPr>
          </w:p>
          <w:p w14:paraId="558D25F2" w14:textId="77777777" w:rsidR="005235BC" w:rsidRPr="00D159D0" w:rsidRDefault="005235BC" w:rsidP="004976F9">
            <w:pPr>
              <w:shd w:val="clear" w:color="auto" w:fill="FFFFFF"/>
              <w:ind w:firstLine="457"/>
              <w:jc w:val="both"/>
              <w:outlineLvl w:val="2"/>
              <w:rPr>
                <w:lang w:val="uk-UA" w:eastAsia="uk-UA"/>
              </w:rPr>
            </w:pPr>
          </w:p>
          <w:p w14:paraId="22F595B9" w14:textId="77777777" w:rsidR="005235BC" w:rsidRPr="00D159D0" w:rsidRDefault="005235BC" w:rsidP="004976F9">
            <w:pPr>
              <w:shd w:val="clear" w:color="auto" w:fill="FFFFFF"/>
              <w:ind w:firstLine="457"/>
              <w:jc w:val="both"/>
              <w:outlineLvl w:val="2"/>
              <w:rPr>
                <w:lang w:val="uk-UA" w:eastAsia="uk-UA"/>
              </w:rPr>
            </w:pPr>
          </w:p>
          <w:p w14:paraId="427DA7C2" w14:textId="77777777" w:rsidR="005235BC" w:rsidRPr="00D159D0" w:rsidRDefault="005235BC" w:rsidP="004976F9">
            <w:pPr>
              <w:shd w:val="clear" w:color="auto" w:fill="FFFFFF"/>
              <w:ind w:firstLine="457"/>
              <w:jc w:val="both"/>
              <w:outlineLvl w:val="2"/>
              <w:rPr>
                <w:b/>
                <w:lang w:val="uk-UA"/>
              </w:rPr>
            </w:pPr>
          </w:p>
          <w:p w14:paraId="6999973D" w14:textId="77777777" w:rsidR="005235BC" w:rsidRPr="00D159D0" w:rsidRDefault="005235BC" w:rsidP="004976F9">
            <w:pPr>
              <w:shd w:val="clear" w:color="auto" w:fill="FFFFFF"/>
              <w:ind w:firstLine="457"/>
              <w:jc w:val="both"/>
              <w:outlineLvl w:val="2"/>
              <w:rPr>
                <w:b/>
                <w:lang w:val="uk-UA"/>
              </w:rPr>
            </w:pPr>
          </w:p>
          <w:p w14:paraId="444BF03A" w14:textId="77777777" w:rsidR="00EE26FC" w:rsidRPr="00D159D0" w:rsidRDefault="00EE26FC" w:rsidP="004976F9">
            <w:pPr>
              <w:shd w:val="clear" w:color="auto" w:fill="FFFFFF"/>
              <w:ind w:firstLine="457"/>
              <w:jc w:val="both"/>
              <w:outlineLvl w:val="2"/>
              <w:rPr>
                <w:b/>
                <w:lang w:val="uk-UA"/>
              </w:rPr>
            </w:pPr>
          </w:p>
          <w:p w14:paraId="304BBE95" w14:textId="77777777" w:rsidR="00EE26FC" w:rsidRPr="00D159D0" w:rsidRDefault="00EE26FC" w:rsidP="004976F9">
            <w:pPr>
              <w:shd w:val="clear" w:color="auto" w:fill="FFFFFF"/>
              <w:ind w:firstLine="457"/>
              <w:jc w:val="both"/>
              <w:outlineLvl w:val="2"/>
              <w:rPr>
                <w:b/>
                <w:lang w:val="uk-UA"/>
              </w:rPr>
            </w:pPr>
          </w:p>
          <w:p w14:paraId="64DB27FA" w14:textId="77777777" w:rsidR="00EE26FC" w:rsidRPr="00D159D0" w:rsidRDefault="00EE26FC" w:rsidP="004976F9">
            <w:pPr>
              <w:shd w:val="clear" w:color="auto" w:fill="FFFFFF"/>
              <w:ind w:firstLine="457"/>
              <w:jc w:val="both"/>
              <w:outlineLvl w:val="2"/>
              <w:rPr>
                <w:b/>
                <w:lang w:val="uk-UA"/>
              </w:rPr>
            </w:pPr>
          </w:p>
          <w:p w14:paraId="46999775" w14:textId="77777777" w:rsidR="00D148C2" w:rsidRPr="00D159D0" w:rsidRDefault="00D148C2" w:rsidP="004976F9">
            <w:pPr>
              <w:shd w:val="clear" w:color="auto" w:fill="FFFFFF"/>
              <w:ind w:firstLine="457"/>
              <w:jc w:val="both"/>
              <w:outlineLvl w:val="2"/>
              <w:rPr>
                <w:b/>
                <w:lang w:val="uk-UA"/>
              </w:rPr>
            </w:pPr>
          </w:p>
          <w:p w14:paraId="0D544417" w14:textId="77777777" w:rsidR="00EE26FC" w:rsidRPr="00D159D0" w:rsidRDefault="00EE26FC" w:rsidP="004976F9">
            <w:pPr>
              <w:shd w:val="clear" w:color="auto" w:fill="FFFFFF"/>
              <w:ind w:firstLine="457"/>
              <w:jc w:val="both"/>
              <w:outlineLvl w:val="2"/>
              <w:rPr>
                <w:b/>
                <w:lang w:val="uk-UA"/>
              </w:rPr>
            </w:pPr>
          </w:p>
          <w:p w14:paraId="237082D4" w14:textId="77777777" w:rsidR="00780F80" w:rsidRPr="00D159D0" w:rsidRDefault="00780F80" w:rsidP="004976F9">
            <w:pPr>
              <w:shd w:val="clear" w:color="auto" w:fill="FFFFFF"/>
              <w:ind w:firstLine="457"/>
              <w:jc w:val="both"/>
              <w:outlineLvl w:val="2"/>
              <w:rPr>
                <w:b/>
                <w:lang w:val="uk-UA"/>
              </w:rPr>
            </w:pPr>
          </w:p>
          <w:p w14:paraId="74C4DF00" w14:textId="77777777" w:rsidR="005235BC" w:rsidRPr="00D159D0" w:rsidRDefault="005235BC" w:rsidP="004976F9">
            <w:pPr>
              <w:shd w:val="clear" w:color="auto" w:fill="FFFFFF"/>
              <w:ind w:firstLine="457"/>
              <w:jc w:val="both"/>
              <w:outlineLvl w:val="2"/>
              <w:rPr>
                <w:b/>
                <w:lang w:val="uk-UA"/>
              </w:rPr>
            </w:pPr>
          </w:p>
          <w:p w14:paraId="3FABE921" w14:textId="77777777" w:rsidR="005235BC" w:rsidRPr="00D159D0" w:rsidRDefault="005235BC" w:rsidP="004976F9">
            <w:pPr>
              <w:shd w:val="clear" w:color="auto" w:fill="FFFFFF"/>
              <w:ind w:firstLine="457"/>
              <w:jc w:val="both"/>
              <w:outlineLvl w:val="2"/>
              <w:rPr>
                <w:lang w:val="uk-UA" w:eastAsia="uk-UA"/>
              </w:rPr>
            </w:pPr>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oMath>
            <w:r w:rsidRPr="00D159D0">
              <w:rPr>
                <w:lang w:val="uk-UA"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тис. грн;</w:t>
            </w:r>
          </w:p>
          <w:p w14:paraId="411B60A5" w14:textId="77777777" w:rsidR="005235BC" w:rsidRPr="00D159D0" w:rsidRDefault="005235BC" w:rsidP="004976F9">
            <w:pPr>
              <w:shd w:val="clear" w:color="auto" w:fill="FFFFFF"/>
              <w:ind w:firstLine="457"/>
              <w:jc w:val="both"/>
              <w:outlineLvl w:val="2"/>
              <w:rPr>
                <w:lang w:val="uk-UA" w:eastAsia="uk-UA"/>
              </w:rPr>
            </w:pPr>
          </w:p>
          <w:p w14:paraId="5257629F" w14:textId="77777777" w:rsidR="005235BC" w:rsidRPr="00D159D0" w:rsidRDefault="005235BC" w:rsidP="004976F9">
            <w:pPr>
              <w:shd w:val="clear" w:color="auto" w:fill="FFFFFF"/>
              <w:ind w:firstLine="457"/>
              <w:jc w:val="both"/>
              <w:outlineLvl w:val="2"/>
              <w:rPr>
                <w:b/>
                <w:lang w:val="uk-UA"/>
              </w:rPr>
            </w:pPr>
          </w:p>
          <w:p w14:paraId="7D6F4EF1" w14:textId="77777777" w:rsidR="005235BC" w:rsidRPr="00D159D0" w:rsidRDefault="005235BC" w:rsidP="004976F9">
            <w:pPr>
              <w:shd w:val="clear" w:color="auto" w:fill="FFFFFF"/>
              <w:ind w:firstLine="457"/>
              <w:jc w:val="both"/>
              <w:outlineLvl w:val="2"/>
              <w:rPr>
                <w:b/>
                <w:lang w:val="uk-UA"/>
              </w:rPr>
            </w:pPr>
          </w:p>
          <w:p w14:paraId="323463F2" w14:textId="77777777" w:rsidR="005235BC" w:rsidRPr="00D159D0" w:rsidRDefault="005235BC" w:rsidP="004976F9">
            <w:pPr>
              <w:shd w:val="clear" w:color="auto" w:fill="FFFFFF"/>
              <w:ind w:firstLine="457"/>
              <w:jc w:val="both"/>
              <w:outlineLvl w:val="2"/>
              <w:rPr>
                <w:b/>
                <w:lang w:val="uk-UA"/>
              </w:rPr>
            </w:pPr>
          </w:p>
          <w:p w14:paraId="1EEB0013" w14:textId="77777777" w:rsidR="00EE26FC" w:rsidRPr="00D159D0" w:rsidRDefault="00EE26FC" w:rsidP="004976F9">
            <w:pPr>
              <w:shd w:val="clear" w:color="auto" w:fill="FFFFFF"/>
              <w:ind w:firstLine="457"/>
              <w:jc w:val="both"/>
              <w:outlineLvl w:val="2"/>
              <w:rPr>
                <w:b/>
                <w:lang w:val="uk-UA"/>
              </w:rPr>
            </w:pPr>
          </w:p>
          <w:p w14:paraId="386EA57B" w14:textId="77777777" w:rsidR="005235BC" w:rsidRPr="00D159D0" w:rsidRDefault="005235BC" w:rsidP="004976F9">
            <w:pPr>
              <w:shd w:val="clear" w:color="auto" w:fill="FFFFFF"/>
              <w:ind w:firstLine="457"/>
              <w:jc w:val="both"/>
              <w:outlineLvl w:val="2"/>
              <w:rPr>
                <w:b/>
                <w:lang w:val="uk-UA"/>
              </w:rPr>
            </w:pPr>
          </w:p>
          <w:p w14:paraId="07CF2B97" w14:textId="77777777" w:rsidR="005235BC" w:rsidRPr="00D159D0" w:rsidRDefault="005235BC" w:rsidP="004976F9">
            <w:pPr>
              <w:shd w:val="clear" w:color="auto" w:fill="FFFFFF"/>
              <w:ind w:firstLine="457"/>
              <w:jc w:val="both"/>
              <w:outlineLvl w:val="2"/>
              <w:rPr>
                <w:b/>
                <w:lang w:val="uk-UA"/>
              </w:rPr>
            </w:pPr>
          </w:p>
          <w:p w14:paraId="31C7F368" w14:textId="77777777" w:rsidR="005235BC" w:rsidRPr="00D159D0" w:rsidRDefault="005235BC" w:rsidP="004976F9">
            <w:pPr>
              <w:shd w:val="clear" w:color="auto" w:fill="FFFFFF"/>
              <w:ind w:firstLine="457"/>
              <w:jc w:val="both"/>
              <w:outlineLvl w:val="2"/>
              <w:rPr>
                <w:b/>
                <w:lang w:val="uk-UA"/>
              </w:rPr>
            </w:pPr>
          </w:p>
          <w:p w14:paraId="5ED1B56B" w14:textId="77777777" w:rsidR="005235BC" w:rsidRPr="00D159D0" w:rsidRDefault="005235BC" w:rsidP="004976F9">
            <w:pPr>
              <w:shd w:val="clear" w:color="auto" w:fill="FFFFFF"/>
              <w:ind w:firstLine="457"/>
              <w:jc w:val="both"/>
              <w:outlineLvl w:val="2"/>
              <w:rPr>
                <w:b/>
                <w:lang w:val="uk-UA"/>
              </w:rPr>
            </w:pPr>
          </w:p>
          <w:p w14:paraId="2E29C581" w14:textId="77777777" w:rsidR="005235BC" w:rsidRPr="00D159D0" w:rsidRDefault="00F84FFC" w:rsidP="004976F9">
            <w:pPr>
              <w:shd w:val="clear" w:color="auto" w:fill="FFFFFF"/>
              <w:ind w:firstLine="457"/>
              <w:jc w:val="both"/>
              <w:outlineLvl w:val="2"/>
              <w:rPr>
                <w:lang w:val="uk-UA" w:eastAsia="uk-UA"/>
              </w:rPr>
            </w:pPr>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oMath>
            <w:r w:rsidR="005235BC" w:rsidRPr="00D159D0">
              <w:rPr>
                <w:lang w:val="uk-UA" w:eastAsia="uk-UA"/>
              </w:rPr>
              <w:t xml:space="preserve"> - </w:t>
            </w:r>
            <w:r w:rsidR="005235BC" w:rsidRPr="00D159D0">
              <w:rPr>
                <w:b/>
                <w:lang w:val="uk-UA" w:eastAsia="uk-UA"/>
              </w:rPr>
              <w:t>первісна</w:t>
            </w:r>
            <w:r w:rsidR="005235BC" w:rsidRPr="00D159D0">
              <w:rPr>
                <w:lang w:val="uk-UA" w:eastAsia="uk-UA"/>
              </w:rPr>
              <w:t xml:space="preserve">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w:t>
            </w:r>
            <w:r w:rsidR="005235BC" w:rsidRPr="00D159D0">
              <w:rPr>
                <w:b/>
                <w:lang w:val="uk-UA" w:eastAsia="uk-UA"/>
              </w:rPr>
              <w:t>у році t-1, тис. грн</w:t>
            </w:r>
            <w:r w:rsidR="005235BC" w:rsidRPr="00D159D0">
              <w:rPr>
                <w:lang w:val="uk-UA" w:eastAsia="uk-UA"/>
              </w:rPr>
              <w:t>;</w:t>
            </w:r>
          </w:p>
          <w:p w14:paraId="138AB477" w14:textId="77777777" w:rsidR="005235BC" w:rsidRPr="00D159D0" w:rsidRDefault="005235BC" w:rsidP="004976F9">
            <w:pPr>
              <w:shd w:val="clear" w:color="auto" w:fill="FFFFFF"/>
              <w:ind w:firstLine="457"/>
              <w:jc w:val="both"/>
              <w:outlineLvl w:val="2"/>
              <w:rPr>
                <w:b/>
                <w:lang w:val="uk-UA"/>
              </w:rPr>
            </w:pPr>
          </w:p>
          <w:p w14:paraId="4B3A0176" w14:textId="77777777" w:rsidR="005235BC" w:rsidRPr="00D159D0" w:rsidRDefault="005235BC" w:rsidP="004976F9">
            <w:pPr>
              <w:shd w:val="clear" w:color="auto" w:fill="FFFFFF"/>
              <w:ind w:firstLine="457"/>
              <w:jc w:val="both"/>
              <w:outlineLvl w:val="2"/>
              <w:rPr>
                <w:b/>
                <w:lang w:val="uk-UA"/>
              </w:rPr>
            </w:pPr>
          </w:p>
          <w:p w14:paraId="0B56E99B" w14:textId="77777777" w:rsidR="00AD2A16" w:rsidRPr="00D159D0" w:rsidRDefault="00F84FFC" w:rsidP="004976F9">
            <w:pPr>
              <w:jc w:val="both"/>
              <w:rPr>
                <w:b/>
                <w:bCs/>
                <w:lang w:val="uk-UA"/>
              </w:rPr>
            </w:pPr>
            <m:oMath>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005235BC" w:rsidRPr="00D159D0">
              <w:rPr>
                <w:b/>
                <w:lang w:val="uk-UA"/>
              </w:rPr>
              <w:t xml:space="preserve"> - </w:t>
            </w:r>
            <w:r w:rsidR="005235BC" w:rsidRPr="00D159D0">
              <w:rPr>
                <w:b/>
                <w:lang w:val="uk-UA" w:eastAsia="uk-UA"/>
              </w:rPr>
              <w:t>залишкова вартість активів введених (повернутих) до регуляторної бази активів, визначена на дату виведення таких активів з експлуатації, у зв'язку із тимчасовим припиненням їх використання (щодо нерухомого майна – без демонтажу), у році t-1, тис. грн.</w:t>
            </w:r>
          </w:p>
        </w:tc>
        <w:tc>
          <w:tcPr>
            <w:tcW w:w="5954" w:type="dxa"/>
          </w:tcPr>
          <w:p w14:paraId="204C9BB4" w14:textId="77777777" w:rsidR="005235BC" w:rsidRPr="00D159D0" w:rsidRDefault="005235BC" w:rsidP="004976F9">
            <w:pPr>
              <w:jc w:val="both"/>
              <w:rPr>
                <w:b/>
                <w:lang w:val="uk-UA"/>
              </w:rPr>
            </w:pPr>
          </w:p>
          <w:p w14:paraId="35FE0B4D" w14:textId="77777777" w:rsidR="005235BC" w:rsidRPr="00D159D0" w:rsidRDefault="005235BC" w:rsidP="004976F9">
            <w:pPr>
              <w:jc w:val="both"/>
              <w:rPr>
                <w:b/>
                <w:lang w:val="uk-UA"/>
              </w:rPr>
            </w:pPr>
            <w:r w:rsidRPr="00D159D0">
              <w:rPr>
                <w:b/>
                <w:lang w:val="uk-UA"/>
              </w:rPr>
              <w:t>ТОВ «ДТЕК ВИСОКОВОЛЬТНІ МЕРЕЖІ» лист від 17.07.2024 № 08-61/935</w:t>
            </w:r>
          </w:p>
          <w:p w14:paraId="6E046AAD" w14:textId="77777777" w:rsidR="005235BC" w:rsidRPr="00D159D0" w:rsidRDefault="005235BC" w:rsidP="004976F9">
            <w:pPr>
              <w:jc w:val="both"/>
              <w:rPr>
                <w:b/>
                <w:lang w:val="uk-UA"/>
              </w:rPr>
            </w:pPr>
            <w:r w:rsidRPr="00D159D0">
              <w:rPr>
                <w:b/>
                <w:lang w:val="uk-UA"/>
              </w:rPr>
              <w:t>АТ «ДТЕК ДОНЕЦЬКІ ЕЛЕКТРОМЕРЕЖІ» лист від 17.07.2024 № 06/9956</w:t>
            </w:r>
          </w:p>
          <w:p w14:paraId="3A7D69A8"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784B20C7" w14:textId="77777777" w:rsidR="00817433" w:rsidRPr="00D159D0" w:rsidRDefault="00817433" w:rsidP="004976F9">
            <w:pPr>
              <w:jc w:val="both"/>
              <w:rPr>
                <w:b/>
                <w:lang w:val="uk-UA"/>
              </w:rPr>
            </w:pPr>
          </w:p>
          <w:p w14:paraId="75356ED2" w14:textId="77777777" w:rsidR="005235BC" w:rsidRPr="00D159D0" w:rsidRDefault="005235BC" w:rsidP="004976F9">
            <w:pPr>
              <w:shd w:val="clear" w:color="auto" w:fill="FFFFFF"/>
              <w:ind w:firstLine="457"/>
              <w:jc w:val="both"/>
              <w:outlineLvl w:val="2"/>
              <w:rPr>
                <w:lang w:val="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r w:rsidRPr="00D159D0">
              <w:rPr>
                <w:lang w:val="uk-UA"/>
              </w:rPr>
              <w:t xml:space="preserve"> </w:t>
            </w:r>
          </w:p>
          <w:p w14:paraId="1DE96A4C" w14:textId="5A23DF5C" w:rsidR="005235BC" w:rsidRPr="00D159D0" w:rsidRDefault="00F84FFC" w:rsidP="004976F9">
            <w:pPr>
              <w:shd w:val="clear" w:color="auto" w:fill="FFFFFF"/>
              <w:ind w:firstLine="457"/>
              <w:jc w:val="both"/>
              <w:outlineLvl w:val="2"/>
              <w:rPr>
                <w:lang w:val="uk-UA" w:eastAsia="uk-UA"/>
              </w:rPr>
            </w:pPr>
            <w:hyperlink r:id="rId47" w:tgtFrame="_blank" w:history="1">
              <w:r w:rsidR="005235BC" w:rsidRPr="00D159D0">
                <w:rPr>
                  <w:lang w:val="uk-UA" w:eastAsia="uk-UA"/>
                </w:rPr>
                <w:t>5.16.</w:t>
              </w:r>
            </w:hyperlink>
            <w:r w:rsidR="005235BC" w:rsidRPr="00D159D0">
              <w:rPr>
                <w:lang w:val="uk-UA" w:eastAsia="uk-UA"/>
              </w:rPr>
              <w:t> Регуляторна база активів, віднесених до категорії 1, що створена після переходу до стимулюючого регулювання та на яку нараховується </w:t>
            </w:r>
            <w:r w:rsidR="005235BC" w:rsidRPr="00D159D0">
              <w:rPr>
                <w:noProof/>
                <w:lang w:val="uk-UA" w:eastAsia="uk-UA"/>
              </w:rPr>
              <w:drawing>
                <wp:inline distT="0" distB="0" distL="0" distR="0" wp14:anchorId="7E448D15" wp14:editId="26E55C96">
                  <wp:extent cx="571500" cy="158750"/>
                  <wp:effectExtent l="0" t="0" r="0" b="0"/>
                  <wp:docPr id="1993780109" name="Рисунок 1993780109" descr="https://ips.ligazakon.net/l_flib1.nsf/LookupFiles/GK40721_IMG_270.GIF/$file/GK40721_IMG_2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Рисунок 51" descr="https://ips.ligazakon.net/l_flib1.nsf/LookupFiles/GK40721_IMG_270.GIF/$file/GK40721_IMG_270.GIF"/>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571500" cy="158750"/>
                          </a:xfrm>
                          <a:prstGeom prst="rect">
                            <a:avLst/>
                          </a:prstGeom>
                          <a:noFill/>
                          <a:ln>
                            <a:noFill/>
                          </a:ln>
                        </pic:spPr>
                      </pic:pic>
                    </a:graphicData>
                  </a:graphic>
                </wp:inline>
              </w:drawing>
            </w:r>
            <w:r w:rsidR="005235BC" w:rsidRPr="00D159D0">
              <w:rPr>
                <w:lang w:val="uk-UA" w:eastAsia="uk-UA"/>
              </w:rPr>
              <w:t>, на початок року t (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oMath>
            <w:r w:rsidR="005235BC" w:rsidRPr="00D159D0">
              <w:rPr>
                <w:lang w:val="uk-UA" w:eastAsia="uk-UA"/>
              </w:rPr>
              <w:t>) визначається за формулою</w:t>
            </w:r>
          </w:p>
          <w:tbl>
            <w:tblPr>
              <w:tblW w:w="4997" w:type="pct"/>
              <w:tblLayout w:type="fixed"/>
              <w:tblCellMar>
                <w:left w:w="0" w:type="dxa"/>
                <w:right w:w="0" w:type="dxa"/>
              </w:tblCellMar>
              <w:tblLook w:val="04A0" w:firstRow="1" w:lastRow="0" w:firstColumn="1" w:lastColumn="0" w:noHBand="0" w:noVBand="1"/>
            </w:tblPr>
            <w:tblGrid>
              <w:gridCol w:w="5061"/>
              <w:gridCol w:w="668"/>
            </w:tblGrid>
            <w:tr w:rsidR="00D159D0" w:rsidRPr="00D159D0" w14:paraId="797DB298" w14:textId="77777777" w:rsidTr="00BE7345">
              <w:tc>
                <w:tcPr>
                  <w:tcW w:w="6492" w:type="dxa"/>
                  <w:tcBorders>
                    <w:top w:val="single" w:sz="2" w:space="0" w:color="auto"/>
                    <w:left w:val="single" w:sz="2" w:space="0" w:color="auto"/>
                    <w:bottom w:val="single" w:sz="2" w:space="0" w:color="auto"/>
                    <w:right w:val="single" w:sz="2" w:space="0" w:color="auto"/>
                  </w:tcBorders>
                  <w:hideMark/>
                </w:tcPr>
                <w:p w14:paraId="1E9FB0C4" w14:textId="77777777" w:rsidR="005235BC" w:rsidRPr="00D159D0" w:rsidRDefault="005235BC" w:rsidP="004976F9">
                  <w:pPr>
                    <w:jc w:val="center"/>
                    <w:rPr>
                      <w:b/>
                      <w:lang w:val="uk-UA" w:eastAsia="uk-UA"/>
                    </w:rPr>
                  </w:pP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m:t>
                        </m:r>
                      </m:sub>
                      <m:sup>
                        <m:r>
                          <m:rPr>
                            <m:sty m:val="bi"/>
                          </m:rPr>
                          <w:rPr>
                            <w:rFonts w:ascii="Cambria Math" w:hAnsi="Cambria Math"/>
                            <w:lang w:val="uk-UA"/>
                          </w:rPr>
                          <m:t xml:space="preserve">нов 1 </m:t>
                        </m:r>
                      </m:sup>
                    </m:sSubSup>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t-1</m:t>
                        </m:r>
                      </m:sub>
                      <m:sup>
                        <m:r>
                          <m:rPr>
                            <m:sty m:val="bi"/>
                          </m:rPr>
                          <w:rPr>
                            <w:rFonts w:ascii="Cambria Math" w:hAnsi="Cambria Math"/>
                            <w:lang w:val="uk-UA"/>
                          </w:rPr>
                          <m:t>нов 1</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r>
                      <m:rPr>
                        <m:sty m:val="bi"/>
                      </m:rPr>
                      <w:rPr>
                        <w:rFonts w:ascii="Cambria Math" w:hAnsi="Cambria Math"/>
                        <w:lang w:val="uk-UA"/>
                      </w:rPr>
                      <m:t>+</m:t>
                    </m:r>
                    <m:sSubSup>
                      <m:sSubSupPr>
                        <m:ctrlPr>
                          <w:rPr>
                            <w:rFonts w:ascii="Cambria Math" w:hAnsi="Cambria Math"/>
                            <w:b/>
                            <w:i/>
                            <w:lang w:val="uk-UA"/>
                          </w:rPr>
                        </m:ctrlPr>
                      </m:sSubSupPr>
                      <m:e>
                        <m:r>
                          <m:rPr>
                            <m:sty m:val="bi"/>
                          </m:rPr>
                          <w:rPr>
                            <w:rFonts w:ascii="Cambria Math" w:hAnsi="Cambria Math"/>
                            <w:lang w:val="uk-UA"/>
                          </w:rPr>
                          <m:t>I</m:t>
                        </m:r>
                      </m:e>
                      <m:sub>
                        <m:r>
                          <m:rPr>
                            <m:sty m:val="bi"/>
                          </m:rPr>
                          <w:rPr>
                            <w:rFonts w:ascii="Cambria Math" w:hAnsi="Cambria Math"/>
                            <w:lang w:val="uk-UA"/>
                          </w:rPr>
                          <m:t>ВПt-1</m:t>
                        </m:r>
                      </m:sub>
                      <m:sup>
                        <m:r>
                          <m:rPr>
                            <m:sty m:val="bi"/>
                          </m:rPr>
                          <w:rPr>
                            <w:rFonts w:ascii="Cambria Math" w:hAnsi="Cambria Math"/>
                            <w:lang w:val="uk-UA"/>
                          </w:rPr>
                          <m:t xml:space="preserve">нов 1 </m:t>
                        </m:r>
                      </m:sup>
                    </m:sSubSup>
                  </m:oMath>
                  <w:r w:rsidRPr="00D159D0">
                    <w:rPr>
                      <w:b/>
                      <w:lang w:val="uk-UA"/>
                    </w:rPr>
                    <w:t xml:space="preserve">, </w:t>
                  </w:r>
                </w:p>
              </w:tc>
              <w:tc>
                <w:tcPr>
                  <w:tcW w:w="851" w:type="dxa"/>
                  <w:tcBorders>
                    <w:top w:val="single" w:sz="2" w:space="0" w:color="auto"/>
                    <w:left w:val="single" w:sz="2" w:space="0" w:color="auto"/>
                    <w:bottom w:val="single" w:sz="2" w:space="0" w:color="auto"/>
                    <w:right w:val="single" w:sz="2" w:space="0" w:color="auto"/>
                  </w:tcBorders>
                  <w:hideMark/>
                </w:tcPr>
                <w:p w14:paraId="6F4D09CB" w14:textId="77777777" w:rsidR="005235BC" w:rsidRPr="00D159D0" w:rsidRDefault="005235BC" w:rsidP="004976F9">
                  <w:pPr>
                    <w:jc w:val="right"/>
                    <w:rPr>
                      <w:lang w:val="uk-UA" w:eastAsia="uk-UA"/>
                    </w:rPr>
                  </w:pPr>
                  <w:r w:rsidRPr="00D159D0">
                    <w:rPr>
                      <w:lang w:val="uk-UA" w:eastAsia="uk-UA"/>
                    </w:rPr>
                    <w:t>тис. грн (14)</w:t>
                  </w:r>
                </w:p>
              </w:tc>
            </w:tr>
          </w:tbl>
          <w:p w14:paraId="6639692D" w14:textId="77777777" w:rsidR="005235BC" w:rsidRPr="00D159D0" w:rsidRDefault="005235BC" w:rsidP="004976F9">
            <w:pPr>
              <w:shd w:val="clear" w:color="auto" w:fill="FFFFFF"/>
              <w:ind w:firstLine="457"/>
              <w:jc w:val="both"/>
              <w:outlineLvl w:val="2"/>
              <w:rPr>
                <w:lang w:val="uk-UA" w:eastAsia="uk-UA"/>
              </w:rPr>
            </w:pPr>
            <w:r w:rsidRPr="00D159D0">
              <w:rPr>
                <w:lang w:val="uk-UA" w:eastAsia="uk-UA"/>
              </w:rPr>
              <w:t>де </w:t>
            </w:r>
            <m:oMath>
              <m:r>
                <m:rPr>
                  <m:sty m:val="bi"/>
                </m:rPr>
                <w:rPr>
                  <w:rFonts w:ascii="Cambria Math" w:hAnsi="Cambria Math"/>
                  <w:lang w:val="uk-UA"/>
                </w:rPr>
                <m:t>РБ</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поч t-1</m:t>
                  </m:r>
                </m:sub>
                <m:sup>
                  <m:r>
                    <m:rPr>
                      <m:sty m:val="bi"/>
                    </m:rPr>
                    <w:rPr>
                      <w:rFonts w:ascii="Cambria Math" w:hAnsi="Cambria Math"/>
                      <w:lang w:val="uk-UA"/>
                    </w:rPr>
                    <m:t xml:space="preserve">нов 1 </m:t>
                  </m:r>
                </m:sup>
              </m:sSubSup>
            </m:oMath>
            <w:r w:rsidRPr="00D159D0">
              <w:rPr>
                <w:lang w:val="uk-UA" w:eastAsia="uk-UA"/>
              </w:rPr>
              <w:t xml:space="preserve"> – регуляторна база активів, віднесених до категорії 1, що створена після переходу до стимулюючого регулювання, визначена на рівні </w:t>
            </w:r>
            <w:r w:rsidRPr="00D159D0">
              <w:rPr>
                <w:b/>
                <w:lang w:val="uk-UA" w:eastAsia="uk-UA"/>
              </w:rPr>
              <w:t>залишкової вартості активів, включених до неї</w:t>
            </w:r>
            <w:r w:rsidRPr="00D159D0">
              <w:rPr>
                <w:lang w:val="uk-UA" w:eastAsia="uk-UA"/>
              </w:rPr>
              <w:t xml:space="preserve"> на початок року t-1, тис. грн;</w:t>
            </w:r>
          </w:p>
          <w:p w14:paraId="4384DC35" w14:textId="143D9F64" w:rsidR="005235BC" w:rsidRPr="00D159D0" w:rsidRDefault="005235BC" w:rsidP="004976F9">
            <w:pPr>
              <w:shd w:val="clear" w:color="auto" w:fill="FFFFFF"/>
              <w:ind w:firstLine="457"/>
              <w:jc w:val="both"/>
              <w:outlineLvl w:val="2"/>
              <w:rPr>
                <w:rStyle w:val="a9"/>
                <w:lang w:val="uk-UA"/>
              </w:rPr>
            </w:pPr>
            <w:r w:rsidRPr="00D159D0">
              <w:rPr>
                <w:rStyle w:val="a9"/>
                <w:lang w:val="uk-UA"/>
              </w:rPr>
              <w:t xml:space="preserve">На 2025 рік для ліцензіатів, перелік яких зазначений у додатку 30, </w:t>
            </w:r>
            <w:r w:rsidRPr="00D159D0">
              <w:rPr>
                <w:b/>
                <w:bCs/>
                <w:lang w:val="uk-UA" w:eastAsia="uk-UA"/>
              </w:rPr>
              <w:t xml:space="preserve">регуляторна база активів, віднесених до категорії 1, що створена після переходу до стимулюючого регулювання, визначена на рівні залишкової вартості активів, включених до неї на </w:t>
            </w:r>
            <w:r w:rsidRPr="00D159D0">
              <w:rPr>
                <w:b/>
                <w:bCs/>
                <w:lang w:val="uk-UA" w:eastAsia="uk-UA"/>
              </w:rPr>
              <w:lastRenderedPageBreak/>
              <w:t>початок року t-1</w:t>
            </w:r>
            <w:r w:rsidRPr="00D159D0">
              <w:rPr>
                <w:lang w:val="uk-UA" w:eastAsia="uk-UA"/>
              </w:rPr>
              <w:t xml:space="preserve">, </w:t>
            </w:r>
            <w:r w:rsidRPr="00D159D0">
              <w:rPr>
                <w:b/>
                <w:bCs/>
                <w:lang w:val="uk-UA" w:eastAsia="uk-UA"/>
              </w:rPr>
              <w:t>визначається за</w:t>
            </w:r>
            <w:r w:rsidRPr="00D159D0">
              <w:rPr>
                <w:rStyle w:val="a9"/>
                <w:lang w:val="uk-UA"/>
              </w:rPr>
              <w:t xml:space="preserve"> виключенням активів, що знаходяться на територіях за якими тимчасово втрачено контроль.</w:t>
            </w:r>
          </w:p>
          <w:p w14:paraId="5B00B691" w14:textId="77777777" w:rsidR="005235BC" w:rsidRPr="00D159D0" w:rsidRDefault="005235BC" w:rsidP="004976F9">
            <w:pPr>
              <w:shd w:val="clear" w:color="auto" w:fill="FFFFFF"/>
              <w:ind w:firstLine="457"/>
              <w:jc w:val="both"/>
              <w:outlineLvl w:val="2"/>
              <w:rPr>
                <w:lang w:val="uk-UA" w:eastAsia="uk-UA"/>
              </w:rPr>
            </w:pPr>
            <m:oMath>
              <m:r>
                <m:rPr>
                  <m:sty m:val="bi"/>
                </m:rPr>
                <w:rPr>
                  <w:rFonts w:ascii="Cambria Math" w:hAnsi="Cambria Math"/>
                  <w:lang w:val="uk-UA"/>
                </w:rPr>
                <m:t>В</m:t>
              </m:r>
              <m:sSubSup>
                <m:sSubSupPr>
                  <m:ctrlPr>
                    <w:rPr>
                      <w:rFonts w:ascii="Cambria Math" w:hAnsi="Cambria Math"/>
                      <w:b/>
                      <w:i/>
                      <w:lang w:val="uk-UA"/>
                    </w:rPr>
                  </m:ctrlPr>
                </m:sSubSupPr>
                <m:e>
                  <m:r>
                    <m:rPr>
                      <m:sty m:val="bi"/>
                    </m:rPr>
                    <w:rPr>
                      <w:rFonts w:ascii="Cambria Math" w:hAnsi="Cambria Math"/>
                      <w:lang w:val="uk-UA"/>
                    </w:rPr>
                    <m:t>А</m:t>
                  </m:r>
                </m:e>
                <m:sub>
                  <m:r>
                    <m:rPr>
                      <m:sty m:val="bi"/>
                    </m:rPr>
                    <w:rPr>
                      <w:rFonts w:ascii="Cambria Math" w:hAnsi="Cambria Math"/>
                      <w:lang w:val="uk-UA"/>
                    </w:rPr>
                    <m:t xml:space="preserve"> t-1</m:t>
                  </m:r>
                </m:sub>
                <m:sup>
                  <m:r>
                    <m:rPr>
                      <m:sty m:val="bi"/>
                    </m:rPr>
                    <w:rPr>
                      <w:rFonts w:ascii="Cambria Math" w:hAnsi="Cambria Math"/>
                      <w:lang w:val="uk-UA"/>
                    </w:rPr>
                    <m:t xml:space="preserve">нов 1 </m:t>
                  </m:r>
                </m:sup>
              </m:sSubSup>
            </m:oMath>
            <w:r w:rsidRPr="00D159D0">
              <w:rPr>
                <w:lang w:val="uk-UA" w:eastAsia="uk-UA"/>
              </w:rPr>
              <w:t> -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у році t-1, тис. грн;</w:t>
            </w:r>
          </w:p>
          <w:p w14:paraId="4568C64C" w14:textId="77777777" w:rsidR="005235BC" w:rsidRPr="00D159D0" w:rsidRDefault="005235BC" w:rsidP="004976F9">
            <w:pPr>
              <w:shd w:val="clear" w:color="auto" w:fill="FFFFFF"/>
              <w:ind w:firstLine="457"/>
              <w:jc w:val="both"/>
              <w:outlineLvl w:val="2"/>
              <w:rPr>
                <w:rStyle w:val="a9"/>
                <w:lang w:val="uk-UA"/>
              </w:rPr>
            </w:pPr>
            <w:r w:rsidRPr="00D159D0">
              <w:rPr>
                <w:rStyle w:val="a9"/>
                <w:lang w:val="uk-UA"/>
              </w:rPr>
              <w:t xml:space="preserve">На 2025 рік для ліцензіатів, перелік яких зазначений у додатку 30, залишкова вартість виведених з експлуатації активів (елементів активів), віднесених до категорії 1, із регуляторної бази активів, створеної після переходу до стимулюючого регулювання </w:t>
            </w:r>
            <w:r w:rsidRPr="00D159D0">
              <w:rPr>
                <w:b/>
                <w:bCs/>
                <w:lang w:val="uk-UA" w:eastAsia="uk-UA"/>
              </w:rPr>
              <w:t>у році</w:t>
            </w:r>
            <w:r w:rsidRPr="00D159D0">
              <w:rPr>
                <w:lang w:val="uk-UA" w:eastAsia="uk-UA"/>
              </w:rPr>
              <w:t xml:space="preserve"> </w:t>
            </w:r>
            <w:r w:rsidRPr="00D159D0">
              <w:rPr>
                <w:rStyle w:val="a9"/>
                <w:lang w:val="uk-UA"/>
              </w:rPr>
              <w:t>t-1, визначається  за виключенням активів,  що знаходяться на територіях за якими тимчасово втрачено контроль.</w:t>
            </w:r>
          </w:p>
          <w:p w14:paraId="5F8C217B" w14:textId="77777777" w:rsidR="005235BC" w:rsidRPr="00D159D0" w:rsidRDefault="005235BC" w:rsidP="004976F9">
            <w:pPr>
              <w:shd w:val="clear" w:color="auto" w:fill="FFFFFF"/>
              <w:ind w:firstLine="457"/>
              <w:jc w:val="both"/>
              <w:outlineLvl w:val="2"/>
              <w:rPr>
                <w:b/>
                <w:lang w:val="uk-UA"/>
              </w:rPr>
            </w:pPr>
          </w:p>
          <w:p w14:paraId="1DED5DA7" w14:textId="77777777" w:rsidR="005235BC" w:rsidRPr="00D159D0" w:rsidRDefault="00F84FFC" w:rsidP="004976F9">
            <w:pPr>
              <w:shd w:val="clear" w:color="auto" w:fill="FFFFFF"/>
              <w:ind w:firstLine="457"/>
              <w:jc w:val="both"/>
              <w:outlineLvl w:val="2"/>
              <w:rPr>
                <w:lang w:val="uk-UA" w:eastAsia="uk-UA"/>
              </w:rPr>
            </w:pPr>
            <m:oMath>
              <m:sSubSup>
                <m:sSubSupPr>
                  <m:ctrlPr>
                    <w:rPr>
                      <w:rFonts w:ascii="Cambria Math" w:hAnsi="Cambria Math"/>
                      <w:b/>
                      <w:i/>
                      <w:lang w:val="uk-UA"/>
                    </w:rPr>
                  </m:ctrlPr>
                </m:sSubSupPr>
                <m:e>
                  <m:r>
                    <m:rPr>
                      <m:sty m:val="bi"/>
                    </m:rPr>
                    <w:rPr>
                      <w:rFonts w:ascii="Cambria Math" w:hAnsi="Cambria Math"/>
                      <w:lang w:val="uk-UA"/>
                    </w:rPr>
                    <m:t>І</m:t>
                  </m:r>
                </m:e>
                <m:sub>
                  <m:r>
                    <m:rPr>
                      <m:sty m:val="bi"/>
                    </m:rPr>
                    <w:rPr>
                      <w:rFonts w:ascii="Cambria Math" w:hAnsi="Cambria Math"/>
                      <w:lang w:val="uk-UA"/>
                    </w:rPr>
                    <m:t>t-1</m:t>
                  </m:r>
                </m:sub>
                <m:sup>
                  <m:r>
                    <m:rPr>
                      <m:sty m:val="bi"/>
                    </m:rPr>
                    <w:rPr>
                      <w:rFonts w:ascii="Cambria Math" w:hAnsi="Cambria Math"/>
                      <w:lang w:val="uk-UA"/>
                    </w:rPr>
                    <m:t xml:space="preserve">нов 1 </m:t>
                  </m:r>
                </m:sup>
              </m:sSubSup>
            </m:oMath>
            <w:r w:rsidR="005235BC" w:rsidRPr="00D159D0">
              <w:rPr>
                <w:lang w:val="uk-UA" w:eastAsia="uk-UA"/>
              </w:rPr>
              <w:t xml:space="preserve"> - </w:t>
            </w:r>
            <w:r w:rsidR="005235BC" w:rsidRPr="00D159D0">
              <w:rPr>
                <w:b/>
                <w:lang w:val="uk-UA" w:eastAsia="uk-UA"/>
              </w:rPr>
              <w:t>первісна</w:t>
            </w:r>
            <w:r w:rsidR="005235BC" w:rsidRPr="00D159D0">
              <w:rPr>
                <w:lang w:val="uk-UA" w:eastAsia="uk-UA"/>
              </w:rPr>
              <w:t xml:space="preserve">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w:t>
            </w:r>
            <w:r w:rsidR="005235BC" w:rsidRPr="00D159D0">
              <w:rPr>
                <w:b/>
                <w:lang w:val="uk-UA" w:eastAsia="uk-UA"/>
              </w:rPr>
              <w:t>у році t-1, тис. грн</w:t>
            </w:r>
            <w:r w:rsidR="005235BC" w:rsidRPr="00D159D0">
              <w:rPr>
                <w:lang w:val="uk-UA" w:eastAsia="uk-UA"/>
              </w:rPr>
              <w:t>;</w:t>
            </w:r>
          </w:p>
          <w:p w14:paraId="362E8DB6" w14:textId="77777777" w:rsidR="005235BC" w:rsidRPr="00D159D0" w:rsidRDefault="005235BC" w:rsidP="004976F9">
            <w:pPr>
              <w:shd w:val="clear" w:color="auto" w:fill="FFFFFF"/>
              <w:ind w:firstLine="457"/>
              <w:jc w:val="both"/>
              <w:outlineLvl w:val="2"/>
              <w:rPr>
                <w:rStyle w:val="a9"/>
                <w:lang w:val="uk-UA"/>
              </w:rPr>
            </w:pPr>
            <w:r w:rsidRPr="00D159D0">
              <w:rPr>
                <w:rStyle w:val="a9"/>
                <w:lang w:val="uk-UA"/>
              </w:rPr>
              <w:t>На 2025 рік для ліцензіатів, перелік яких зазначений у додатку 30, первісна вартість створених та прийнятих на баланс активів, віднесених до категорії 1 (у тому числі створених з дотриманням вимог пункту 3.5 розділу III Порядку визначення регуляторної бази активів) у році t-1, визначаються за виключенням активів,  що знаходяться на територіях за якими тимчасово втрачено контроль.</w:t>
            </w:r>
          </w:p>
          <w:p w14:paraId="32FF41E1" w14:textId="77777777" w:rsidR="00AD2A16" w:rsidRPr="00D159D0" w:rsidRDefault="00AD2A16" w:rsidP="004976F9">
            <w:pPr>
              <w:jc w:val="both"/>
              <w:rPr>
                <w:b/>
                <w:bCs/>
                <w:lang w:val="uk-UA"/>
              </w:rPr>
            </w:pPr>
          </w:p>
        </w:tc>
        <w:tc>
          <w:tcPr>
            <w:tcW w:w="3544" w:type="dxa"/>
          </w:tcPr>
          <w:p w14:paraId="6A64357D" w14:textId="77777777" w:rsidR="00E97AAB" w:rsidRPr="00D159D0" w:rsidRDefault="00E97AAB" w:rsidP="00E97AAB">
            <w:pPr>
              <w:jc w:val="both"/>
              <w:rPr>
                <w:b/>
                <w:bCs/>
                <w:lang w:val="uk-UA"/>
              </w:rPr>
            </w:pPr>
            <w:r w:rsidRPr="00D159D0">
              <w:rPr>
                <w:b/>
                <w:bCs/>
                <w:lang w:val="uk-UA"/>
              </w:rPr>
              <w:lastRenderedPageBreak/>
              <w:t>Загальна позиція</w:t>
            </w:r>
          </w:p>
          <w:p w14:paraId="2164F3C6" w14:textId="77777777" w:rsidR="00E97AAB" w:rsidRPr="00D159D0" w:rsidRDefault="00E97AAB" w:rsidP="00E97AAB">
            <w:pPr>
              <w:widowControl w:val="0"/>
              <w:suppressAutoHyphens/>
              <w:contextualSpacing/>
              <w:jc w:val="both"/>
              <w:rPr>
                <w:b/>
                <w:bCs/>
                <w:lang w:val="uk-UA"/>
              </w:rPr>
            </w:pPr>
            <w:r w:rsidRPr="00D159D0">
              <w:rPr>
                <w:b/>
                <w:bCs/>
                <w:lang w:val="uk-UA"/>
              </w:rPr>
              <w:t>Не враховується</w:t>
            </w:r>
          </w:p>
          <w:p w14:paraId="17336412" w14:textId="4A513F9A" w:rsidR="00AD2A16" w:rsidRPr="00D159D0" w:rsidRDefault="00780F80" w:rsidP="00E97AAB">
            <w:pPr>
              <w:jc w:val="both"/>
              <w:rPr>
                <w:b/>
                <w:bCs/>
                <w:lang w:val="uk-UA"/>
              </w:rPr>
            </w:pPr>
            <w:r w:rsidRPr="00D159D0">
              <w:rPr>
                <w:b/>
                <w:lang w:val="uk-UA"/>
              </w:rPr>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tc>
      </w:tr>
      <w:tr w:rsidR="00D159D0" w:rsidRPr="00F84FFC" w14:paraId="524FA8F8" w14:textId="77777777" w:rsidTr="00EE26FC">
        <w:tc>
          <w:tcPr>
            <w:tcW w:w="5665" w:type="dxa"/>
          </w:tcPr>
          <w:p w14:paraId="7D5B9898" w14:textId="77777777" w:rsidR="005235BC" w:rsidRPr="00D159D0" w:rsidRDefault="005235BC" w:rsidP="004976F9">
            <w:pPr>
              <w:pStyle w:val="tj"/>
              <w:shd w:val="clear" w:color="auto" w:fill="FFFFFF"/>
              <w:spacing w:before="0" w:beforeAutospacing="0" w:after="0" w:afterAutospacing="0"/>
              <w:jc w:val="both"/>
            </w:pPr>
            <w:r w:rsidRPr="00D159D0">
              <w:t>5.19.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 за формулами:</w:t>
            </w:r>
          </w:p>
          <w:tbl>
            <w:tblPr>
              <w:tblpPr w:leftFromText="180" w:rightFromText="180" w:vertAnchor="text" w:horzAnchor="margin" w:tblpY="347"/>
              <w:tblOverlap w:val="never"/>
              <w:tblW w:w="3643" w:type="dxa"/>
              <w:tblLayout w:type="fixed"/>
              <w:tblCellMar>
                <w:top w:w="15" w:type="dxa"/>
                <w:left w:w="15" w:type="dxa"/>
                <w:bottom w:w="15" w:type="dxa"/>
                <w:right w:w="15" w:type="dxa"/>
              </w:tblCellMar>
              <w:tblLook w:val="04A0" w:firstRow="1" w:lastRow="0" w:firstColumn="1" w:lastColumn="0" w:noHBand="0" w:noVBand="1"/>
            </w:tblPr>
            <w:tblGrid>
              <w:gridCol w:w="2452"/>
              <w:gridCol w:w="867"/>
              <w:gridCol w:w="324"/>
            </w:tblGrid>
            <w:tr w:rsidR="00D159D0" w:rsidRPr="00D159D0" w14:paraId="7380406E" w14:textId="77777777" w:rsidTr="00BE7345">
              <w:trPr>
                <w:trHeight w:val="280"/>
              </w:trPr>
              <w:tc>
                <w:tcPr>
                  <w:tcW w:w="3365" w:type="pct"/>
                  <w:shd w:val="clear" w:color="auto" w:fill="auto"/>
                  <w:tcMar>
                    <w:top w:w="0" w:type="dxa"/>
                    <w:left w:w="0" w:type="dxa"/>
                    <w:bottom w:w="0" w:type="dxa"/>
                    <w:right w:w="0" w:type="dxa"/>
                  </w:tcMar>
                  <w:vAlign w:val="center"/>
                  <w:hideMark/>
                </w:tcPr>
                <w:p w14:paraId="3DFA0830" w14:textId="77777777" w:rsidR="005235BC" w:rsidRPr="00D159D0" w:rsidRDefault="005235BC" w:rsidP="004976F9">
                  <w:pPr>
                    <w:pStyle w:val="tr"/>
                    <w:spacing w:before="0" w:beforeAutospacing="0" w:after="0" w:afterAutospacing="0"/>
                    <w:jc w:val="center"/>
                  </w:pPr>
                  <w:r w:rsidRPr="00D159D0">
                    <w:rPr>
                      <w:noProof/>
                    </w:rPr>
                    <w:lastRenderedPageBreak/>
                    <w:drawing>
                      <wp:inline distT="0" distB="0" distL="0" distR="0" wp14:anchorId="481DA701" wp14:editId="349CBA44">
                        <wp:extent cx="1264740" cy="190832"/>
                        <wp:effectExtent l="0" t="0" r="0" b="0"/>
                        <wp:docPr id="24" name="Рисунок 24" descr="https://ips.ligazakon.net/l_flib1.nsf/LookupFiles/GK40721_IMG_294.GIF/$file/GK40721_IMG_294.GIF">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ips.ligazakon.net/l_flib1.nsf/LookupFiles/GK40721_IMG_294.GIF/$file/GK40721_IMG_294.GIF">
                                  <a:hlinkClick r:id="rId48" tgtFrame="&quot;_blank&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13643" cy="198211"/>
                                </a:xfrm>
                                <a:prstGeom prst="rect">
                                  <a:avLst/>
                                </a:prstGeom>
                                <a:noFill/>
                                <a:ln>
                                  <a:noFill/>
                                </a:ln>
                              </pic:spPr>
                            </pic:pic>
                          </a:graphicData>
                        </a:graphic>
                      </wp:inline>
                    </w:drawing>
                  </w:r>
                </w:p>
              </w:tc>
              <w:tc>
                <w:tcPr>
                  <w:tcW w:w="1190" w:type="pct"/>
                  <w:shd w:val="clear" w:color="auto" w:fill="auto"/>
                  <w:tcMar>
                    <w:top w:w="0" w:type="dxa"/>
                    <w:left w:w="0" w:type="dxa"/>
                    <w:bottom w:w="0" w:type="dxa"/>
                    <w:right w:w="0" w:type="dxa"/>
                  </w:tcMar>
                  <w:vAlign w:val="center"/>
                  <w:hideMark/>
                </w:tcPr>
                <w:p w14:paraId="3C18F4C7" w14:textId="77777777" w:rsidR="005235BC" w:rsidRPr="00D159D0" w:rsidRDefault="00F84FFC" w:rsidP="004976F9">
                  <w:pPr>
                    <w:pStyle w:val="tl"/>
                    <w:spacing w:before="0" w:beforeAutospacing="0" w:after="0" w:afterAutospacing="0"/>
                  </w:pPr>
                  <w:hyperlink r:id="rId50" w:tgtFrame="_blank" w:history="1">
                    <w:r w:rsidR="005235BC" w:rsidRPr="00D159D0">
                      <w:t>, тис. грн,</w:t>
                    </w:r>
                  </w:hyperlink>
                </w:p>
              </w:tc>
              <w:tc>
                <w:tcPr>
                  <w:tcW w:w="445" w:type="pct"/>
                  <w:shd w:val="clear" w:color="auto" w:fill="auto"/>
                  <w:tcMar>
                    <w:top w:w="0" w:type="dxa"/>
                    <w:left w:w="0" w:type="dxa"/>
                    <w:bottom w:w="0" w:type="dxa"/>
                    <w:right w:w="0" w:type="dxa"/>
                  </w:tcMar>
                  <w:vAlign w:val="center"/>
                  <w:hideMark/>
                </w:tcPr>
                <w:p w14:paraId="247339E1" w14:textId="77777777" w:rsidR="005235BC" w:rsidRPr="00D159D0" w:rsidRDefault="00F84FFC" w:rsidP="004976F9">
                  <w:pPr>
                    <w:pStyle w:val="tr"/>
                    <w:spacing w:before="0" w:beforeAutospacing="0" w:after="0" w:afterAutospacing="0"/>
                  </w:pPr>
                  <w:hyperlink r:id="rId51" w:tgtFrame="_blank" w:history="1">
                    <w:r w:rsidR="005235BC" w:rsidRPr="00D159D0">
                      <w:t>(16)</w:t>
                    </w:r>
                  </w:hyperlink>
                </w:p>
              </w:tc>
            </w:tr>
          </w:tbl>
          <w:p w14:paraId="1A34B80B" w14:textId="77777777" w:rsidR="005235BC" w:rsidRPr="00D159D0" w:rsidRDefault="005235BC" w:rsidP="004976F9">
            <w:pPr>
              <w:pStyle w:val="tj"/>
              <w:shd w:val="clear" w:color="auto" w:fill="FFFFFF"/>
              <w:spacing w:before="0" w:beforeAutospacing="0" w:after="0" w:afterAutospacing="0"/>
              <w:ind w:firstLine="491"/>
            </w:pPr>
          </w:p>
          <w:p w14:paraId="7385500A" w14:textId="77777777" w:rsidR="005235BC" w:rsidRPr="00D159D0" w:rsidRDefault="005235BC" w:rsidP="004976F9">
            <w:pPr>
              <w:pStyle w:val="tj"/>
              <w:shd w:val="clear" w:color="auto" w:fill="FFFFFF"/>
              <w:spacing w:before="0" w:beforeAutospacing="0" w:after="0" w:afterAutospacing="0"/>
              <w:ind w:firstLine="491"/>
              <w:jc w:val="both"/>
            </w:pPr>
            <w:r w:rsidRPr="00D159D0">
              <w:t>……………………….</w:t>
            </w:r>
          </w:p>
          <w:p w14:paraId="301E36C9" w14:textId="77777777" w:rsidR="00AD2A16" w:rsidRPr="00D159D0" w:rsidRDefault="005235BC" w:rsidP="004976F9">
            <w:pPr>
              <w:jc w:val="both"/>
              <w:rPr>
                <w:lang w:val="uk-UA" w:eastAsia="uk-UA"/>
              </w:rPr>
            </w:pPr>
            <w:r w:rsidRPr="00D159D0">
              <w:rPr>
                <w:lang w:val="uk-UA" w:eastAsia="uk-UA"/>
              </w:rPr>
              <w:t>Коригування необхідного доходу відповідно до даних виконання цільового завдання щодо досягнення показників якості послуг за 2022 та 2023 роки не застосовується</w:t>
            </w:r>
            <w:r w:rsidRPr="00D159D0">
              <w:rPr>
                <w:b/>
                <w:lang w:val="uk-UA" w:eastAsia="uk-UA"/>
              </w:rPr>
              <w:t>, за 2024 рік - не застосовується до ліцензіатів, наведених у додатку 32 до цього Порядку</w:t>
            </w:r>
            <w:r w:rsidRPr="00D159D0">
              <w:rPr>
                <w:lang w:val="uk-UA" w:eastAsia="uk-UA"/>
              </w:rPr>
              <w:t>.</w:t>
            </w:r>
          </w:p>
          <w:p w14:paraId="36A6E756" w14:textId="77777777" w:rsidR="00995A5A" w:rsidRPr="00D159D0" w:rsidRDefault="00995A5A" w:rsidP="004976F9">
            <w:pPr>
              <w:jc w:val="both"/>
              <w:rPr>
                <w:lang w:val="uk-UA" w:eastAsia="uk-UA"/>
              </w:rPr>
            </w:pPr>
          </w:p>
          <w:p w14:paraId="5C5C8BDD" w14:textId="17BAD339" w:rsidR="00995A5A" w:rsidRPr="00D159D0" w:rsidRDefault="00995A5A" w:rsidP="004976F9">
            <w:pPr>
              <w:jc w:val="both"/>
              <w:rPr>
                <w:b/>
                <w:bCs/>
                <w:lang w:val="uk-UA"/>
              </w:rPr>
            </w:pPr>
          </w:p>
        </w:tc>
        <w:tc>
          <w:tcPr>
            <w:tcW w:w="5954" w:type="dxa"/>
          </w:tcPr>
          <w:p w14:paraId="656E7D6B" w14:textId="77777777" w:rsidR="00A26411" w:rsidRPr="00D159D0" w:rsidRDefault="00A26411" w:rsidP="00A26411">
            <w:pPr>
              <w:jc w:val="both"/>
              <w:rPr>
                <w:b/>
                <w:lang w:val="uk-UA"/>
              </w:rPr>
            </w:pPr>
            <w:r w:rsidRPr="00D159D0">
              <w:rPr>
                <w:b/>
                <w:lang w:val="uk-UA"/>
              </w:rPr>
              <w:lastRenderedPageBreak/>
              <w:t xml:space="preserve">USAID </w:t>
            </w:r>
            <w:proofErr w:type="spellStart"/>
            <w:r w:rsidRPr="00D159D0">
              <w:rPr>
                <w:b/>
                <w:lang w:val="uk-UA"/>
              </w:rPr>
              <w:t>Проєкт</w:t>
            </w:r>
            <w:proofErr w:type="spellEnd"/>
            <w:r w:rsidRPr="00D159D0">
              <w:rPr>
                <w:b/>
                <w:lang w:val="uk-UA"/>
              </w:rPr>
              <w:t xml:space="preserve"> енергетичної безпеки лист ESP-214-NEURC-2024-07-09</w:t>
            </w:r>
          </w:p>
          <w:p w14:paraId="5ACE4D6F" w14:textId="77777777" w:rsidR="00A26411" w:rsidRPr="00D159D0" w:rsidRDefault="00A26411" w:rsidP="00A26411">
            <w:pPr>
              <w:jc w:val="both"/>
              <w:rPr>
                <w:lang w:val="uk-UA"/>
              </w:rPr>
            </w:pPr>
            <w:r w:rsidRPr="00D159D0">
              <w:rPr>
                <w:lang w:val="uk-UA"/>
              </w:rPr>
              <w:t xml:space="preserve">Підтримує незастосування коригування необхідного доходу відповідно до даних виконання цільового </w:t>
            </w:r>
            <w:r w:rsidRPr="00D159D0">
              <w:rPr>
                <w:lang w:val="uk-UA"/>
              </w:rPr>
              <w:lastRenderedPageBreak/>
              <w:t>показника якості послуг за 2024 рік для ОСР, визначених у Додатку 32.</w:t>
            </w:r>
          </w:p>
          <w:p w14:paraId="377D73D1" w14:textId="77777777" w:rsidR="00D148C2" w:rsidRPr="00D159D0" w:rsidRDefault="00D148C2" w:rsidP="00A26411">
            <w:pPr>
              <w:jc w:val="both"/>
              <w:rPr>
                <w:lang w:val="uk-UA"/>
              </w:rPr>
            </w:pPr>
          </w:p>
          <w:p w14:paraId="02381AD3" w14:textId="77777777" w:rsidR="005235BC" w:rsidRPr="00D159D0" w:rsidRDefault="005235BC" w:rsidP="004976F9">
            <w:pPr>
              <w:jc w:val="both"/>
              <w:rPr>
                <w:b/>
                <w:lang w:val="uk-UA"/>
              </w:rPr>
            </w:pPr>
            <w:r w:rsidRPr="00D159D0">
              <w:rPr>
                <w:b/>
                <w:lang w:val="uk-UA"/>
              </w:rPr>
              <w:t>ТОВ «ДТЕК ВИСОКОВОЛЬТНІ МЕРЕЖІ» лист від 17.07.2024 № 08-61/935</w:t>
            </w:r>
          </w:p>
          <w:p w14:paraId="3D69B1C5" w14:textId="77777777" w:rsidR="005235BC" w:rsidRPr="00D159D0" w:rsidRDefault="005235BC" w:rsidP="004976F9">
            <w:pPr>
              <w:jc w:val="both"/>
              <w:rPr>
                <w:b/>
                <w:lang w:val="uk-UA"/>
              </w:rPr>
            </w:pPr>
            <w:r w:rsidRPr="00D159D0">
              <w:rPr>
                <w:b/>
                <w:lang w:val="uk-UA"/>
              </w:rPr>
              <w:t>АТ «ДТЕК ДОНЕЦЬКІ ЕЛЕКТРОМЕРЕЖІ» лист від 17.07.2024 № 06/9956</w:t>
            </w:r>
          </w:p>
          <w:p w14:paraId="1AD5B75A"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13E7A794" w14:textId="77777777" w:rsidR="00E605BF" w:rsidRPr="00D159D0" w:rsidRDefault="00F84FFC" w:rsidP="004976F9">
            <w:pPr>
              <w:pStyle w:val="tj"/>
              <w:shd w:val="clear" w:color="auto" w:fill="FFFFFF"/>
              <w:spacing w:before="0" w:beforeAutospacing="0" w:after="0" w:afterAutospacing="0"/>
              <w:ind w:firstLine="491"/>
            </w:pPr>
            <w:hyperlink r:id="rId52" w:tgtFrame="_blank" w:history="1">
              <w:r w:rsidR="00E605BF" w:rsidRPr="00D159D0">
                <w:t>5.19. Коригування необхідного доходу відповідно до даних виконання цільового завдання щодо досягнення показників якості послуг на рік t, тис. грн, визначається за формулами:</w:t>
              </w:r>
            </w:hyperlink>
          </w:p>
          <w:tbl>
            <w:tblPr>
              <w:tblpPr w:leftFromText="180" w:rightFromText="180" w:vertAnchor="text" w:horzAnchor="margin" w:tblpY="347"/>
              <w:tblOverlap w:val="never"/>
              <w:tblW w:w="4452" w:type="dxa"/>
              <w:tblLayout w:type="fixed"/>
              <w:tblCellMar>
                <w:top w:w="15" w:type="dxa"/>
                <w:left w:w="15" w:type="dxa"/>
                <w:bottom w:w="15" w:type="dxa"/>
                <w:right w:w="15" w:type="dxa"/>
              </w:tblCellMar>
              <w:tblLook w:val="04A0" w:firstRow="1" w:lastRow="0" w:firstColumn="1" w:lastColumn="0" w:noHBand="0" w:noVBand="1"/>
            </w:tblPr>
            <w:tblGrid>
              <w:gridCol w:w="2995"/>
              <w:gridCol w:w="1060"/>
              <w:gridCol w:w="397"/>
            </w:tblGrid>
            <w:tr w:rsidR="00D159D0" w:rsidRPr="00D159D0" w14:paraId="73AD5FE8" w14:textId="77777777" w:rsidTr="00BE7345">
              <w:trPr>
                <w:trHeight w:val="339"/>
              </w:trPr>
              <w:tc>
                <w:tcPr>
                  <w:tcW w:w="3364" w:type="pct"/>
                  <w:shd w:val="clear" w:color="auto" w:fill="auto"/>
                  <w:tcMar>
                    <w:top w:w="0" w:type="dxa"/>
                    <w:left w:w="0" w:type="dxa"/>
                    <w:bottom w:w="0" w:type="dxa"/>
                    <w:right w:w="0" w:type="dxa"/>
                  </w:tcMar>
                  <w:vAlign w:val="center"/>
                  <w:hideMark/>
                </w:tcPr>
                <w:p w14:paraId="39148EDD" w14:textId="77777777" w:rsidR="00E605BF" w:rsidRPr="00D159D0" w:rsidRDefault="00E605BF" w:rsidP="004976F9">
                  <w:pPr>
                    <w:pStyle w:val="tr"/>
                    <w:spacing w:before="0" w:beforeAutospacing="0" w:after="0" w:afterAutospacing="0"/>
                    <w:jc w:val="center"/>
                  </w:pPr>
                  <w:r w:rsidRPr="00D159D0">
                    <w:rPr>
                      <w:noProof/>
                    </w:rPr>
                    <w:drawing>
                      <wp:inline distT="0" distB="0" distL="0" distR="0" wp14:anchorId="7BA28191" wp14:editId="245180BA">
                        <wp:extent cx="1338681" cy="201989"/>
                        <wp:effectExtent l="0" t="0" r="0" b="7620"/>
                        <wp:docPr id="1993780110" name="Рисунок 1993780110" descr="https://ips.ligazakon.net/l_flib1.nsf/LookupFiles/GK40721_IMG_294.GIF/$file/GK40721_IMG_294.GIF">
                          <a:hlinkClick xmlns:a="http://schemas.openxmlformats.org/drawingml/2006/main" r:id="rId4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s://ips.ligazakon.net/l_flib1.nsf/LookupFiles/GK40721_IMG_294.GIF/$file/GK40721_IMG_294.GIF">
                                  <a:hlinkClick r:id="rId48" tgtFrame="&quot;_blank&quot;"/>
                                </pic:cNvPr>
                                <pic:cNvPicPr>
                                  <a:picLocks noChangeAspect="1" noChangeArrowheads="1"/>
                                </pic:cNvPicPr>
                              </pic:nvPicPr>
                              <pic:blipFill>
                                <a:blip r:embed="rId49">
                                  <a:extLst>
                                    <a:ext uri="{28A0092B-C50C-407E-A947-70E740481C1C}">
                                      <a14:useLocalDpi xmlns:a14="http://schemas.microsoft.com/office/drawing/2010/main" val="0"/>
                                    </a:ext>
                                  </a:extLst>
                                </a:blip>
                                <a:srcRect/>
                                <a:stretch>
                                  <a:fillRect/>
                                </a:stretch>
                              </pic:blipFill>
                              <pic:spPr bwMode="auto">
                                <a:xfrm>
                                  <a:off x="0" y="0"/>
                                  <a:ext cx="1345496" cy="203017"/>
                                </a:xfrm>
                                <a:prstGeom prst="rect">
                                  <a:avLst/>
                                </a:prstGeom>
                                <a:noFill/>
                                <a:ln>
                                  <a:noFill/>
                                </a:ln>
                              </pic:spPr>
                            </pic:pic>
                          </a:graphicData>
                        </a:graphic>
                      </wp:inline>
                    </w:drawing>
                  </w:r>
                </w:p>
              </w:tc>
              <w:tc>
                <w:tcPr>
                  <w:tcW w:w="1190" w:type="pct"/>
                  <w:shd w:val="clear" w:color="auto" w:fill="auto"/>
                  <w:tcMar>
                    <w:top w:w="0" w:type="dxa"/>
                    <w:left w:w="0" w:type="dxa"/>
                    <w:bottom w:w="0" w:type="dxa"/>
                    <w:right w:w="0" w:type="dxa"/>
                  </w:tcMar>
                  <w:vAlign w:val="center"/>
                  <w:hideMark/>
                </w:tcPr>
                <w:p w14:paraId="64B993AB" w14:textId="77777777" w:rsidR="00E605BF" w:rsidRPr="00D159D0" w:rsidRDefault="00F84FFC" w:rsidP="004976F9">
                  <w:pPr>
                    <w:pStyle w:val="tl"/>
                    <w:spacing w:before="0" w:beforeAutospacing="0" w:after="0" w:afterAutospacing="0"/>
                    <w:ind w:firstLine="491"/>
                  </w:pPr>
                  <w:hyperlink r:id="rId53" w:tgtFrame="_blank" w:history="1">
                    <w:r w:rsidR="00E605BF" w:rsidRPr="00D159D0">
                      <w:t>, тис. грн,</w:t>
                    </w:r>
                  </w:hyperlink>
                </w:p>
              </w:tc>
              <w:tc>
                <w:tcPr>
                  <w:tcW w:w="446" w:type="pct"/>
                  <w:shd w:val="clear" w:color="auto" w:fill="auto"/>
                  <w:tcMar>
                    <w:top w:w="0" w:type="dxa"/>
                    <w:left w:w="0" w:type="dxa"/>
                    <w:bottom w:w="0" w:type="dxa"/>
                    <w:right w:w="0" w:type="dxa"/>
                  </w:tcMar>
                  <w:vAlign w:val="center"/>
                  <w:hideMark/>
                </w:tcPr>
                <w:p w14:paraId="3E62E9BA" w14:textId="77777777" w:rsidR="00E605BF" w:rsidRPr="00D159D0" w:rsidRDefault="00F84FFC" w:rsidP="004976F9">
                  <w:pPr>
                    <w:pStyle w:val="tr"/>
                    <w:spacing w:before="0" w:beforeAutospacing="0" w:after="0" w:afterAutospacing="0"/>
                  </w:pPr>
                  <w:hyperlink r:id="rId54" w:tgtFrame="_blank" w:history="1">
                    <w:r w:rsidR="00E605BF" w:rsidRPr="00D159D0">
                      <w:t>(16)</w:t>
                    </w:r>
                  </w:hyperlink>
                </w:p>
              </w:tc>
            </w:tr>
          </w:tbl>
          <w:p w14:paraId="427E7847" w14:textId="77777777" w:rsidR="00E605BF" w:rsidRPr="00D159D0" w:rsidRDefault="00E605BF" w:rsidP="004976F9">
            <w:pPr>
              <w:pStyle w:val="tj"/>
              <w:shd w:val="clear" w:color="auto" w:fill="FFFFFF"/>
              <w:spacing w:before="0" w:beforeAutospacing="0" w:after="0" w:afterAutospacing="0"/>
              <w:ind w:firstLine="491"/>
              <w:jc w:val="both"/>
            </w:pPr>
            <w:r w:rsidRPr="00D159D0">
              <w:t>……………………….</w:t>
            </w:r>
          </w:p>
          <w:p w14:paraId="08D91F74" w14:textId="77777777" w:rsidR="00AD2A16" w:rsidRPr="00D159D0" w:rsidRDefault="00E605BF" w:rsidP="004976F9">
            <w:pPr>
              <w:jc w:val="both"/>
              <w:rPr>
                <w:lang w:val="uk-UA"/>
              </w:rPr>
            </w:pPr>
            <w:r w:rsidRPr="00D159D0">
              <w:rPr>
                <w:lang w:val="uk-UA"/>
              </w:rPr>
              <w:t>Коригування необхідного доходу відповідно до даних виконання цільового завдання щодо досягнення показників якості послуг за 2022, 2023 та</w:t>
            </w:r>
            <w:r w:rsidRPr="00D159D0">
              <w:rPr>
                <w:b/>
                <w:lang w:val="uk-UA"/>
              </w:rPr>
              <w:t xml:space="preserve"> 2024 рік - не застосовується</w:t>
            </w:r>
            <w:r w:rsidRPr="00D159D0">
              <w:rPr>
                <w:lang w:val="uk-UA"/>
              </w:rPr>
              <w:t>.</w:t>
            </w:r>
          </w:p>
          <w:p w14:paraId="0C984896" w14:textId="77777777" w:rsidR="00E605BF" w:rsidRPr="00D159D0" w:rsidRDefault="00E605BF" w:rsidP="004976F9">
            <w:pPr>
              <w:jc w:val="both"/>
              <w:rPr>
                <w:b/>
                <w:bCs/>
                <w:i/>
                <w:iCs/>
                <w:lang w:val="uk-UA"/>
              </w:rPr>
            </w:pPr>
          </w:p>
          <w:p w14:paraId="492552BF" w14:textId="77777777" w:rsidR="00E605BF" w:rsidRPr="00D159D0" w:rsidRDefault="00E605BF" w:rsidP="004976F9">
            <w:pPr>
              <w:pStyle w:val="tj"/>
              <w:shd w:val="clear" w:color="auto" w:fill="FFFFFF"/>
              <w:spacing w:before="0" w:beforeAutospacing="0" w:after="0" w:afterAutospacing="0"/>
              <w:jc w:val="both"/>
              <w:rPr>
                <w:i/>
                <w:iCs/>
              </w:rPr>
            </w:pPr>
            <w:r w:rsidRPr="00D159D0">
              <w:rPr>
                <w:i/>
                <w:iCs/>
              </w:rPr>
              <w:t>Вся територія України знаходиться під ударами ворога, у першу чергу страждають об’єкти енергетичної інфраструктури. Руйнування об’єктів енергогосподарства України, як відомо, залишається пріоритетом ворога. Просимо не застосовувати на 2024 рік коригування необхідного доходу відповідно до даних виконання цільового  завдання щодо досягнення показників якості послуг за 2024 рік.</w:t>
            </w:r>
          </w:p>
          <w:p w14:paraId="37E44254" w14:textId="77777777" w:rsidR="00AE02C7" w:rsidRPr="00D159D0" w:rsidRDefault="00AE02C7" w:rsidP="004976F9">
            <w:pPr>
              <w:jc w:val="both"/>
              <w:rPr>
                <w:b/>
                <w:bCs/>
                <w:i/>
                <w:iCs/>
                <w:lang w:val="uk-UA"/>
              </w:rPr>
            </w:pPr>
          </w:p>
          <w:p w14:paraId="4AD15B4B" w14:textId="77777777" w:rsidR="00AE02C7" w:rsidRPr="00D159D0" w:rsidRDefault="00AE02C7" w:rsidP="004976F9">
            <w:pPr>
              <w:jc w:val="both"/>
              <w:rPr>
                <w:b/>
                <w:lang w:val="uk-UA"/>
              </w:rPr>
            </w:pPr>
            <w:r w:rsidRPr="00D159D0">
              <w:rPr>
                <w:b/>
                <w:bCs/>
                <w:lang w:val="uk-UA"/>
              </w:rPr>
              <w:t xml:space="preserve">АТ «ЖИТОМИРОБЛЕНЕРГО» лист від 17.07.2024 № </w:t>
            </w:r>
            <w:r w:rsidRPr="00D159D0">
              <w:rPr>
                <w:b/>
                <w:lang w:val="uk-UA"/>
              </w:rPr>
              <w:t>05/23984</w:t>
            </w:r>
          </w:p>
          <w:p w14:paraId="5CA830B9" w14:textId="77777777" w:rsidR="00DD6F6A" w:rsidRPr="00D159D0" w:rsidRDefault="00DD6F6A" w:rsidP="004976F9">
            <w:pPr>
              <w:ind w:firstLine="709"/>
              <w:jc w:val="both"/>
              <w:rPr>
                <w:iCs/>
                <w:lang w:val="uk-UA"/>
              </w:rPr>
            </w:pPr>
            <w:r w:rsidRPr="00D159D0">
              <w:rPr>
                <w:iCs/>
                <w:lang w:val="uk-UA"/>
              </w:rPr>
              <w:t xml:space="preserve">Протягом першого регуляторного періоду виник цілий ряд незапланованих негативних чинників, на які АТ «ЖИТОМИРОБЛЕНЕРГО» не мало впливу, але які не дозволяють забезпечити повне виконання плану </w:t>
            </w:r>
            <w:r w:rsidRPr="00D159D0">
              <w:rPr>
                <w:iCs/>
                <w:lang w:val="uk-UA"/>
              </w:rPr>
              <w:lastRenderedPageBreak/>
              <w:t xml:space="preserve">заходів із забезпечення достовірності даних для здійснення моніторингу якості послуг (зокрема шляхом створення систем реєстрації відключень в електричних мережах 6 - 150 кВ). Зокрема специфіка регуляторної політики НКРЕКП щодо Товариства у 2023-2024 роках, яка призвела до встановлення Товариству економічно необґрунтованих тарифів, та, відповідно, до недотримання річної структури тарифу на послуги з розподілу електричної енергії. Так за результатами перевірки за 2023 рік недоотриманий дохід Товариства від розподілу становив 507 </w:t>
            </w:r>
            <w:proofErr w:type="spellStart"/>
            <w:r w:rsidRPr="00D159D0">
              <w:rPr>
                <w:iCs/>
                <w:lang w:val="uk-UA"/>
              </w:rPr>
              <w:t>млн.грн</w:t>
            </w:r>
            <w:proofErr w:type="spellEnd"/>
            <w:r w:rsidRPr="00D159D0">
              <w:rPr>
                <w:iCs/>
                <w:lang w:val="uk-UA"/>
              </w:rPr>
              <w:t>., при цьому повернення Товариству загальної суми недоотриманого доходу за 2023 рік передбачено лише у структурі тарифу на 2025 рік. Крім того, за умови збереження чинного тарифу протягом всього 2024 року - прогнозований недоотриманий дохід Товариства від розподілу за 2024 рік становитиме 495 </w:t>
            </w:r>
            <w:proofErr w:type="spellStart"/>
            <w:r w:rsidRPr="00D159D0">
              <w:rPr>
                <w:iCs/>
                <w:lang w:val="uk-UA"/>
              </w:rPr>
              <w:t>млн.грн</w:t>
            </w:r>
            <w:proofErr w:type="spellEnd"/>
            <w:r w:rsidRPr="00D159D0">
              <w:rPr>
                <w:iCs/>
                <w:lang w:val="uk-UA"/>
              </w:rPr>
              <w:t>..</w:t>
            </w:r>
          </w:p>
          <w:p w14:paraId="3B62194D" w14:textId="77777777" w:rsidR="00DD6F6A" w:rsidRPr="00D159D0" w:rsidRDefault="00DD6F6A" w:rsidP="004976F9">
            <w:pPr>
              <w:ind w:firstLine="709"/>
              <w:jc w:val="both"/>
              <w:rPr>
                <w:i/>
                <w:lang w:val="uk-UA"/>
              </w:rPr>
            </w:pPr>
            <w:r w:rsidRPr="00D159D0">
              <w:rPr>
                <w:i/>
                <w:lang w:val="uk-UA"/>
              </w:rPr>
              <w:t>У зазначених умовах АТ</w:t>
            </w:r>
            <w:r w:rsidRPr="00D159D0">
              <w:rPr>
                <w:iCs/>
                <w:lang w:val="uk-UA"/>
              </w:rPr>
              <w:t xml:space="preserve"> «</w:t>
            </w:r>
            <w:r w:rsidRPr="00D159D0">
              <w:rPr>
                <w:i/>
                <w:lang w:val="uk-UA"/>
              </w:rPr>
              <w:t xml:space="preserve">ЖИТОМИРОБЛЕНРЕГО» намагалося забезпечувати фінансування </w:t>
            </w:r>
            <w:proofErr w:type="spellStart"/>
            <w:r w:rsidRPr="00D159D0">
              <w:rPr>
                <w:i/>
                <w:lang w:val="uk-UA"/>
              </w:rPr>
              <w:t>найприорітетніших</w:t>
            </w:r>
            <w:proofErr w:type="spellEnd"/>
            <w:r w:rsidRPr="00D159D0">
              <w:rPr>
                <w:i/>
                <w:lang w:val="uk-UA"/>
              </w:rPr>
              <w:t xml:space="preserve"> напрямків операційних витрат, що не дозволяло у повній мірі забезпечити належне фінансування та виконання Інвестиційних програм, планових ремонтів та інших</w:t>
            </w:r>
            <w:r w:rsidRPr="00D159D0">
              <w:rPr>
                <w:b/>
                <w:i/>
                <w:lang w:val="uk-UA"/>
              </w:rPr>
              <w:t xml:space="preserve"> </w:t>
            </w:r>
            <w:r w:rsidRPr="00D159D0">
              <w:rPr>
                <w:i/>
                <w:lang w:val="uk-UA"/>
              </w:rPr>
              <w:t>робіт, спрямованих на відновлення та покращення мереж.</w:t>
            </w:r>
          </w:p>
          <w:p w14:paraId="3D716E9F" w14:textId="77777777" w:rsidR="00DD6F6A" w:rsidRPr="00D159D0" w:rsidRDefault="00DD6F6A" w:rsidP="004976F9">
            <w:pPr>
              <w:ind w:firstLine="709"/>
              <w:jc w:val="both"/>
              <w:rPr>
                <w:i/>
                <w:lang w:val="uk-UA"/>
              </w:rPr>
            </w:pPr>
            <w:r w:rsidRPr="00D159D0">
              <w:rPr>
                <w:i/>
                <w:lang w:val="uk-UA"/>
              </w:rPr>
              <w:t xml:space="preserve">Зважаючи на вищевикладене, враховуючи наявність наведених обґрунтованих підстав, які свідчать про неможливість виконання Товариством плану заходів із підвищення достовірності даних для здійснення моніторингу якості послуг, та </w:t>
            </w:r>
            <w:r w:rsidRPr="00D159D0">
              <w:rPr>
                <w:i/>
                <w:u w:val="single"/>
                <w:lang w:val="uk-UA"/>
              </w:rPr>
              <w:t>які виникли по незалежним від Товариства обставинам</w:t>
            </w:r>
            <w:r w:rsidRPr="00D159D0">
              <w:rPr>
                <w:i/>
                <w:lang w:val="uk-UA"/>
              </w:rPr>
              <w:t>, вважаємо необґрунтованим і несправедливим застосовувати до Товариства корегування необхідного доходу відповідно до виконання цільового завдання щодо досягнення показників якості послуг за 2024 рік.</w:t>
            </w:r>
          </w:p>
          <w:p w14:paraId="43ADA6D3" w14:textId="77777777" w:rsidR="00DD6F6A" w:rsidRPr="00D159D0" w:rsidRDefault="00DD6F6A" w:rsidP="004976F9">
            <w:pPr>
              <w:jc w:val="both"/>
              <w:rPr>
                <w:b/>
                <w:lang w:val="uk-UA"/>
              </w:rPr>
            </w:pPr>
          </w:p>
          <w:p w14:paraId="77E5B70E" w14:textId="77777777" w:rsidR="00AE02C7" w:rsidRPr="00D159D0" w:rsidRDefault="00AE02C7" w:rsidP="004976F9">
            <w:pPr>
              <w:shd w:val="clear" w:color="auto" w:fill="FFFFFF"/>
              <w:jc w:val="both"/>
              <w:rPr>
                <w:b/>
                <w:lang w:val="uk-UA"/>
              </w:rPr>
            </w:pPr>
            <w:r w:rsidRPr="00D159D0">
              <w:rPr>
                <w:b/>
                <w:bCs/>
                <w:lang w:val="uk-UA"/>
              </w:rPr>
              <w:lastRenderedPageBreak/>
              <w:t xml:space="preserve">АТ «ЧЕРНІВЦІОБЛЕНЕРГО» ЛИСТ ВІД </w:t>
            </w:r>
            <w:r w:rsidRPr="00D159D0">
              <w:rPr>
                <w:b/>
                <w:lang w:val="uk-UA"/>
              </w:rPr>
              <w:t>17.07.2024 №19/1-02/1864</w:t>
            </w:r>
          </w:p>
          <w:p w14:paraId="42AC7C16" w14:textId="77777777" w:rsidR="00DD6F6A" w:rsidRPr="00D159D0" w:rsidRDefault="00DD6F6A" w:rsidP="004976F9">
            <w:pPr>
              <w:shd w:val="clear" w:color="auto" w:fill="FFFFFF"/>
              <w:jc w:val="both"/>
              <w:rPr>
                <w:b/>
                <w:bCs/>
                <w:lang w:val="uk-UA" w:eastAsia="uk-UA"/>
              </w:rPr>
            </w:pPr>
            <w:r w:rsidRPr="00D159D0">
              <w:rPr>
                <w:lang w:val="uk-UA" w:eastAsia="uk-UA"/>
              </w:rPr>
              <w:t xml:space="preserve">Коригування необхідного доходу відповідно до даних виконання цільового завдання щодо досягнення показників якості послуг </w:t>
            </w:r>
            <w:r w:rsidRPr="00D159D0">
              <w:rPr>
                <w:b/>
                <w:bCs/>
                <w:strike/>
                <w:lang w:val="uk-UA" w:eastAsia="uk-UA"/>
              </w:rPr>
              <w:t>за 2022 та 2023 роки не застосовується,</w:t>
            </w:r>
            <w:r w:rsidRPr="00D159D0">
              <w:rPr>
                <w:b/>
                <w:strike/>
                <w:lang w:val="uk-UA" w:eastAsia="uk-UA"/>
              </w:rPr>
              <w:t xml:space="preserve"> за 2024 рік - не застосовується до ліцензіатів, наведених у додатку 32 до цього Порядку</w:t>
            </w:r>
            <w:r w:rsidRPr="00D159D0">
              <w:rPr>
                <w:lang w:val="uk-UA" w:eastAsia="uk-UA"/>
              </w:rPr>
              <w:t xml:space="preserve">.  </w:t>
            </w:r>
            <w:r w:rsidRPr="00D159D0">
              <w:rPr>
                <w:b/>
                <w:lang w:val="uk-UA" w:eastAsia="uk-UA"/>
              </w:rPr>
              <w:t xml:space="preserve"> не застосовуєть</w:t>
            </w:r>
            <w:r w:rsidRPr="00D159D0">
              <w:rPr>
                <w:b/>
                <w:bCs/>
                <w:lang w:val="uk-UA" w:eastAsia="uk-UA"/>
              </w:rPr>
              <w:t>ся за роки, в яких діяв правовий режим воєнного стану,</w:t>
            </w:r>
            <w:r w:rsidRPr="00D159D0">
              <w:rPr>
                <w:bCs/>
                <w:lang w:val="uk-UA"/>
              </w:rPr>
              <w:t xml:space="preserve"> </w:t>
            </w:r>
            <w:r w:rsidRPr="00D159D0">
              <w:rPr>
                <w:b/>
                <w:lang w:val="uk-UA"/>
              </w:rPr>
              <w:t>та рік після його припинення</w:t>
            </w:r>
            <w:r w:rsidRPr="00D159D0">
              <w:rPr>
                <w:b/>
                <w:lang w:val="uk-UA" w:eastAsia="uk-UA"/>
              </w:rPr>
              <w:t xml:space="preserve"> </w:t>
            </w:r>
            <w:r w:rsidRPr="00D159D0">
              <w:rPr>
                <w:b/>
                <w:bCs/>
                <w:lang w:val="uk-UA" w:eastAsia="uk-UA"/>
              </w:rPr>
              <w:t>.</w:t>
            </w:r>
          </w:p>
          <w:p w14:paraId="6E213653" w14:textId="77777777" w:rsidR="00DD6F6A" w:rsidRPr="00D159D0" w:rsidRDefault="00DD6F6A" w:rsidP="004976F9">
            <w:pPr>
              <w:shd w:val="clear" w:color="auto" w:fill="FFFFFF"/>
              <w:jc w:val="both"/>
              <w:rPr>
                <w:bCs/>
                <w:lang w:val="uk-UA"/>
              </w:rPr>
            </w:pPr>
            <w:r w:rsidRPr="00D159D0">
              <w:rPr>
                <w:bCs/>
                <w:lang w:val="uk-UA"/>
              </w:rPr>
              <w:t>В умовах невизначеного періоду тривалості бойових дій та періоду дії воєнного стану, суттєвого руйнування об’єктів енергетичної інфраструктури внаслідок масованих ракетних обстрілів, які призводять до тривалих аварійних відключень як в міській так і в сільській місцевості, а також погодинних відключень по всій території України, АТ «</w:t>
            </w:r>
            <w:proofErr w:type="spellStart"/>
            <w:r w:rsidRPr="00D159D0">
              <w:rPr>
                <w:bCs/>
                <w:lang w:val="uk-UA"/>
              </w:rPr>
              <w:t>Чернівціобленерго</w:t>
            </w:r>
            <w:proofErr w:type="spellEnd"/>
            <w:r w:rsidRPr="00D159D0">
              <w:rPr>
                <w:bCs/>
                <w:lang w:val="uk-UA"/>
              </w:rPr>
              <w:t>» пропонує не здійснювати коригування необхідного доходу за роки, в яких діє правовий режим воєнного стану та рік після його припинення.</w:t>
            </w:r>
          </w:p>
          <w:p w14:paraId="0B2E024B" w14:textId="77777777" w:rsidR="00456F55" w:rsidRPr="00D159D0" w:rsidRDefault="00456F55" w:rsidP="004976F9">
            <w:pPr>
              <w:shd w:val="clear" w:color="auto" w:fill="FFFFFF"/>
              <w:jc w:val="both"/>
              <w:rPr>
                <w:rStyle w:val="a9"/>
                <w:b w:val="0"/>
                <w:lang w:val="uk-UA"/>
              </w:rPr>
            </w:pPr>
          </w:p>
          <w:p w14:paraId="7F1ABFB3" w14:textId="77777777" w:rsidR="00E605BF" w:rsidRPr="00D159D0" w:rsidRDefault="00BD09BC" w:rsidP="004976F9">
            <w:pPr>
              <w:jc w:val="both"/>
              <w:rPr>
                <w:b/>
                <w:bCs/>
                <w:lang w:val="uk-UA"/>
              </w:rPr>
            </w:pPr>
            <w:r w:rsidRPr="00D159D0">
              <w:rPr>
                <w:b/>
                <w:bCs/>
                <w:lang w:val="uk-UA"/>
              </w:rPr>
              <w:t>ПрАТ «КІРОВОГРАДОБЛЕНЕРГО»</w:t>
            </w:r>
            <w:r w:rsidR="00F31AAC" w:rsidRPr="00D159D0">
              <w:rPr>
                <w:b/>
                <w:bCs/>
                <w:lang w:val="uk-UA"/>
              </w:rPr>
              <w:t xml:space="preserve"> лист від 17.07.2024 № 3142/05/34</w:t>
            </w:r>
          </w:p>
          <w:p w14:paraId="403928AB" w14:textId="77777777" w:rsidR="00DD6F6A" w:rsidRPr="00D159D0" w:rsidRDefault="00DD6F6A" w:rsidP="004976F9">
            <w:pPr>
              <w:jc w:val="both"/>
              <w:rPr>
                <w:lang w:val="uk-UA" w:eastAsia="uk-UA"/>
              </w:rPr>
            </w:pPr>
            <w:r w:rsidRPr="00D159D0">
              <w:rPr>
                <w:lang w:val="uk-UA" w:eastAsia="uk-UA"/>
              </w:rPr>
              <w:t xml:space="preserve">З огляду на те, що атаки </w:t>
            </w:r>
            <w:proofErr w:type="spellStart"/>
            <w:r w:rsidRPr="00D159D0">
              <w:rPr>
                <w:lang w:val="uk-UA" w:eastAsia="uk-UA"/>
              </w:rPr>
              <w:t>рф</w:t>
            </w:r>
            <w:proofErr w:type="spellEnd"/>
            <w:r w:rsidRPr="00D159D0">
              <w:rPr>
                <w:lang w:val="uk-UA" w:eastAsia="uk-UA"/>
              </w:rPr>
              <w:t xml:space="preserve"> на об’єкти електричних мереж негативно впливають на режим та надійність роботи загальної ОЕС України і всі ОСР змушені провадити свою діяльність в надзвичайних умовах, коригування необхідного доходу за недотримання цільового показника якості послуг за 2024 рік доцільно не застосовувати для всіх ОСР.</w:t>
            </w:r>
          </w:p>
          <w:p w14:paraId="6BD9FEA9" w14:textId="77777777" w:rsidR="00456F55" w:rsidRPr="00D159D0" w:rsidRDefault="00456F55" w:rsidP="004976F9">
            <w:pPr>
              <w:jc w:val="both"/>
              <w:rPr>
                <w:b/>
                <w:bCs/>
                <w:lang w:val="uk-UA"/>
              </w:rPr>
            </w:pPr>
          </w:p>
          <w:p w14:paraId="250B91BB" w14:textId="77777777" w:rsidR="00CE6436" w:rsidRPr="00D159D0" w:rsidRDefault="00CE6436" w:rsidP="00CE6436">
            <w:pPr>
              <w:shd w:val="clear" w:color="auto" w:fill="FFFFFF"/>
              <w:jc w:val="both"/>
              <w:rPr>
                <w:rStyle w:val="a9"/>
                <w:lang w:val="uk-UA"/>
              </w:rPr>
            </w:pPr>
            <w:r w:rsidRPr="00D159D0">
              <w:rPr>
                <w:rStyle w:val="a9"/>
                <w:lang w:val="uk-UA"/>
              </w:rPr>
              <w:t>АТ «ХМЕЛЬНИЦЬКОБЛЕНЕРГО» лист від 19.07.2024 № 4-5323-02/24</w:t>
            </w:r>
          </w:p>
          <w:p w14:paraId="47E281FC" w14:textId="77777777" w:rsidR="00F31AAC" w:rsidRPr="00D159D0" w:rsidRDefault="00CE6436" w:rsidP="004976F9">
            <w:pPr>
              <w:jc w:val="both"/>
              <w:rPr>
                <w:bCs/>
                <w:lang w:val="uk-UA"/>
              </w:rPr>
            </w:pPr>
            <w:r w:rsidRPr="00D159D0">
              <w:rPr>
                <w:bCs/>
                <w:lang w:val="uk-UA"/>
              </w:rPr>
              <w:t>не застосовувати коригування необхідного доходу через не врахування повноцінної суми амортизації (як  А</w:t>
            </w:r>
            <w:r w:rsidRPr="00D159D0">
              <w:rPr>
                <w:bCs/>
                <w:vertAlign w:val="subscript"/>
                <w:lang w:val="uk-UA"/>
              </w:rPr>
              <w:t>0</w:t>
            </w:r>
            <w:r w:rsidRPr="00D159D0">
              <w:rPr>
                <w:bCs/>
                <w:lang w:val="uk-UA"/>
              </w:rPr>
              <w:t xml:space="preserve"> так  </w:t>
            </w:r>
            <w:r w:rsidRPr="00D159D0">
              <w:rPr>
                <w:bCs/>
                <w:lang w:val="uk-UA"/>
              </w:rPr>
              <w:lastRenderedPageBreak/>
              <w:t xml:space="preserve">і </w:t>
            </w:r>
            <w:proofErr w:type="spellStart"/>
            <w:r w:rsidRPr="00D159D0">
              <w:rPr>
                <w:bCs/>
                <w:lang w:val="uk-UA"/>
              </w:rPr>
              <w:t>Анов</w:t>
            </w:r>
            <w:proofErr w:type="spellEnd"/>
            <w:r w:rsidRPr="00D159D0">
              <w:rPr>
                <w:bCs/>
                <w:lang w:val="uk-UA"/>
              </w:rPr>
              <w:t xml:space="preserve"> ). Що призведе до менших капіталовкладень в Активи Товариства</w:t>
            </w:r>
          </w:p>
        </w:tc>
        <w:tc>
          <w:tcPr>
            <w:tcW w:w="3544" w:type="dxa"/>
          </w:tcPr>
          <w:p w14:paraId="57A16C39" w14:textId="3407726B" w:rsidR="00D148C2" w:rsidRPr="00D159D0" w:rsidRDefault="00607C3C" w:rsidP="00EC7509">
            <w:pPr>
              <w:jc w:val="both"/>
              <w:rPr>
                <w:b/>
                <w:bCs/>
                <w:lang w:val="uk-UA"/>
              </w:rPr>
            </w:pPr>
            <w:r w:rsidRPr="00D159D0">
              <w:rPr>
                <w:b/>
                <w:bCs/>
                <w:lang w:val="uk-UA"/>
              </w:rPr>
              <w:lastRenderedPageBreak/>
              <w:t>Прийнято до відома</w:t>
            </w:r>
          </w:p>
          <w:p w14:paraId="66C1B214" w14:textId="77777777" w:rsidR="00D148C2" w:rsidRPr="00D159D0" w:rsidRDefault="00D148C2" w:rsidP="00EC7509">
            <w:pPr>
              <w:jc w:val="both"/>
              <w:rPr>
                <w:b/>
                <w:bCs/>
                <w:lang w:val="uk-UA"/>
              </w:rPr>
            </w:pPr>
          </w:p>
          <w:p w14:paraId="2FD98E45" w14:textId="77777777" w:rsidR="00D148C2" w:rsidRPr="00D159D0" w:rsidRDefault="00D148C2" w:rsidP="00EC7509">
            <w:pPr>
              <w:jc w:val="both"/>
              <w:rPr>
                <w:b/>
                <w:bCs/>
                <w:lang w:val="uk-UA"/>
              </w:rPr>
            </w:pPr>
          </w:p>
          <w:p w14:paraId="4833C136" w14:textId="77777777" w:rsidR="00D148C2" w:rsidRPr="00D159D0" w:rsidRDefault="00D148C2" w:rsidP="00EC7509">
            <w:pPr>
              <w:jc w:val="both"/>
              <w:rPr>
                <w:b/>
                <w:bCs/>
                <w:lang w:val="uk-UA"/>
              </w:rPr>
            </w:pPr>
          </w:p>
          <w:p w14:paraId="04880DC9" w14:textId="77777777" w:rsidR="00D148C2" w:rsidRPr="00D159D0" w:rsidRDefault="00D148C2" w:rsidP="00EC7509">
            <w:pPr>
              <w:jc w:val="both"/>
              <w:rPr>
                <w:b/>
                <w:bCs/>
                <w:lang w:val="uk-UA"/>
              </w:rPr>
            </w:pPr>
          </w:p>
          <w:p w14:paraId="72859156" w14:textId="77777777" w:rsidR="00D148C2" w:rsidRPr="00D159D0" w:rsidRDefault="00D148C2" w:rsidP="00EC7509">
            <w:pPr>
              <w:jc w:val="both"/>
              <w:rPr>
                <w:b/>
                <w:bCs/>
                <w:lang w:val="uk-UA"/>
              </w:rPr>
            </w:pPr>
          </w:p>
          <w:p w14:paraId="09258EBA" w14:textId="77777777" w:rsidR="00D148C2" w:rsidRPr="00D159D0" w:rsidRDefault="00D148C2" w:rsidP="00EC7509">
            <w:pPr>
              <w:jc w:val="both"/>
              <w:rPr>
                <w:b/>
                <w:bCs/>
                <w:lang w:val="uk-UA"/>
              </w:rPr>
            </w:pPr>
          </w:p>
          <w:p w14:paraId="00E11A11" w14:textId="5A1F119B" w:rsidR="00D148C2" w:rsidRPr="00D159D0" w:rsidRDefault="00456F55" w:rsidP="00EC7509">
            <w:pPr>
              <w:jc w:val="both"/>
              <w:rPr>
                <w:b/>
                <w:bCs/>
                <w:lang w:val="uk-UA"/>
              </w:rPr>
            </w:pPr>
            <w:r w:rsidRPr="00D159D0">
              <w:rPr>
                <w:b/>
                <w:bCs/>
                <w:lang w:val="uk-UA"/>
              </w:rPr>
              <w:t>Загальна позиція</w:t>
            </w:r>
            <w:r w:rsidR="00004DA4" w:rsidRPr="00D159D0">
              <w:rPr>
                <w:b/>
                <w:bCs/>
                <w:lang w:val="uk-UA"/>
              </w:rPr>
              <w:t xml:space="preserve"> до пропозицій, наданих </w:t>
            </w:r>
          </w:p>
          <w:p w14:paraId="4E0E9ABE" w14:textId="6898FCDE" w:rsidR="00004DA4" w:rsidRPr="00D159D0" w:rsidRDefault="00004DA4" w:rsidP="00004DA4">
            <w:pPr>
              <w:jc w:val="both"/>
              <w:rPr>
                <w:b/>
                <w:sz w:val="22"/>
                <w:szCs w:val="22"/>
                <w:lang w:val="uk-UA"/>
              </w:rPr>
            </w:pPr>
            <w:r w:rsidRPr="00D159D0">
              <w:rPr>
                <w:b/>
                <w:sz w:val="22"/>
                <w:szCs w:val="22"/>
                <w:lang w:val="uk-UA"/>
              </w:rPr>
              <w:t xml:space="preserve">ТОВ «ДТЕК ВИСОКОВОЛЬТНІ МЕРЕЖІ» </w:t>
            </w:r>
          </w:p>
          <w:p w14:paraId="2153544D" w14:textId="5029C5B0" w:rsidR="00004DA4" w:rsidRPr="00D159D0" w:rsidRDefault="00004DA4" w:rsidP="00004DA4">
            <w:pPr>
              <w:jc w:val="both"/>
              <w:rPr>
                <w:b/>
                <w:sz w:val="22"/>
                <w:szCs w:val="22"/>
                <w:lang w:val="uk-UA"/>
              </w:rPr>
            </w:pPr>
            <w:r w:rsidRPr="00D159D0">
              <w:rPr>
                <w:b/>
                <w:sz w:val="22"/>
                <w:szCs w:val="22"/>
                <w:lang w:val="uk-UA"/>
              </w:rPr>
              <w:t xml:space="preserve">АТ «ДТЕК ДОНЕЦЬКІ ЕЛЕКТРОМЕРЕЖІ» </w:t>
            </w:r>
          </w:p>
          <w:p w14:paraId="14D5C952" w14:textId="741975C4" w:rsidR="00004DA4" w:rsidRPr="00D159D0" w:rsidRDefault="00004DA4" w:rsidP="00004DA4">
            <w:pPr>
              <w:jc w:val="both"/>
              <w:rPr>
                <w:b/>
                <w:sz w:val="22"/>
                <w:szCs w:val="22"/>
                <w:lang w:val="uk-UA"/>
              </w:rPr>
            </w:pPr>
            <w:r w:rsidRPr="00D159D0">
              <w:rPr>
                <w:b/>
                <w:sz w:val="22"/>
                <w:szCs w:val="22"/>
                <w:lang w:val="uk-UA"/>
              </w:rPr>
              <w:t>ГC «Розумні електромережі»</w:t>
            </w:r>
          </w:p>
          <w:p w14:paraId="5460F357" w14:textId="7F243A1C" w:rsidR="00004DA4" w:rsidRPr="00D159D0" w:rsidRDefault="00004DA4" w:rsidP="00EC7509">
            <w:pPr>
              <w:jc w:val="both"/>
              <w:rPr>
                <w:b/>
                <w:bCs/>
                <w:sz w:val="22"/>
                <w:szCs w:val="22"/>
                <w:lang w:val="uk-UA"/>
              </w:rPr>
            </w:pPr>
            <w:r w:rsidRPr="00D159D0">
              <w:rPr>
                <w:b/>
                <w:bCs/>
                <w:sz w:val="22"/>
                <w:szCs w:val="22"/>
                <w:lang w:val="uk-UA"/>
              </w:rPr>
              <w:t>АТ «ЖИТОМИРОБЛЕНЕРГО»</w:t>
            </w:r>
          </w:p>
          <w:p w14:paraId="6D32D845" w14:textId="02BC4E53" w:rsidR="00004DA4" w:rsidRPr="00D159D0" w:rsidRDefault="00004DA4" w:rsidP="00EC7509">
            <w:pPr>
              <w:jc w:val="both"/>
              <w:rPr>
                <w:b/>
                <w:bCs/>
                <w:sz w:val="22"/>
                <w:szCs w:val="22"/>
                <w:lang w:val="uk-UA"/>
              </w:rPr>
            </w:pPr>
            <w:r w:rsidRPr="00D159D0">
              <w:rPr>
                <w:b/>
                <w:bCs/>
                <w:sz w:val="22"/>
                <w:szCs w:val="22"/>
                <w:lang w:val="uk-UA"/>
              </w:rPr>
              <w:t>АТ «ЧЕРНІВЦІОБЛЕНЕРГО»</w:t>
            </w:r>
          </w:p>
          <w:p w14:paraId="5801DA43" w14:textId="13776DA1" w:rsidR="00004DA4" w:rsidRPr="00D159D0" w:rsidRDefault="00004DA4" w:rsidP="00EC7509">
            <w:pPr>
              <w:jc w:val="both"/>
              <w:rPr>
                <w:b/>
                <w:bCs/>
                <w:sz w:val="22"/>
                <w:szCs w:val="22"/>
                <w:lang w:val="uk-UA"/>
              </w:rPr>
            </w:pPr>
            <w:r w:rsidRPr="00D159D0">
              <w:rPr>
                <w:b/>
                <w:bCs/>
                <w:sz w:val="22"/>
                <w:szCs w:val="22"/>
                <w:lang w:val="uk-UA"/>
              </w:rPr>
              <w:t>ПрАТ «КІРОВОГРАДОБЛЕНЕРГО»</w:t>
            </w:r>
          </w:p>
          <w:p w14:paraId="224FA5F9" w14:textId="77777777" w:rsidR="00004DA4" w:rsidRPr="00D159D0" w:rsidRDefault="00004DA4" w:rsidP="00D53F04">
            <w:pPr>
              <w:jc w:val="both"/>
              <w:rPr>
                <w:b/>
                <w:bCs/>
                <w:lang w:val="uk-UA"/>
              </w:rPr>
            </w:pPr>
          </w:p>
          <w:p w14:paraId="56B19CE5" w14:textId="3FA7C57A" w:rsidR="00D53F04" w:rsidRPr="00D159D0" w:rsidRDefault="00E97AAB" w:rsidP="00D53F04">
            <w:pPr>
              <w:jc w:val="both"/>
              <w:rPr>
                <w:b/>
                <w:bCs/>
                <w:lang w:val="uk-UA"/>
              </w:rPr>
            </w:pPr>
            <w:r w:rsidRPr="00D159D0">
              <w:rPr>
                <w:b/>
                <w:bCs/>
                <w:lang w:val="uk-UA"/>
              </w:rPr>
              <w:t>Враховано частково</w:t>
            </w:r>
          </w:p>
          <w:p w14:paraId="13E9CBC0" w14:textId="49385A73" w:rsidR="00D53F04" w:rsidRPr="00D159D0" w:rsidRDefault="00E16EE1" w:rsidP="00D53F04">
            <w:pPr>
              <w:widowControl w:val="0"/>
              <w:suppressAutoHyphens/>
              <w:contextualSpacing/>
              <w:jc w:val="both"/>
              <w:rPr>
                <w:lang w:val="uk-UA"/>
              </w:rPr>
            </w:pPr>
            <w:r w:rsidRPr="00D159D0">
              <w:rPr>
                <w:lang w:val="uk-UA"/>
              </w:rPr>
              <w:t>Д</w:t>
            </w:r>
            <w:r w:rsidR="00D53F04" w:rsidRPr="00D159D0">
              <w:rPr>
                <w:lang w:val="uk-UA"/>
              </w:rPr>
              <w:t>осягнення встановлених цільових показників якості послуг є необхідною умовою надійного функціонування всіх галузей економіки України, військово-промислового комплексу, соціальних потреб населення тощо.</w:t>
            </w:r>
          </w:p>
          <w:p w14:paraId="28E0599D" w14:textId="77777777" w:rsidR="008D5040" w:rsidRPr="00D159D0" w:rsidRDefault="008D5040" w:rsidP="00D53F04">
            <w:pPr>
              <w:widowControl w:val="0"/>
              <w:suppressAutoHyphens/>
              <w:contextualSpacing/>
              <w:jc w:val="both"/>
              <w:rPr>
                <w:b/>
                <w:bCs/>
                <w:lang w:val="uk-UA"/>
              </w:rPr>
            </w:pPr>
          </w:p>
          <w:p w14:paraId="5603807A" w14:textId="70234176" w:rsidR="008D5040" w:rsidRPr="00D159D0" w:rsidRDefault="008D5040" w:rsidP="008D5040">
            <w:pPr>
              <w:pStyle w:val="tj"/>
              <w:shd w:val="clear" w:color="auto" w:fill="FFFFFF"/>
              <w:spacing w:before="0" w:beforeAutospacing="0" w:after="0" w:afterAutospacing="0"/>
              <w:jc w:val="both"/>
              <w:rPr>
                <w:b/>
                <w:bCs/>
              </w:rPr>
            </w:pPr>
            <w:r w:rsidRPr="00D159D0">
              <w:rPr>
                <w:b/>
                <w:bCs/>
              </w:rPr>
              <w:t xml:space="preserve">Крім того пропонується після абзацу </w:t>
            </w:r>
            <w:r w:rsidRPr="00D159D0">
              <w:rPr>
                <w:b/>
                <w:bCs/>
                <w:i/>
                <w:iCs/>
              </w:rPr>
              <w:t>«</w:t>
            </w:r>
            <w:r w:rsidRPr="00D159D0">
              <w:rPr>
                <w:i/>
                <w:iCs/>
                <w:noProof/>
                <w:sz w:val="28"/>
                <w:szCs w:val="28"/>
              </w:rPr>
              <w:drawing>
                <wp:inline distT="0" distB="0" distL="0" distR="0" wp14:anchorId="70AD7317" wp14:editId="49253E21">
                  <wp:extent cx="529228" cy="111567"/>
                  <wp:effectExtent l="0" t="0" r="4445" b="3175"/>
                  <wp:docPr id="1761886805" name="Рисунок 2">
                    <a:hlinkClick xmlns:a="http://schemas.openxmlformats.org/drawingml/2006/main" r:id="rId5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a:hlinkClick r:id="rId55"/>
                          </pic:cNvPr>
                          <pic:cNvPicPr>
                            <a:picLocks noChangeAspect="1" noChangeArrowheads="1"/>
                          </pic:cNvPicPr>
                        </pic:nvPicPr>
                        <pic:blipFill>
                          <a:blip r:embed="rId56">
                            <a:extLst>
                              <a:ext uri="{28A0092B-C50C-407E-A947-70E740481C1C}">
                                <a14:useLocalDpi xmlns:a14="http://schemas.microsoft.com/office/drawing/2010/main" val="0"/>
                              </a:ext>
                            </a:extLst>
                          </a:blip>
                          <a:srcRect/>
                          <a:stretch>
                            <a:fillRect/>
                          </a:stretch>
                        </pic:blipFill>
                        <pic:spPr bwMode="auto">
                          <a:xfrm>
                            <a:off x="0" y="0"/>
                            <a:ext cx="529228" cy="111567"/>
                          </a:xfrm>
                          <a:prstGeom prst="rect">
                            <a:avLst/>
                          </a:prstGeom>
                          <a:noFill/>
                          <a:ln>
                            <a:noFill/>
                          </a:ln>
                        </pic:spPr>
                      </pic:pic>
                    </a:graphicData>
                  </a:graphic>
                </wp:inline>
              </w:drawing>
            </w:r>
            <w:r w:rsidRPr="00D159D0">
              <w:rPr>
                <w:b/>
                <w:bCs/>
                <w:i/>
                <w:iCs/>
              </w:rPr>
              <w:t xml:space="preserve"> </w:t>
            </w:r>
            <w:r w:rsidRPr="00D159D0">
              <w:rPr>
                <w:i/>
                <w:iCs/>
              </w:rPr>
              <w:t>- кількість хвилин у році»</w:t>
            </w:r>
            <w:r w:rsidRPr="00D159D0">
              <w:t xml:space="preserve"> </w:t>
            </w:r>
            <w:r w:rsidRPr="00D159D0">
              <w:rPr>
                <w:b/>
                <w:bCs/>
                <w:shd w:val="clear" w:color="auto" w:fill="FFFFFF"/>
              </w:rPr>
              <w:t>доповнити новим абзацом у такій редакції</w:t>
            </w:r>
            <w:r w:rsidRPr="00D159D0">
              <w:rPr>
                <w:shd w:val="clear" w:color="auto" w:fill="FFFFFF"/>
              </w:rPr>
              <w:t>:</w:t>
            </w:r>
          </w:p>
          <w:p w14:paraId="6D173674" w14:textId="5E1F6A04" w:rsidR="00932A37" w:rsidRPr="00D159D0" w:rsidRDefault="008D5040" w:rsidP="00D53F04">
            <w:pPr>
              <w:widowControl w:val="0"/>
              <w:suppressAutoHyphens/>
              <w:contextualSpacing/>
              <w:jc w:val="both"/>
              <w:rPr>
                <w:lang w:val="uk-UA"/>
              </w:rPr>
            </w:pPr>
            <w:r w:rsidRPr="00D159D0">
              <w:rPr>
                <w:b/>
                <w:bCs/>
                <w:shd w:val="clear" w:color="auto" w:fill="FFFFFF"/>
                <w:lang w:val="uk-UA"/>
              </w:rPr>
              <w:t>«</w:t>
            </w:r>
            <w:r w:rsidR="00932A37" w:rsidRPr="00D159D0">
              <w:rPr>
                <w:b/>
                <w:bCs/>
                <w:shd w:val="clear" w:color="auto" w:fill="FFFFFF"/>
                <w:lang w:val="uk-UA"/>
              </w:rPr>
              <w:t>Розподіл населених пунктів за ознакою територіального поділу (міська/сільська території) фіксується станом на дату переходу до стимулюючого регулювання</w:t>
            </w:r>
            <w:r w:rsidRPr="00D159D0">
              <w:rPr>
                <w:b/>
                <w:bCs/>
                <w:shd w:val="clear" w:color="auto" w:fill="FFFFFF"/>
                <w:lang w:val="uk-UA"/>
              </w:rPr>
              <w:t>».</w:t>
            </w:r>
          </w:p>
          <w:p w14:paraId="0BFD9F56" w14:textId="77777777" w:rsidR="00932A37" w:rsidRPr="00D159D0" w:rsidRDefault="00932A37" w:rsidP="00D53F04">
            <w:pPr>
              <w:widowControl w:val="0"/>
              <w:suppressAutoHyphens/>
              <w:contextualSpacing/>
              <w:jc w:val="both"/>
              <w:rPr>
                <w:lang w:val="uk-UA"/>
              </w:rPr>
            </w:pPr>
          </w:p>
          <w:p w14:paraId="230D0550" w14:textId="7F86B500" w:rsidR="00E97AAB" w:rsidRPr="00D159D0" w:rsidRDefault="008D5040" w:rsidP="00D53F04">
            <w:pPr>
              <w:widowControl w:val="0"/>
              <w:suppressAutoHyphens/>
              <w:contextualSpacing/>
              <w:jc w:val="both"/>
              <w:rPr>
                <w:b/>
                <w:bCs/>
                <w:lang w:val="uk-UA"/>
              </w:rPr>
            </w:pPr>
            <w:r w:rsidRPr="00D159D0">
              <w:rPr>
                <w:b/>
                <w:bCs/>
                <w:lang w:val="uk-UA"/>
              </w:rPr>
              <w:lastRenderedPageBreak/>
              <w:t>Також п</w:t>
            </w:r>
            <w:r w:rsidR="00E97AAB" w:rsidRPr="00D159D0">
              <w:rPr>
                <w:b/>
                <w:bCs/>
                <w:lang w:val="uk-UA"/>
              </w:rPr>
              <w:t>ропонується абзац викласти у такій редакції:</w:t>
            </w:r>
          </w:p>
          <w:p w14:paraId="7403220D" w14:textId="77777777" w:rsidR="00004DA4" w:rsidRPr="00D159D0" w:rsidRDefault="00E97AAB" w:rsidP="004976F9">
            <w:pPr>
              <w:jc w:val="both"/>
              <w:rPr>
                <w:b/>
                <w:lang w:val="uk-UA" w:eastAsia="uk-UA"/>
              </w:rPr>
            </w:pPr>
            <w:r w:rsidRPr="00D159D0">
              <w:rPr>
                <w:lang w:val="uk-UA" w:eastAsia="uk-UA"/>
              </w:rPr>
              <w:t>«Коригування необхідного доходу відповідно до даних виконання цільового завдання щодо досягнення показників якості послуг за 2022 та 2023 роки не застосовується</w:t>
            </w:r>
            <w:r w:rsidRPr="00D159D0">
              <w:rPr>
                <w:b/>
                <w:lang w:val="uk-UA" w:eastAsia="uk-UA"/>
              </w:rPr>
              <w:t>, за 2024 рік - не застосовується до ліцензіатів</w:t>
            </w:r>
            <w:r w:rsidR="00004DA4" w:rsidRPr="00D159D0">
              <w:rPr>
                <w:b/>
                <w:lang w:val="uk-UA" w:eastAsia="uk-UA"/>
              </w:rPr>
              <w:t>:</w:t>
            </w:r>
          </w:p>
          <w:p w14:paraId="52BCF118" w14:textId="08A82F5C" w:rsidR="00004DA4" w:rsidRPr="00D159D0" w:rsidRDefault="00E97AAB" w:rsidP="004976F9">
            <w:pPr>
              <w:jc w:val="both"/>
              <w:rPr>
                <w:b/>
                <w:lang w:val="uk-UA" w:eastAsia="uk-UA"/>
              </w:rPr>
            </w:pPr>
            <w:r w:rsidRPr="00D159D0">
              <w:rPr>
                <w:b/>
                <w:lang w:val="uk-UA" w:eastAsia="uk-UA"/>
              </w:rPr>
              <w:t xml:space="preserve"> наведених у додатку 32 до цього Порядку</w:t>
            </w:r>
            <w:r w:rsidR="00004DA4" w:rsidRPr="00D159D0">
              <w:rPr>
                <w:b/>
                <w:lang w:val="uk-UA" w:eastAsia="uk-UA"/>
              </w:rPr>
              <w:t>;</w:t>
            </w:r>
          </w:p>
          <w:p w14:paraId="6B415BC0" w14:textId="730B6C79" w:rsidR="00004DA4" w:rsidRPr="00D159D0" w:rsidRDefault="00004DA4" w:rsidP="00004DA4">
            <w:pPr>
              <w:shd w:val="clear" w:color="auto" w:fill="FFFFFF"/>
              <w:jc w:val="both"/>
              <w:rPr>
                <w:b/>
                <w:bCs/>
                <w:u w:val="single"/>
                <w:lang w:val="uk-UA" w:eastAsia="uk-UA"/>
              </w:rPr>
            </w:pPr>
            <w:r w:rsidRPr="00D159D0">
              <w:rPr>
                <w:b/>
                <w:bCs/>
                <w:u w:val="single"/>
                <w:lang w:val="uk-UA" w:eastAsia="uk-UA"/>
              </w:rPr>
              <w:t xml:space="preserve">контролером або кінцевим </w:t>
            </w:r>
            <w:proofErr w:type="spellStart"/>
            <w:r w:rsidRPr="00D159D0">
              <w:rPr>
                <w:b/>
                <w:bCs/>
                <w:u w:val="single"/>
                <w:lang w:val="uk-UA" w:eastAsia="uk-UA"/>
              </w:rPr>
              <w:t>бенефіціарним</w:t>
            </w:r>
            <w:proofErr w:type="spellEnd"/>
            <w:r w:rsidRPr="00D159D0">
              <w:rPr>
                <w:b/>
                <w:bCs/>
                <w:u w:val="single"/>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1146EE6E" w14:textId="5D28A42F" w:rsidR="00004DA4" w:rsidRPr="00D159D0" w:rsidRDefault="005E55F6" w:rsidP="00004DA4">
            <w:pPr>
              <w:shd w:val="clear" w:color="auto" w:fill="FFFFFF"/>
              <w:jc w:val="both"/>
              <w:rPr>
                <w:b/>
                <w:bCs/>
                <w:u w:val="single"/>
                <w:lang w:val="uk-UA" w:eastAsia="uk-UA"/>
              </w:rPr>
            </w:pPr>
            <w:r w:rsidRPr="00D159D0">
              <w:rPr>
                <w:b/>
                <w:bCs/>
                <w:lang w:val="uk-UA" w:eastAsia="uk-UA"/>
              </w:rPr>
              <w:t xml:space="preserve">У зв’язку з цим, пропонується доповнити схвалену редакцію Додатку 32 </w:t>
            </w:r>
            <w:proofErr w:type="spellStart"/>
            <w:r w:rsidRPr="00D159D0">
              <w:rPr>
                <w:b/>
                <w:bCs/>
                <w:lang w:val="uk-UA" w:eastAsia="uk-UA"/>
              </w:rPr>
              <w:t>Проєкту</w:t>
            </w:r>
            <w:proofErr w:type="spellEnd"/>
            <w:r w:rsidRPr="00D159D0">
              <w:rPr>
                <w:b/>
                <w:bCs/>
                <w:lang w:val="uk-UA" w:eastAsia="uk-UA"/>
              </w:rPr>
              <w:t xml:space="preserve"> рішення.</w:t>
            </w:r>
          </w:p>
          <w:p w14:paraId="4D82640B" w14:textId="77777777" w:rsidR="00004DA4" w:rsidRPr="00D159D0" w:rsidRDefault="00004DA4" w:rsidP="00004DA4">
            <w:pPr>
              <w:shd w:val="clear" w:color="auto" w:fill="FFFFFF"/>
              <w:jc w:val="both"/>
              <w:rPr>
                <w:b/>
                <w:bCs/>
                <w:u w:val="single"/>
                <w:lang w:val="uk-UA" w:eastAsia="uk-UA"/>
              </w:rPr>
            </w:pPr>
          </w:p>
          <w:p w14:paraId="5368346E" w14:textId="77777777" w:rsidR="00004DA4" w:rsidRPr="00D159D0" w:rsidRDefault="00004DA4" w:rsidP="00004DA4">
            <w:pPr>
              <w:shd w:val="clear" w:color="auto" w:fill="FFFFFF"/>
              <w:jc w:val="both"/>
              <w:rPr>
                <w:b/>
                <w:bCs/>
                <w:u w:val="single"/>
                <w:lang w:val="uk-UA" w:eastAsia="uk-UA"/>
              </w:rPr>
            </w:pPr>
          </w:p>
          <w:p w14:paraId="0513D141" w14:textId="77777777" w:rsidR="00004DA4" w:rsidRPr="00D159D0" w:rsidRDefault="00004DA4" w:rsidP="00004DA4">
            <w:pPr>
              <w:shd w:val="clear" w:color="auto" w:fill="FFFFFF"/>
              <w:jc w:val="both"/>
              <w:rPr>
                <w:b/>
                <w:bCs/>
                <w:u w:val="single"/>
                <w:lang w:val="uk-UA" w:eastAsia="uk-UA"/>
              </w:rPr>
            </w:pPr>
          </w:p>
          <w:p w14:paraId="5401A837" w14:textId="77777777" w:rsidR="00004DA4" w:rsidRPr="00D159D0" w:rsidRDefault="00004DA4" w:rsidP="00004DA4">
            <w:pPr>
              <w:shd w:val="clear" w:color="auto" w:fill="FFFFFF"/>
              <w:jc w:val="both"/>
              <w:rPr>
                <w:b/>
                <w:bCs/>
                <w:u w:val="single"/>
                <w:lang w:val="uk-UA" w:eastAsia="uk-UA"/>
              </w:rPr>
            </w:pPr>
          </w:p>
          <w:p w14:paraId="1C5D6CE4" w14:textId="77777777" w:rsidR="00004DA4" w:rsidRPr="00D159D0" w:rsidRDefault="00004DA4" w:rsidP="00004DA4">
            <w:pPr>
              <w:shd w:val="clear" w:color="auto" w:fill="FFFFFF"/>
              <w:jc w:val="both"/>
              <w:rPr>
                <w:b/>
                <w:bCs/>
                <w:u w:val="single"/>
                <w:lang w:val="uk-UA" w:eastAsia="uk-UA"/>
              </w:rPr>
            </w:pPr>
          </w:p>
          <w:p w14:paraId="44289CFD" w14:textId="77777777" w:rsidR="00004DA4" w:rsidRPr="00D159D0" w:rsidRDefault="00004DA4" w:rsidP="00004DA4">
            <w:pPr>
              <w:shd w:val="clear" w:color="auto" w:fill="FFFFFF"/>
              <w:jc w:val="both"/>
              <w:rPr>
                <w:b/>
                <w:bCs/>
                <w:u w:val="single"/>
                <w:lang w:val="uk-UA" w:eastAsia="uk-UA"/>
              </w:rPr>
            </w:pPr>
          </w:p>
          <w:p w14:paraId="67D77337" w14:textId="77777777" w:rsidR="00004DA4" w:rsidRPr="00D159D0" w:rsidRDefault="00004DA4" w:rsidP="00004DA4">
            <w:pPr>
              <w:shd w:val="clear" w:color="auto" w:fill="FFFFFF"/>
              <w:jc w:val="both"/>
              <w:rPr>
                <w:b/>
                <w:bCs/>
                <w:u w:val="single"/>
                <w:lang w:val="uk-UA" w:eastAsia="uk-UA"/>
              </w:rPr>
            </w:pPr>
          </w:p>
          <w:p w14:paraId="79FF1C8F" w14:textId="77777777" w:rsidR="00004DA4" w:rsidRPr="00D159D0" w:rsidRDefault="00004DA4" w:rsidP="00004DA4">
            <w:pPr>
              <w:shd w:val="clear" w:color="auto" w:fill="FFFFFF"/>
              <w:jc w:val="both"/>
              <w:rPr>
                <w:b/>
                <w:bCs/>
                <w:u w:val="single"/>
                <w:lang w:val="uk-UA" w:eastAsia="uk-UA"/>
              </w:rPr>
            </w:pPr>
          </w:p>
          <w:p w14:paraId="1729A432" w14:textId="77777777" w:rsidR="00004DA4" w:rsidRPr="00D159D0" w:rsidRDefault="00004DA4" w:rsidP="00004DA4">
            <w:pPr>
              <w:shd w:val="clear" w:color="auto" w:fill="FFFFFF"/>
              <w:jc w:val="both"/>
              <w:rPr>
                <w:b/>
                <w:bCs/>
                <w:u w:val="single"/>
                <w:lang w:val="uk-UA" w:eastAsia="uk-UA"/>
              </w:rPr>
            </w:pPr>
          </w:p>
          <w:p w14:paraId="3AC91347" w14:textId="77777777" w:rsidR="00004DA4" w:rsidRPr="00D159D0" w:rsidRDefault="00004DA4" w:rsidP="00004DA4">
            <w:pPr>
              <w:shd w:val="clear" w:color="auto" w:fill="FFFFFF"/>
              <w:jc w:val="both"/>
              <w:rPr>
                <w:b/>
                <w:bCs/>
                <w:u w:val="single"/>
                <w:lang w:val="uk-UA" w:eastAsia="uk-UA"/>
              </w:rPr>
            </w:pPr>
          </w:p>
          <w:p w14:paraId="345C6C78" w14:textId="77777777" w:rsidR="00004DA4" w:rsidRPr="00D159D0" w:rsidRDefault="00004DA4" w:rsidP="00004DA4">
            <w:pPr>
              <w:shd w:val="clear" w:color="auto" w:fill="FFFFFF"/>
              <w:jc w:val="both"/>
              <w:rPr>
                <w:b/>
                <w:bCs/>
                <w:u w:val="single"/>
                <w:lang w:val="uk-UA" w:eastAsia="uk-UA"/>
              </w:rPr>
            </w:pPr>
          </w:p>
          <w:p w14:paraId="727B60AE" w14:textId="77777777" w:rsidR="00004DA4" w:rsidRPr="00D159D0" w:rsidRDefault="00004DA4" w:rsidP="00004DA4">
            <w:pPr>
              <w:shd w:val="clear" w:color="auto" w:fill="FFFFFF"/>
              <w:jc w:val="both"/>
              <w:rPr>
                <w:b/>
                <w:bCs/>
                <w:u w:val="single"/>
                <w:lang w:val="uk-UA" w:eastAsia="uk-UA"/>
              </w:rPr>
            </w:pPr>
          </w:p>
          <w:p w14:paraId="59E28917" w14:textId="77777777" w:rsidR="00004DA4" w:rsidRPr="00D159D0" w:rsidRDefault="00004DA4" w:rsidP="00004DA4">
            <w:pPr>
              <w:shd w:val="clear" w:color="auto" w:fill="FFFFFF"/>
              <w:jc w:val="both"/>
              <w:rPr>
                <w:b/>
                <w:bCs/>
                <w:u w:val="single"/>
                <w:lang w:val="uk-UA" w:eastAsia="uk-UA"/>
              </w:rPr>
            </w:pPr>
          </w:p>
          <w:p w14:paraId="64FFABB0" w14:textId="77777777" w:rsidR="00004DA4" w:rsidRPr="00D159D0" w:rsidRDefault="00004DA4" w:rsidP="00004DA4">
            <w:pPr>
              <w:shd w:val="clear" w:color="auto" w:fill="FFFFFF"/>
              <w:jc w:val="both"/>
              <w:rPr>
                <w:b/>
                <w:bCs/>
                <w:u w:val="single"/>
                <w:lang w:val="uk-UA" w:eastAsia="uk-UA"/>
              </w:rPr>
            </w:pPr>
          </w:p>
          <w:p w14:paraId="73855AC8" w14:textId="77777777" w:rsidR="00004DA4" w:rsidRPr="00D159D0" w:rsidRDefault="00004DA4" w:rsidP="00004DA4">
            <w:pPr>
              <w:shd w:val="clear" w:color="auto" w:fill="FFFFFF"/>
              <w:jc w:val="both"/>
              <w:rPr>
                <w:b/>
                <w:bCs/>
                <w:u w:val="single"/>
                <w:lang w:val="uk-UA" w:eastAsia="uk-UA"/>
              </w:rPr>
            </w:pPr>
          </w:p>
          <w:p w14:paraId="26DF55C2" w14:textId="77777777" w:rsidR="00004DA4" w:rsidRPr="00D159D0" w:rsidRDefault="00004DA4" w:rsidP="00004DA4">
            <w:pPr>
              <w:shd w:val="clear" w:color="auto" w:fill="FFFFFF"/>
              <w:jc w:val="both"/>
              <w:rPr>
                <w:b/>
                <w:bCs/>
                <w:u w:val="single"/>
                <w:lang w:val="uk-UA" w:eastAsia="uk-UA"/>
              </w:rPr>
            </w:pPr>
          </w:p>
          <w:p w14:paraId="01DE6BFA" w14:textId="77777777" w:rsidR="00004DA4" w:rsidRPr="00D159D0" w:rsidRDefault="00004DA4" w:rsidP="00004DA4">
            <w:pPr>
              <w:shd w:val="clear" w:color="auto" w:fill="FFFFFF"/>
              <w:jc w:val="both"/>
              <w:rPr>
                <w:b/>
                <w:bCs/>
                <w:u w:val="single"/>
                <w:lang w:val="uk-UA" w:eastAsia="uk-UA"/>
              </w:rPr>
            </w:pPr>
          </w:p>
          <w:p w14:paraId="6F0C2758" w14:textId="77777777" w:rsidR="00004DA4" w:rsidRPr="00D159D0" w:rsidRDefault="00004DA4" w:rsidP="00004DA4">
            <w:pPr>
              <w:shd w:val="clear" w:color="auto" w:fill="FFFFFF"/>
              <w:jc w:val="both"/>
              <w:rPr>
                <w:b/>
                <w:bCs/>
                <w:u w:val="single"/>
                <w:lang w:val="uk-UA" w:eastAsia="uk-UA"/>
              </w:rPr>
            </w:pPr>
          </w:p>
          <w:p w14:paraId="15D09DFB" w14:textId="77777777" w:rsidR="00004DA4" w:rsidRPr="00D159D0" w:rsidRDefault="00004DA4" w:rsidP="00004DA4">
            <w:pPr>
              <w:shd w:val="clear" w:color="auto" w:fill="FFFFFF"/>
              <w:jc w:val="both"/>
              <w:rPr>
                <w:b/>
                <w:bCs/>
                <w:u w:val="single"/>
                <w:lang w:val="uk-UA" w:eastAsia="uk-UA"/>
              </w:rPr>
            </w:pPr>
          </w:p>
          <w:p w14:paraId="3C9F92F4" w14:textId="77777777" w:rsidR="00004DA4" w:rsidRPr="00D159D0" w:rsidRDefault="00004DA4" w:rsidP="00004DA4">
            <w:pPr>
              <w:shd w:val="clear" w:color="auto" w:fill="FFFFFF"/>
              <w:jc w:val="both"/>
              <w:rPr>
                <w:b/>
                <w:bCs/>
                <w:u w:val="single"/>
                <w:lang w:val="uk-UA" w:eastAsia="uk-UA"/>
              </w:rPr>
            </w:pPr>
          </w:p>
          <w:p w14:paraId="285B1EED" w14:textId="77777777" w:rsidR="00004DA4" w:rsidRPr="00D159D0" w:rsidRDefault="00004DA4" w:rsidP="00004DA4">
            <w:pPr>
              <w:shd w:val="clear" w:color="auto" w:fill="FFFFFF"/>
              <w:jc w:val="both"/>
              <w:rPr>
                <w:b/>
                <w:bCs/>
                <w:u w:val="single"/>
                <w:lang w:val="uk-UA" w:eastAsia="uk-UA"/>
              </w:rPr>
            </w:pPr>
          </w:p>
          <w:p w14:paraId="7D3EC284" w14:textId="77777777" w:rsidR="00004DA4" w:rsidRPr="00D159D0" w:rsidRDefault="00004DA4" w:rsidP="00004DA4">
            <w:pPr>
              <w:shd w:val="clear" w:color="auto" w:fill="FFFFFF"/>
              <w:jc w:val="both"/>
              <w:rPr>
                <w:b/>
                <w:bCs/>
                <w:u w:val="single"/>
                <w:lang w:val="uk-UA" w:eastAsia="uk-UA"/>
              </w:rPr>
            </w:pPr>
          </w:p>
          <w:p w14:paraId="3BE41906" w14:textId="77777777" w:rsidR="00004DA4" w:rsidRPr="00D159D0" w:rsidRDefault="00004DA4" w:rsidP="00004DA4">
            <w:pPr>
              <w:shd w:val="clear" w:color="auto" w:fill="FFFFFF"/>
              <w:jc w:val="both"/>
              <w:rPr>
                <w:b/>
                <w:bCs/>
                <w:u w:val="single"/>
                <w:lang w:val="uk-UA" w:eastAsia="uk-UA"/>
              </w:rPr>
            </w:pPr>
          </w:p>
          <w:p w14:paraId="09C05908" w14:textId="77777777" w:rsidR="00004DA4" w:rsidRPr="00D159D0" w:rsidRDefault="00004DA4" w:rsidP="00004DA4">
            <w:pPr>
              <w:shd w:val="clear" w:color="auto" w:fill="FFFFFF"/>
              <w:jc w:val="both"/>
              <w:rPr>
                <w:b/>
                <w:bCs/>
                <w:u w:val="single"/>
                <w:lang w:val="uk-UA" w:eastAsia="uk-UA"/>
              </w:rPr>
            </w:pPr>
          </w:p>
          <w:p w14:paraId="1006F047" w14:textId="77777777" w:rsidR="00004DA4" w:rsidRPr="00D159D0" w:rsidRDefault="00004DA4" w:rsidP="00004DA4">
            <w:pPr>
              <w:shd w:val="clear" w:color="auto" w:fill="FFFFFF"/>
              <w:jc w:val="both"/>
              <w:rPr>
                <w:b/>
                <w:bCs/>
                <w:u w:val="single"/>
                <w:lang w:val="uk-UA" w:eastAsia="uk-UA"/>
              </w:rPr>
            </w:pPr>
          </w:p>
          <w:p w14:paraId="2E0CF484" w14:textId="77777777" w:rsidR="00004DA4" w:rsidRPr="00D159D0" w:rsidRDefault="00004DA4" w:rsidP="00004DA4">
            <w:pPr>
              <w:shd w:val="clear" w:color="auto" w:fill="FFFFFF"/>
              <w:jc w:val="both"/>
              <w:rPr>
                <w:b/>
                <w:bCs/>
                <w:u w:val="single"/>
                <w:lang w:val="uk-UA" w:eastAsia="uk-UA"/>
              </w:rPr>
            </w:pPr>
          </w:p>
          <w:p w14:paraId="101EE6BC" w14:textId="77777777" w:rsidR="00004DA4" w:rsidRPr="00D159D0" w:rsidRDefault="00004DA4" w:rsidP="00004DA4">
            <w:pPr>
              <w:shd w:val="clear" w:color="auto" w:fill="FFFFFF"/>
              <w:jc w:val="both"/>
              <w:rPr>
                <w:b/>
                <w:bCs/>
                <w:u w:val="single"/>
                <w:lang w:val="uk-UA" w:eastAsia="uk-UA"/>
              </w:rPr>
            </w:pPr>
          </w:p>
          <w:p w14:paraId="1D3C4A73" w14:textId="77777777" w:rsidR="00004DA4" w:rsidRPr="00D159D0" w:rsidRDefault="00004DA4" w:rsidP="00004DA4">
            <w:pPr>
              <w:shd w:val="clear" w:color="auto" w:fill="FFFFFF"/>
              <w:jc w:val="both"/>
              <w:rPr>
                <w:b/>
                <w:bCs/>
                <w:u w:val="single"/>
                <w:lang w:val="uk-UA" w:eastAsia="uk-UA"/>
              </w:rPr>
            </w:pPr>
          </w:p>
          <w:p w14:paraId="12C78388" w14:textId="77777777" w:rsidR="00004DA4" w:rsidRPr="00D159D0" w:rsidRDefault="00004DA4" w:rsidP="00004DA4">
            <w:pPr>
              <w:shd w:val="clear" w:color="auto" w:fill="FFFFFF"/>
              <w:jc w:val="both"/>
              <w:rPr>
                <w:b/>
                <w:bCs/>
                <w:u w:val="single"/>
                <w:lang w:val="uk-UA" w:eastAsia="uk-UA"/>
              </w:rPr>
            </w:pPr>
          </w:p>
          <w:p w14:paraId="268D8E84" w14:textId="77777777" w:rsidR="00004DA4" w:rsidRPr="00D159D0" w:rsidRDefault="00004DA4" w:rsidP="00004DA4">
            <w:pPr>
              <w:shd w:val="clear" w:color="auto" w:fill="FFFFFF"/>
              <w:jc w:val="both"/>
              <w:rPr>
                <w:b/>
                <w:bCs/>
                <w:u w:val="single"/>
                <w:lang w:val="uk-UA" w:eastAsia="uk-UA"/>
              </w:rPr>
            </w:pPr>
          </w:p>
          <w:p w14:paraId="0598C76C" w14:textId="77777777" w:rsidR="00004DA4" w:rsidRPr="00D159D0" w:rsidRDefault="00004DA4" w:rsidP="00004DA4">
            <w:pPr>
              <w:shd w:val="clear" w:color="auto" w:fill="FFFFFF"/>
              <w:jc w:val="both"/>
              <w:rPr>
                <w:b/>
                <w:bCs/>
                <w:u w:val="single"/>
                <w:lang w:val="uk-UA" w:eastAsia="uk-UA"/>
              </w:rPr>
            </w:pPr>
          </w:p>
          <w:p w14:paraId="69A6930B" w14:textId="77777777" w:rsidR="00004DA4" w:rsidRPr="00D159D0" w:rsidRDefault="00004DA4" w:rsidP="00004DA4">
            <w:pPr>
              <w:shd w:val="clear" w:color="auto" w:fill="FFFFFF"/>
              <w:jc w:val="both"/>
              <w:rPr>
                <w:b/>
                <w:bCs/>
                <w:u w:val="single"/>
                <w:lang w:val="uk-UA" w:eastAsia="uk-UA"/>
              </w:rPr>
            </w:pPr>
          </w:p>
          <w:p w14:paraId="33395ECB" w14:textId="77777777" w:rsidR="00004DA4" w:rsidRPr="00D159D0" w:rsidRDefault="00004DA4" w:rsidP="00004DA4">
            <w:pPr>
              <w:shd w:val="clear" w:color="auto" w:fill="FFFFFF"/>
              <w:jc w:val="both"/>
              <w:rPr>
                <w:b/>
                <w:bCs/>
                <w:u w:val="single"/>
                <w:lang w:val="uk-UA" w:eastAsia="uk-UA"/>
              </w:rPr>
            </w:pPr>
          </w:p>
          <w:p w14:paraId="17C70AFB" w14:textId="77777777" w:rsidR="00004DA4" w:rsidRPr="00D159D0" w:rsidRDefault="00004DA4" w:rsidP="00004DA4">
            <w:pPr>
              <w:shd w:val="clear" w:color="auto" w:fill="FFFFFF"/>
              <w:jc w:val="both"/>
              <w:rPr>
                <w:b/>
                <w:bCs/>
                <w:u w:val="single"/>
                <w:lang w:val="uk-UA" w:eastAsia="uk-UA"/>
              </w:rPr>
            </w:pPr>
          </w:p>
          <w:p w14:paraId="0A5773A7" w14:textId="77777777" w:rsidR="00004DA4" w:rsidRPr="00D159D0" w:rsidRDefault="00004DA4" w:rsidP="00004DA4">
            <w:pPr>
              <w:shd w:val="clear" w:color="auto" w:fill="FFFFFF"/>
              <w:jc w:val="both"/>
              <w:rPr>
                <w:b/>
                <w:bCs/>
                <w:u w:val="single"/>
                <w:lang w:val="uk-UA" w:eastAsia="uk-UA"/>
              </w:rPr>
            </w:pPr>
          </w:p>
          <w:p w14:paraId="0E2F6BE4" w14:textId="77777777" w:rsidR="00004DA4" w:rsidRPr="00D159D0" w:rsidRDefault="00004DA4" w:rsidP="00004DA4">
            <w:pPr>
              <w:shd w:val="clear" w:color="auto" w:fill="FFFFFF"/>
              <w:jc w:val="both"/>
              <w:rPr>
                <w:b/>
                <w:bCs/>
                <w:u w:val="single"/>
                <w:lang w:val="uk-UA" w:eastAsia="uk-UA"/>
              </w:rPr>
            </w:pPr>
          </w:p>
          <w:p w14:paraId="6B4A1FA0" w14:textId="77777777" w:rsidR="00004DA4" w:rsidRPr="00D159D0" w:rsidRDefault="00004DA4" w:rsidP="00004DA4">
            <w:pPr>
              <w:shd w:val="clear" w:color="auto" w:fill="FFFFFF"/>
              <w:jc w:val="both"/>
              <w:rPr>
                <w:b/>
                <w:bCs/>
                <w:u w:val="single"/>
                <w:lang w:val="uk-UA" w:eastAsia="uk-UA"/>
              </w:rPr>
            </w:pPr>
          </w:p>
          <w:p w14:paraId="090D700C" w14:textId="77777777" w:rsidR="00004DA4" w:rsidRPr="00D159D0" w:rsidRDefault="00004DA4" w:rsidP="00004DA4">
            <w:pPr>
              <w:shd w:val="clear" w:color="auto" w:fill="FFFFFF"/>
              <w:jc w:val="both"/>
              <w:rPr>
                <w:b/>
                <w:bCs/>
                <w:u w:val="single"/>
                <w:lang w:val="uk-UA" w:eastAsia="uk-UA"/>
              </w:rPr>
            </w:pPr>
          </w:p>
          <w:p w14:paraId="2C03E7E0" w14:textId="77777777" w:rsidR="00004DA4" w:rsidRPr="00D159D0" w:rsidRDefault="00004DA4" w:rsidP="00004DA4">
            <w:pPr>
              <w:shd w:val="clear" w:color="auto" w:fill="FFFFFF"/>
              <w:jc w:val="both"/>
              <w:rPr>
                <w:b/>
                <w:bCs/>
                <w:u w:val="single"/>
                <w:lang w:val="uk-UA" w:eastAsia="uk-UA"/>
              </w:rPr>
            </w:pPr>
          </w:p>
          <w:p w14:paraId="25810F69" w14:textId="77777777" w:rsidR="00004DA4" w:rsidRPr="00D159D0" w:rsidRDefault="00004DA4" w:rsidP="00004DA4">
            <w:pPr>
              <w:shd w:val="clear" w:color="auto" w:fill="FFFFFF"/>
              <w:jc w:val="both"/>
              <w:rPr>
                <w:b/>
                <w:bCs/>
                <w:u w:val="single"/>
                <w:lang w:val="uk-UA" w:eastAsia="uk-UA"/>
              </w:rPr>
            </w:pPr>
          </w:p>
          <w:p w14:paraId="18801DC1" w14:textId="77777777" w:rsidR="00004DA4" w:rsidRPr="00D159D0" w:rsidRDefault="00004DA4" w:rsidP="00004DA4">
            <w:pPr>
              <w:shd w:val="clear" w:color="auto" w:fill="FFFFFF"/>
              <w:jc w:val="both"/>
              <w:rPr>
                <w:b/>
                <w:bCs/>
                <w:u w:val="single"/>
                <w:lang w:val="uk-UA" w:eastAsia="uk-UA"/>
              </w:rPr>
            </w:pPr>
          </w:p>
          <w:p w14:paraId="1F42F358" w14:textId="77777777" w:rsidR="00004DA4" w:rsidRPr="00D159D0" w:rsidRDefault="00004DA4" w:rsidP="00004DA4">
            <w:pPr>
              <w:shd w:val="clear" w:color="auto" w:fill="FFFFFF"/>
              <w:jc w:val="both"/>
              <w:rPr>
                <w:b/>
                <w:bCs/>
                <w:u w:val="single"/>
                <w:lang w:val="uk-UA" w:eastAsia="uk-UA"/>
              </w:rPr>
            </w:pPr>
          </w:p>
          <w:p w14:paraId="13B5EBFE" w14:textId="77777777" w:rsidR="00004DA4" w:rsidRPr="00D159D0" w:rsidRDefault="00004DA4" w:rsidP="00004DA4">
            <w:pPr>
              <w:shd w:val="clear" w:color="auto" w:fill="FFFFFF"/>
              <w:jc w:val="both"/>
              <w:rPr>
                <w:b/>
                <w:bCs/>
                <w:u w:val="single"/>
                <w:lang w:val="uk-UA" w:eastAsia="uk-UA"/>
              </w:rPr>
            </w:pPr>
          </w:p>
          <w:p w14:paraId="21D59D74" w14:textId="77777777" w:rsidR="00004DA4" w:rsidRPr="00D159D0" w:rsidRDefault="00004DA4" w:rsidP="00004DA4">
            <w:pPr>
              <w:shd w:val="clear" w:color="auto" w:fill="FFFFFF"/>
              <w:jc w:val="both"/>
              <w:rPr>
                <w:b/>
                <w:bCs/>
                <w:u w:val="single"/>
                <w:lang w:val="uk-UA" w:eastAsia="uk-UA"/>
              </w:rPr>
            </w:pPr>
          </w:p>
          <w:p w14:paraId="54B1C67E" w14:textId="77777777" w:rsidR="00004DA4" w:rsidRPr="00D159D0" w:rsidRDefault="00004DA4" w:rsidP="00004DA4">
            <w:pPr>
              <w:shd w:val="clear" w:color="auto" w:fill="FFFFFF"/>
              <w:jc w:val="both"/>
              <w:rPr>
                <w:b/>
                <w:bCs/>
                <w:u w:val="single"/>
                <w:lang w:val="uk-UA" w:eastAsia="uk-UA"/>
              </w:rPr>
            </w:pPr>
          </w:p>
          <w:p w14:paraId="2529D275" w14:textId="77777777" w:rsidR="00004DA4" w:rsidRPr="00D159D0" w:rsidRDefault="00004DA4" w:rsidP="00004DA4">
            <w:pPr>
              <w:shd w:val="clear" w:color="auto" w:fill="FFFFFF"/>
              <w:jc w:val="both"/>
              <w:rPr>
                <w:b/>
                <w:bCs/>
                <w:u w:val="single"/>
                <w:lang w:val="uk-UA" w:eastAsia="uk-UA"/>
              </w:rPr>
            </w:pPr>
          </w:p>
          <w:p w14:paraId="7E27577F" w14:textId="77777777" w:rsidR="00004DA4" w:rsidRPr="00D159D0" w:rsidRDefault="00004DA4" w:rsidP="00004DA4">
            <w:pPr>
              <w:widowControl w:val="0"/>
              <w:suppressAutoHyphens/>
              <w:ind w:hanging="49"/>
              <w:contextualSpacing/>
              <w:jc w:val="both"/>
              <w:rPr>
                <w:b/>
                <w:bCs/>
                <w:lang w:val="uk-UA"/>
              </w:rPr>
            </w:pPr>
            <w:r w:rsidRPr="00D159D0">
              <w:rPr>
                <w:b/>
                <w:bCs/>
                <w:lang w:val="uk-UA"/>
              </w:rPr>
              <w:t>Не враховано</w:t>
            </w:r>
          </w:p>
          <w:p w14:paraId="465496C0" w14:textId="77777777" w:rsidR="00004DA4" w:rsidRPr="00D159D0" w:rsidRDefault="00004DA4" w:rsidP="00004DA4">
            <w:pPr>
              <w:widowControl w:val="0"/>
              <w:suppressAutoHyphens/>
              <w:ind w:hanging="49"/>
              <w:contextualSpacing/>
              <w:jc w:val="both"/>
              <w:rPr>
                <w:lang w:val="uk-UA"/>
              </w:rPr>
            </w:pPr>
            <w:r w:rsidRPr="00D159D0">
              <w:rPr>
                <w:b/>
                <w:bCs/>
                <w:lang w:val="uk-UA"/>
              </w:rPr>
              <w:t>Недостатньо обґрунтована пропозиція</w:t>
            </w:r>
          </w:p>
          <w:p w14:paraId="0B3A2FFD" w14:textId="19659C4D" w:rsidR="00AD2A16" w:rsidRPr="00D159D0" w:rsidRDefault="00E16EE1" w:rsidP="00004DA4">
            <w:pPr>
              <w:widowControl w:val="0"/>
              <w:suppressAutoHyphens/>
              <w:contextualSpacing/>
              <w:jc w:val="both"/>
              <w:rPr>
                <w:lang w:val="uk-UA"/>
              </w:rPr>
            </w:pPr>
            <w:r w:rsidRPr="00D159D0">
              <w:rPr>
                <w:lang w:val="uk-UA"/>
              </w:rPr>
              <w:t>Д</w:t>
            </w:r>
            <w:r w:rsidR="00004DA4" w:rsidRPr="00D159D0">
              <w:rPr>
                <w:lang w:val="uk-UA"/>
              </w:rPr>
              <w:t xml:space="preserve">осягнення встановлених </w:t>
            </w:r>
            <w:r w:rsidR="00004DA4" w:rsidRPr="00D159D0">
              <w:rPr>
                <w:lang w:val="uk-UA"/>
              </w:rPr>
              <w:lastRenderedPageBreak/>
              <w:t>цільових показників якості послуг є необхідною умовою надійного функціонування всіх галузей економіки України, військово-промислового комплексу, соціальних потреб населення тощо.</w:t>
            </w:r>
          </w:p>
        </w:tc>
      </w:tr>
      <w:tr w:rsidR="00D159D0" w:rsidRPr="00F84FFC" w14:paraId="19A3EBA0" w14:textId="77777777" w:rsidTr="00EE26FC">
        <w:tc>
          <w:tcPr>
            <w:tcW w:w="5665" w:type="dxa"/>
          </w:tcPr>
          <w:p w14:paraId="55120470" w14:textId="77777777" w:rsidR="00DD6F6A" w:rsidRPr="00D159D0" w:rsidRDefault="00F84FFC" w:rsidP="004976F9">
            <w:pPr>
              <w:pStyle w:val="tj"/>
              <w:shd w:val="clear" w:color="auto" w:fill="FFFFFF"/>
              <w:spacing w:before="0" w:beforeAutospacing="0" w:after="0" w:afterAutospacing="0"/>
              <w:ind w:firstLine="491"/>
              <w:jc w:val="both"/>
            </w:pPr>
            <w:hyperlink r:id="rId57" w:tgtFrame="_blank" w:history="1">
              <w:r w:rsidR="00DD6F6A" w:rsidRPr="00D159D0">
                <w:t>7.25.</w:t>
              </w:r>
            </w:hyperlink>
            <w:r w:rsidR="00DD6F6A" w:rsidRPr="00D159D0">
              <w:t> Коригування необхідного доходу відповідно до даних виконання цільового завдання щодо досягнення показників якості послуг на рік t (</w:t>
            </w:r>
            <w:proofErr w:type="spellStart"/>
            <w:r w:rsidR="00DD6F6A" w:rsidRPr="00D159D0">
              <w:t>КЯ</w:t>
            </w:r>
            <w:r w:rsidR="00DD6F6A" w:rsidRPr="00D159D0">
              <w:rPr>
                <w:vertAlign w:val="subscript"/>
              </w:rPr>
              <w:t>t</w:t>
            </w:r>
            <w:proofErr w:type="spellEnd"/>
            <w:r w:rsidR="00DD6F6A" w:rsidRPr="00D159D0">
              <w:t>), тис. грн, визначається за формулами:</w:t>
            </w:r>
          </w:p>
          <w:p w14:paraId="2F412E6E" w14:textId="77777777" w:rsidR="00DD6F6A" w:rsidRPr="00D159D0" w:rsidRDefault="00DD6F6A" w:rsidP="004976F9">
            <w:pPr>
              <w:pStyle w:val="tj"/>
              <w:shd w:val="clear" w:color="auto" w:fill="FFFFFF"/>
              <w:spacing w:before="0" w:beforeAutospacing="0" w:after="0" w:afterAutospacing="0"/>
              <w:ind w:firstLine="491"/>
              <w:jc w:val="both"/>
            </w:pPr>
          </w:p>
          <w:tbl>
            <w:tblPr>
              <w:tblpPr w:leftFromText="180" w:rightFromText="180" w:vertAnchor="text" w:horzAnchor="margin" w:tblpXSpec="center" w:tblpY="-71"/>
              <w:tblOverlap w:val="never"/>
              <w:tblW w:w="6259" w:type="dxa"/>
              <w:tblLayout w:type="fixed"/>
              <w:tblCellMar>
                <w:top w:w="15" w:type="dxa"/>
                <w:left w:w="15" w:type="dxa"/>
                <w:bottom w:w="15" w:type="dxa"/>
                <w:right w:w="15" w:type="dxa"/>
              </w:tblCellMar>
              <w:tblLook w:val="04A0" w:firstRow="1" w:lastRow="0" w:firstColumn="1" w:lastColumn="0" w:noHBand="0" w:noVBand="1"/>
            </w:tblPr>
            <w:tblGrid>
              <w:gridCol w:w="3284"/>
              <w:gridCol w:w="1701"/>
              <w:gridCol w:w="1274"/>
            </w:tblGrid>
            <w:tr w:rsidR="00D159D0" w:rsidRPr="00D159D0" w14:paraId="6354629F" w14:textId="77777777" w:rsidTr="00BE7345">
              <w:tc>
                <w:tcPr>
                  <w:tcW w:w="2623" w:type="pct"/>
                  <w:shd w:val="clear" w:color="auto" w:fill="auto"/>
                  <w:tcMar>
                    <w:top w:w="0" w:type="dxa"/>
                    <w:left w:w="0" w:type="dxa"/>
                    <w:bottom w:w="0" w:type="dxa"/>
                    <w:right w:w="0" w:type="dxa"/>
                  </w:tcMar>
                  <w:vAlign w:val="center"/>
                  <w:hideMark/>
                </w:tcPr>
                <w:p w14:paraId="729F0175" w14:textId="77777777" w:rsidR="00DD6F6A" w:rsidRPr="00D159D0" w:rsidRDefault="00DD6F6A" w:rsidP="004976F9">
                  <w:pPr>
                    <w:pStyle w:val="tr"/>
                    <w:spacing w:before="0" w:beforeAutospacing="0" w:after="0" w:afterAutospacing="0"/>
                    <w:ind w:firstLine="491"/>
                    <w:jc w:val="both"/>
                  </w:pPr>
                  <w:r w:rsidRPr="00D159D0">
                    <w:rPr>
                      <w:noProof/>
                    </w:rPr>
                    <w:drawing>
                      <wp:inline distT="0" distB="0" distL="0" distR="0" wp14:anchorId="65C42C85" wp14:editId="31ECD910">
                        <wp:extent cx="1447800" cy="207645"/>
                        <wp:effectExtent l="0" t="0" r="0" b="1905"/>
                        <wp:docPr id="27" name="Рисунок 27" descr="https://ips.ligazakon.net/l_flib1.nsf/LookupFiles/GK40721_IMG_310.GIF/$file/GK40721_IMG_310.GIF">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0721_IMG_310.GIF/$file/GK40721_IMG_310.GIF">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47800" cy="207645"/>
                                </a:xfrm>
                                <a:prstGeom prst="rect">
                                  <a:avLst/>
                                </a:prstGeom>
                                <a:noFill/>
                                <a:ln>
                                  <a:noFill/>
                                </a:ln>
                              </pic:spPr>
                            </pic:pic>
                          </a:graphicData>
                        </a:graphic>
                      </wp:inline>
                    </w:drawing>
                  </w:r>
                </w:p>
              </w:tc>
              <w:tc>
                <w:tcPr>
                  <w:tcW w:w="1359" w:type="pct"/>
                  <w:shd w:val="clear" w:color="auto" w:fill="auto"/>
                  <w:tcMar>
                    <w:top w:w="0" w:type="dxa"/>
                    <w:left w:w="0" w:type="dxa"/>
                    <w:bottom w:w="0" w:type="dxa"/>
                    <w:right w:w="0" w:type="dxa"/>
                  </w:tcMar>
                  <w:vAlign w:val="center"/>
                  <w:hideMark/>
                </w:tcPr>
                <w:p w14:paraId="5907DAFE" w14:textId="77777777" w:rsidR="00DD6F6A" w:rsidRPr="00D159D0" w:rsidRDefault="00F84FFC" w:rsidP="004976F9">
                  <w:pPr>
                    <w:pStyle w:val="tl"/>
                    <w:spacing w:before="0" w:beforeAutospacing="0" w:after="0" w:afterAutospacing="0"/>
                    <w:ind w:firstLine="491"/>
                    <w:jc w:val="both"/>
                  </w:pPr>
                  <w:hyperlink r:id="rId60" w:tgtFrame="_blank" w:history="1">
                    <w:r w:rsidR="00DD6F6A" w:rsidRPr="00D159D0">
                      <w:t>, тис. грн,</w:t>
                    </w:r>
                  </w:hyperlink>
                </w:p>
              </w:tc>
              <w:tc>
                <w:tcPr>
                  <w:tcW w:w="1018" w:type="pct"/>
                  <w:shd w:val="clear" w:color="auto" w:fill="auto"/>
                  <w:tcMar>
                    <w:top w:w="0" w:type="dxa"/>
                    <w:left w:w="0" w:type="dxa"/>
                    <w:bottom w:w="0" w:type="dxa"/>
                    <w:right w:w="0" w:type="dxa"/>
                  </w:tcMar>
                  <w:vAlign w:val="center"/>
                  <w:hideMark/>
                </w:tcPr>
                <w:p w14:paraId="1D6914EC" w14:textId="77777777" w:rsidR="00DD6F6A" w:rsidRPr="00D159D0" w:rsidRDefault="00F84FFC" w:rsidP="004976F9">
                  <w:pPr>
                    <w:pStyle w:val="tr"/>
                    <w:spacing w:before="0" w:beforeAutospacing="0" w:after="0" w:afterAutospacing="0"/>
                    <w:ind w:firstLine="491"/>
                    <w:jc w:val="both"/>
                  </w:pPr>
                  <w:hyperlink r:id="rId61" w:tgtFrame="_blank" w:history="1">
                    <w:r w:rsidR="00DD6F6A" w:rsidRPr="00D159D0">
                      <w:t>(33)</w:t>
                    </w:r>
                  </w:hyperlink>
                </w:p>
              </w:tc>
            </w:tr>
          </w:tbl>
          <w:p w14:paraId="37585324" w14:textId="77777777" w:rsidR="00DD6F6A" w:rsidRPr="00D159D0" w:rsidRDefault="00F84FFC" w:rsidP="004976F9">
            <w:pPr>
              <w:pStyle w:val="tj"/>
              <w:shd w:val="clear" w:color="auto" w:fill="FFFFFF"/>
              <w:spacing w:before="0" w:beforeAutospacing="0" w:after="0" w:afterAutospacing="0"/>
              <w:ind w:firstLine="491"/>
              <w:jc w:val="both"/>
              <w:rPr>
                <w:i/>
              </w:rPr>
            </w:pPr>
            <m:oMathPara>
              <m:oMath>
                <m:sSubSup>
                  <m:sSubSupPr>
                    <m:ctrlPr>
                      <w:rPr>
                        <w:rFonts w:ascii="Cambria Math" w:hAnsi="Cambria Math"/>
                        <w:i/>
                      </w:rPr>
                    </m:ctrlPr>
                  </m:sSubSupPr>
                  <m:e>
                    <m:r>
                      <w:rPr>
                        <w:rFonts w:ascii="Cambria Math" w:hAnsi="Cambria Math"/>
                      </w:rPr>
                      <m:t>SAIDI</m:t>
                    </m:r>
                  </m:e>
                  <m:sub>
                    <m:r>
                      <w:rPr>
                        <w:rFonts w:ascii="Cambria Math" w:hAnsi="Cambria Math"/>
                      </w:rPr>
                      <m:t>t-2</m:t>
                    </m:r>
                  </m:sub>
                  <m:sup>
                    <m:r>
                      <w:rPr>
                        <w:rFonts w:ascii="Cambria Math" w:hAnsi="Cambria Math"/>
                      </w:rPr>
                      <m:t>м(с)</m:t>
                    </m:r>
                  </m:sup>
                </m:sSubSup>
                <m:r>
                  <w:rPr>
                    <w:rFonts w:ascii="Cambria Math" w:hAnsi="Cambria Math"/>
                  </w:rPr>
                  <m:t>=</m:t>
                </m:r>
                <m:sSubSup>
                  <m:sSubSupPr>
                    <m:ctrlPr>
                      <w:rPr>
                        <w:rFonts w:ascii="Cambria Math" w:hAnsi="Cambria Math"/>
                        <w:i/>
                      </w:rPr>
                    </m:ctrlPr>
                  </m:sSubSupPr>
                  <m:e>
                    <m:r>
                      <w:rPr>
                        <w:rFonts w:ascii="Cambria Math" w:hAnsi="Cambria Math"/>
                      </w:rPr>
                      <m:t>SAIDI</m:t>
                    </m:r>
                  </m:e>
                  <m:sub>
                    <m:r>
                      <w:rPr>
                        <w:rFonts w:ascii="Cambria Math" w:hAnsi="Cambria Math"/>
                      </w:rPr>
                      <m:t>0</m:t>
                    </m:r>
                  </m:sub>
                  <m:sup>
                    <m:r>
                      <w:rPr>
                        <w:rFonts w:ascii="Cambria Math" w:hAnsi="Cambria Math"/>
                      </w:rPr>
                      <m:t>м(с)</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(SAIDI</m:t>
                        </m:r>
                      </m:e>
                      <m:sub>
                        <m:r>
                          <w:rPr>
                            <w:rFonts w:ascii="Cambria Math" w:hAnsi="Cambria Math"/>
                          </w:rPr>
                          <m:t>0</m:t>
                        </m:r>
                      </m:sub>
                      <m:sup>
                        <m:r>
                          <w:rPr>
                            <w:rFonts w:ascii="Cambria Math" w:hAnsi="Cambria Math"/>
                          </w:rPr>
                          <m:t>м(с)</m:t>
                        </m:r>
                      </m:sup>
                    </m:sSubSup>
                    <m:r>
                      <w:rPr>
                        <w:rFonts w:ascii="Cambria Math" w:hAnsi="Cambria Math"/>
                      </w:rPr>
                      <m:t>-</m:t>
                    </m:r>
                    <m:sSubSup>
                      <m:sSubSupPr>
                        <m:ctrlPr>
                          <w:rPr>
                            <w:rFonts w:ascii="Cambria Math" w:hAnsi="Cambria Math"/>
                            <w:i/>
                          </w:rPr>
                        </m:ctrlPr>
                      </m:sSubSupPr>
                      <m:e>
                        <m:r>
                          <w:rPr>
                            <w:rFonts w:ascii="Cambria Math" w:hAnsi="Cambria Math"/>
                          </w:rPr>
                          <m:t>SAIDI</m:t>
                        </m:r>
                      </m:e>
                      <m:sub>
                        <m:r>
                          <w:rPr>
                            <w:rFonts w:ascii="Cambria Math" w:hAnsi="Cambria Math"/>
                          </w:rPr>
                          <m:t>ц</m:t>
                        </m:r>
                      </m:sub>
                      <m:sup>
                        <m:r>
                          <w:rPr>
                            <w:rFonts w:ascii="Cambria Math" w:hAnsi="Cambria Math"/>
                          </w:rPr>
                          <m:t>м(с)</m:t>
                        </m:r>
                      </m:sup>
                    </m:sSubSup>
                    <m:r>
                      <w:rPr>
                        <w:rFonts w:ascii="Cambria Math" w:hAnsi="Cambria Math"/>
                      </w:rPr>
                      <m:t>)</m:t>
                    </m:r>
                  </m:num>
                  <m:den>
                    <m:r>
                      <m:rPr>
                        <m:sty m:val="bi"/>
                      </m:rPr>
                      <w:rPr>
                        <w:rFonts w:ascii="Cambria Math" w:hAnsi="Cambria Math"/>
                      </w:rPr>
                      <m:t>20</m:t>
                    </m:r>
                    <m:r>
                      <w:rPr>
                        <w:rFonts w:ascii="Cambria Math" w:hAnsi="Cambria Math"/>
                      </w:rPr>
                      <m:t>-1</m:t>
                    </m:r>
                  </m:den>
                </m:f>
                <m:r>
                  <w:rPr>
                    <w:rFonts w:ascii="Cambria Math" w:hAnsi="Cambria Math"/>
                  </w:rPr>
                  <m:t xml:space="preserve">  (37)</m:t>
                </m:r>
              </m:oMath>
            </m:oMathPara>
          </w:p>
          <w:p w14:paraId="3B4329F3" w14:textId="77777777" w:rsidR="00DD6F6A" w:rsidRPr="00D159D0" w:rsidRDefault="00F84FFC" w:rsidP="004976F9">
            <w:pPr>
              <w:pStyle w:val="rvps2"/>
              <w:shd w:val="clear" w:color="auto" w:fill="FFFFFF"/>
              <w:spacing w:before="0" w:beforeAutospacing="0" w:after="0" w:afterAutospacing="0"/>
              <w:ind w:firstLine="488"/>
              <w:jc w:val="both"/>
              <w:rPr>
                <w:b/>
              </w:rPr>
            </w:pPr>
            <m:oMath>
              <m:sSubSup>
                <m:sSubSupPr>
                  <m:ctrlPr>
                    <w:rPr>
                      <w:rFonts w:ascii="Cambria Math" w:hAnsi="Cambria Math"/>
                      <w:i/>
                    </w:rPr>
                  </m:ctrlPr>
                </m:sSubSupPr>
                <m:e>
                  <m:r>
                    <w:rPr>
                      <w:rFonts w:ascii="Cambria Math" w:hAnsi="Cambria Math"/>
                    </w:rPr>
                    <m:t>SAIDI</m:t>
                  </m:r>
                </m:e>
                <m:sub>
                  <m:r>
                    <w:rPr>
                      <w:rFonts w:ascii="Cambria Math" w:hAnsi="Cambria Math"/>
                    </w:rPr>
                    <m:t>ц</m:t>
                  </m:r>
                </m:sub>
                <m:sup>
                  <m:r>
                    <w:rPr>
                      <w:rFonts w:ascii="Cambria Math" w:hAnsi="Cambria Math"/>
                    </w:rPr>
                    <m:t>м(с)</m:t>
                  </m:r>
                </m:sup>
              </m:sSubSup>
            </m:oMath>
            <w:r w:rsidR="00DD6F6A" w:rsidRPr="00D159D0">
              <w:t xml:space="preserve"> - </w:t>
            </w:r>
            <w:r w:rsidR="00DD6F6A" w:rsidRPr="00D159D0">
              <w:rPr>
                <w:shd w:val="clear" w:color="auto" w:fill="FFFFFF"/>
              </w:rPr>
              <w:t xml:space="preserve">цільові показники якості послуг для міської території - 150 хвилин, сільської території - 300 хвилин. </w:t>
            </w:r>
            <w:r w:rsidR="00DD6F6A" w:rsidRPr="00D159D0">
              <w:rPr>
                <w:b/>
                <w:shd w:val="clear" w:color="auto" w:fill="FFFFFF"/>
              </w:rPr>
              <w:t>Розподіл за категоріями населених пунктів (міська/сільська території) фіксується на дату встановлення цільових показників якості послуг;</w:t>
            </w:r>
          </w:p>
          <w:p w14:paraId="1AAD30D6" w14:textId="77777777" w:rsidR="00DD6F6A" w:rsidRPr="00D159D0" w:rsidRDefault="00DD6F6A" w:rsidP="004976F9">
            <w:pPr>
              <w:pStyle w:val="tj"/>
              <w:shd w:val="clear" w:color="auto" w:fill="FFFFFF"/>
              <w:spacing w:before="0" w:beforeAutospacing="0" w:after="0" w:afterAutospacing="0"/>
              <w:ind w:firstLine="491"/>
              <w:jc w:val="both"/>
              <w:rPr>
                <w:b/>
              </w:rPr>
            </w:pPr>
          </w:p>
          <w:p w14:paraId="01374841" w14:textId="77777777" w:rsidR="00DD6F6A" w:rsidRPr="00D159D0" w:rsidRDefault="00DD6F6A" w:rsidP="004976F9">
            <w:pPr>
              <w:pStyle w:val="tj"/>
              <w:shd w:val="clear" w:color="auto" w:fill="FFFFFF"/>
              <w:spacing w:before="0" w:beforeAutospacing="0" w:after="0" w:afterAutospacing="0"/>
              <w:ind w:firstLine="491"/>
              <w:jc w:val="both"/>
              <w:rPr>
                <w:shd w:val="clear" w:color="auto" w:fill="FFFFFF"/>
              </w:rPr>
            </w:pPr>
            <w:r w:rsidRPr="00D159D0">
              <w:rPr>
                <w:b/>
              </w:rPr>
              <w:t>20</w:t>
            </w:r>
            <w:r w:rsidRPr="00D159D0">
              <w:t xml:space="preserve"> - </w:t>
            </w:r>
            <w:r w:rsidRPr="00D159D0">
              <w:rPr>
                <w:shd w:val="clear" w:color="auto" w:fill="FFFFFF"/>
              </w:rPr>
              <w:t>номер року, починаючи з 2021 року, у якому має бути досягнутий цільовий показник якості послуг.</w:t>
            </w:r>
          </w:p>
          <w:p w14:paraId="40DB962B" w14:textId="77777777" w:rsidR="00DD6F6A" w:rsidRPr="00D159D0" w:rsidRDefault="00DD6F6A" w:rsidP="004976F9">
            <w:pPr>
              <w:pStyle w:val="tj"/>
              <w:shd w:val="clear" w:color="auto" w:fill="FFFFFF"/>
              <w:spacing w:before="0" w:beforeAutospacing="0" w:after="0" w:afterAutospacing="0"/>
              <w:ind w:firstLine="491"/>
              <w:jc w:val="both"/>
            </w:pPr>
            <w:r w:rsidRPr="00D159D0">
              <w:t>……………………………..</w:t>
            </w:r>
          </w:p>
          <w:p w14:paraId="431CBE13" w14:textId="77777777" w:rsidR="00DD6F6A" w:rsidRPr="00D159D0" w:rsidRDefault="00DD6F6A" w:rsidP="004976F9">
            <w:pPr>
              <w:pStyle w:val="tj"/>
              <w:shd w:val="clear" w:color="auto" w:fill="FFFFFF"/>
              <w:spacing w:before="0" w:beforeAutospacing="0" w:after="0" w:afterAutospacing="0"/>
              <w:ind w:firstLine="491"/>
              <w:jc w:val="both"/>
              <w:rPr>
                <w:b/>
              </w:rPr>
            </w:pPr>
          </w:p>
          <w:p w14:paraId="40B4A4A9" w14:textId="77777777" w:rsidR="00AD2A16" w:rsidRPr="00D159D0" w:rsidRDefault="00DD6F6A" w:rsidP="004976F9">
            <w:pPr>
              <w:jc w:val="both"/>
              <w:rPr>
                <w:b/>
                <w:bCs/>
                <w:lang w:val="uk-UA"/>
              </w:rPr>
            </w:pPr>
            <w:r w:rsidRPr="00D159D0">
              <w:rPr>
                <w:lang w:val="uk-UA"/>
              </w:rPr>
              <w:t>Коригування необхідного доходу відповідно до даних виконання цільового завдання щодо досягнення показників якості послуг за 2022 та 2023 роки не застосовується</w:t>
            </w:r>
            <w:r w:rsidRPr="00D159D0">
              <w:rPr>
                <w:b/>
                <w:lang w:val="uk-UA"/>
              </w:rPr>
              <w:t>, за 2024 рік - не застосовується до ліцензіатів, наведених у додатку 32 до цього Порядку</w:t>
            </w:r>
            <w:r w:rsidRPr="00D159D0">
              <w:rPr>
                <w:lang w:val="uk-UA"/>
              </w:rPr>
              <w:t>.</w:t>
            </w:r>
          </w:p>
        </w:tc>
        <w:tc>
          <w:tcPr>
            <w:tcW w:w="5954" w:type="dxa"/>
          </w:tcPr>
          <w:p w14:paraId="6D1DC55A" w14:textId="77777777" w:rsidR="00C31D31" w:rsidRPr="00D159D0" w:rsidRDefault="00C31D31" w:rsidP="00C31D31">
            <w:pPr>
              <w:jc w:val="both"/>
              <w:rPr>
                <w:b/>
                <w:lang w:val="uk-UA"/>
              </w:rPr>
            </w:pPr>
            <w:r w:rsidRPr="00D159D0">
              <w:rPr>
                <w:b/>
                <w:lang w:val="uk-UA"/>
              </w:rPr>
              <w:t xml:space="preserve">USAID </w:t>
            </w:r>
            <w:proofErr w:type="spellStart"/>
            <w:r w:rsidRPr="00D159D0">
              <w:rPr>
                <w:b/>
                <w:lang w:val="uk-UA"/>
              </w:rPr>
              <w:t>Проєкт</w:t>
            </w:r>
            <w:proofErr w:type="spellEnd"/>
            <w:r w:rsidRPr="00D159D0">
              <w:rPr>
                <w:b/>
                <w:lang w:val="uk-UA"/>
              </w:rPr>
              <w:t xml:space="preserve"> енергетичної безпеки лист ESP-214-NEURC-2024-07-09</w:t>
            </w:r>
          </w:p>
          <w:p w14:paraId="2A29055C" w14:textId="77777777" w:rsidR="00C31D31" w:rsidRPr="00D159D0" w:rsidRDefault="00C31D31" w:rsidP="004976F9">
            <w:pPr>
              <w:jc w:val="both"/>
              <w:rPr>
                <w:b/>
                <w:lang w:val="uk-UA"/>
              </w:rPr>
            </w:pPr>
            <w:r w:rsidRPr="00D159D0">
              <w:rPr>
                <w:lang w:val="uk-UA"/>
              </w:rPr>
              <w:t>Підтримує незастосування коригування необхідного доходу відповідно до даних виконання цільового показника якості послуг за 2024 рік для ОСР, визначених у Додатку 32.</w:t>
            </w:r>
          </w:p>
          <w:p w14:paraId="02BF510C" w14:textId="77777777" w:rsidR="00C31D31" w:rsidRPr="00D159D0" w:rsidRDefault="00C31D31" w:rsidP="004976F9">
            <w:pPr>
              <w:jc w:val="both"/>
              <w:rPr>
                <w:b/>
                <w:lang w:val="uk-UA"/>
              </w:rPr>
            </w:pPr>
          </w:p>
          <w:p w14:paraId="0094FCCD" w14:textId="77777777" w:rsidR="00BD2038" w:rsidRPr="00D159D0" w:rsidRDefault="00BD2038" w:rsidP="004976F9">
            <w:pPr>
              <w:jc w:val="both"/>
              <w:rPr>
                <w:b/>
                <w:lang w:val="uk-UA"/>
              </w:rPr>
            </w:pPr>
            <w:r w:rsidRPr="00D159D0">
              <w:rPr>
                <w:b/>
                <w:lang w:val="uk-UA"/>
              </w:rPr>
              <w:t>ТОВ «ДТЕК ВИСОКОВОЛЬТНІ МЕРЕЖІ» лист від 17.07.2024 № 08-61/935</w:t>
            </w:r>
          </w:p>
          <w:p w14:paraId="6EB2E3DE" w14:textId="77777777" w:rsidR="00BD2038" w:rsidRPr="00D159D0" w:rsidRDefault="00BD2038" w:rsidP="004976F9">
            <w:pPr>
              <w:jc w:val="both"/>
              <w:rPr>
                <w:b/>
                <w:lang w:val="uk-UA"/>
              </w:rPr>
            </w:pPr>
            <w:r w:rsidRPr="00D159D0">
              <w:rPr>
                <w:b/>
                <w:lang w:val="uk-UA"/>
              </w:rPr>
              <w:t>АТ «ДТЕК ДОНЕЦЬКІ ЕЛЕКТРОМЕРЕЖІ» лист від 17.07.2024 № 06/9956</w:t>
            </w:r>
          </w:p>
          <w:p w14:paraId="5FDCB09B"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307005CC" w14:textId="77777777" w:rsidR="00BD2038" w:rsidRPr="00D159D0" w:rsidRDefault="00F84FFC" w:rsidP="004976F9">
            <w:pPr>
              <w:pStyle w:val="tj"/>
              <w:shd w:val="clear" w:color="auto" w:fill="FFFFFF"/>
              <w:spacing w:before="0" w:beforeAutospacing="0" w:after="0" w:afterAutospacing="0"/>
              <w:ind w:firstLine="491"/>
              <w:jc w:val="both"/>
            </w:pPr>
            <w:hyperlink r:id="rId62" w:tgtFrame="_blank" w:history="1">
              <w:r w:rsidR="00BD2038" w:rsidRPr="00D159D0">
                <w:t>7.25.</w:t>
              </w:r>
            </w:hyperlink>
            <w:r w:rsidR="00BD2038" w:rsidRPr="00D159D0">
              <w:t> Коригування необхідного доходу відповідно до даних виконання цільового завдання щодо досягнення показників якості послуг на рік t (</w:t>
            </w:r>
            <w:proofErr w:type="spellStart"/>
            <w:r w:rsidR="00BD2038" w:rsidRPr="00D159D0">
              <w:t>КЯ</w:t>
            </w:r>
            <w:r w:rsidR="00BD2038" w:rsidRPr="00D159D0">
              <w:rPr>
                <w:vertAlign w:val="subscript"/>
              </w:rPr>
              <w:t>t</w:t>
            </w:r>
            <w:proofErr w:type="spellEnd"/>
            <w:r w:rsidR="00BD2038" w:rsidRPr="00D159D0">
              <w:t>), тис. грн, визначається за формулами:</w:t>
            </w:r>
          </w:p>
          <w:p w14:paraId="549B34A1" w14:textId="77777777" w:rsidR="00BD2038" w:rsidRPr="00D159D0" w:rsidRDefault="00BD2038" w:rsidP="004976F9">
            <w:pPr>
              <w:pStyle w:val="tj"/>
              <w:shd w:val="clear" w:color="auto" w:fill="FFFFFF"/>
              <w:spacing w:before="0" w:beforeAutospacing="0" w:after="0" w:afterAutospacing="0"/>
              <w:ind w:firstLine="491"/>
              <w:jc w:val="both"/>
            </w:pPr>
          </w:p>
          <w:tbl>
            <w:tblPr>
              <w:tblpPr w:leftFromText="180" w:rightFromText="180" w:vertAnchor="text" w:horzAnchor="margin" w:tblpXSpec="center" w:tblpY="-71"/>
              <w:tblOverlap w:val="never"/>
              <w:tblW w:w="6259" w:type="dxa"/>
              <w:tblLayout w:type="fixed"/>
              <w:tblCellMar>
                <w:top w:w="15" w:type="dxa"/>
                <w:left w:w="15" w:type="dxa"/>
                <w:bottom w:w="15" w:type="dxa"/>
                <w:right w:w="15" w:type="dxa"/>
              </w:tblCellMar>
              <w:tblLook w:val="04A0" w:firstRow="1" w:lastRow="0" w:firstColumn="1" w:lastColumn="0" w:noHBand="0" w:noVBand="1"/>
            </w:tblPr>
            <w:tblGrid>
              <w:gridCol w:w="3284"/>
              <w:gridCol w:w="1701"/>
              <w:gridCol w:w="1274"/>
            </w:tblGrid>
            <w:tr w:rsidR="00D159D0" w:rsidRPr="00D159D0" w14:paraId="28B97421" w14:textId="77777777" w:rsidTr="00BE7345">
              <w:tc>
                <w:tcPr>
                  <w:tcW w:w="2623" w:type="pct"/>
                  <w:shd w:val="clear" w:color="auto" w:fill="auto"/>
                  <w:tcMar>
                    <w:top w:w="0" w:type="dxa"/>
                    <w:left w:w="0" w:type="dxa"/>
                    <w:bottom w:w="0" w:type="dxa"/>
                    <w:right w:w="0" w:type="dxa"/>
                  </w:tcMar>
                  <w:vAlign w:val="center"/>
                  <w:hideMark/>
                </w:tcPr>
                <w:p w14:paraId="613EF64D" w14:textId="77777777" w:rsidR="00BD2038" w:rsidRPr="00D159D0" w:rsidRDefault="00BD2038" w:rsidP="004976F9">
                  <w:pPr>
                    <w:pStyle w:val="tr"/>
                    <w:spacing w:before="0" w:beforeAutospacing="0" w:after="0" w:afterAutospacing="0"/>
                    <w:ind w:firstLine="491"/>
                    <w:jc w:val="both"/>
                  </w:pPr>
                  <w:r w:rsidRPr="00D159D0">
                    <w:rPr>
                      <w:noProof/>
                    </w:rPr>
                    <w:drawing>
                      <wp:inline distT="0" distB="0" distL="0" distR="0" wp14:anchorId="6650001F" wp14:editId="26217FC7">
                        <wp:extent cx="1447800" cy="207645"/>
                        <wp:effectExtent l="0" t="0" r="0" b="1905"/>
                        <wp:docPr id="1993780113" name="Рисунок 1993780113" descr="https://ips.ligazakon.net/l_flib1.nsf/LookupFiles/GK40721_IMG_310.GIF/$file/GK40721_IMG_310.GIF">
                          <a:hlinkClick xmlns:a="http://schemas.openxmlformats.org/drawingml/2006/main" r:id="rId5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s://ips.ligazakon.net/l_flib1.nsf/LookupFiles/GK40721_IMG_310.GIF/$file/GK40721_IMG_310.GIF">
                                  <a:hlinkClick r:id="rId58" tgtFrame="&quot;_blank&quot;"/>
                                </pic:cNvPr>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1447800" cy="207645"/>
                                </a:xfrm>
                                <a:prstGeom prst="rect">
                                  <a:avLst/>
                                </a:prstGeom>
                                <a:noFill/>
                                <a:ln>
                                  <a:noFill/>
                                </a:ln>
                              </pic:spPr>
                            </pic:pic>
                          </a:graphicData>
                        </a:graphic>
                      </wp:inline>
                    </w:drawing>
                  </w:r>
                </w:p>
              </w:tc>
              <w:tc>
                <w:tcPr>
                  <w:tcW w:w="1359" w:type="pct"/>
                  <w:shd w:val="clear" w:color="auto" w:fill="auto"/>
                  <w:tcMar>
                    <w:top w:w="0" w:type="dxa"/>
                    <w:left w:w="0" w:type="dxa"/>
                    <w:bottom w:w="0" w:type="dxa"/>
                    <w:right w:w="0" w:type="dxa"/>
                  </w:tcMar>
                  <w:vAlign w:val="center"/>
                  <w:hideMark/>
                </w:tcPr>
                <w:p w14:paraId="477BE4CE" w14:textId="77777777" w:rsidR="00BD2038" w:rsidRPr="00D159D0" w:rsidRDefault="00F84FFC" w:rsidP="004976F9">
                  <w:pPr>
                    <w:pStyle w:val="tl"/>
                    <w:spacing w:before="0" w:beforeAutospacing="0" w:after="0" w:afterAutospacing="0"/>
                    <w:ind w:firstLine="491"/>
                    <w:jc w:val="both"/>
                  </w:pPr>
                  <w:hyperlink r:id="rId63" w:tgtFrame="_blank" w:history="1">
                    <w:r w:rsidR="00BD2038" w:rsidRPr="00D159D0">
                      <w:t>, тис. грн,</w:t>
                    </w:r>
                  </w:hyperlink>
                </w:p>
              </w:tc>
              <w:tc>
                <w:tcPr>
                  <w:tcW w:w="1018" w:type="pct"/>
                  <w:shd w:val="clear" w:color="auto" w:fill="auto"/>
                  <w:tcMar>
                    <w:top w:w="0" w:type="dxa"/>
                    <w:left w:w="0" w:type="dxa"/>
                    <w:bottom w:w="0" w:type="dxa"/>
                    <w:right w:w="0" w:type="dxa"/>
                  </w:tcMar>
                  <w:vAlign w:val="center"/>
                  <w:hideMark/>
                </w:tcPr>
                <w:p w14:paraId="77057DD6" w14:textId="77777777" w:rsidR="00BD2038" w:rsidRPr="00D159D0" w:rsidRDefault="00F84FFC" w:rsidP="004976F9">
                  <w:pPr>
                    <w:pStyle w:val="tr"/>
                    <w:spacing w:before="0" w:beforeAutospacing="0" w:after="0" w:afterAutospacing="0"/>
                    <w:ind w:firstLine="491"/>
                    <w:jc w:val="both"/>
                  </w:pPr>
                  <w:hyperlink r:id="rId64" w:tgtFrame="_blank" w:history="1">
                    <w:r w:rsidR="00BD2038" w:rsidRPr="00D159D0">
                      <w:t>(33)</w:t>
                    </w:r>
                  </w:hyperlink>
                </w:p>
              </w:tc>
            </w:tr>
          </w:tbl>
          <w:p w14:paraId="6DA8D35A" w14:textId="77777777" w:rsidR="00BD2038" w:rsidRPr="00D159D0" w:rsidRDefault="00F84FFC" w:rsidP="004976F9">
            <w:pPr>
              <w:pStyle w:val="tj"/>
              <w:shd w:val="clear" w:color="auto" w:fill="FFFFFF"/>
              <w:spacing w:before="0" w:beforeAutospacing="0" w:after="0" w:afterAutospacing="0"/>
              <w:ind w:firstLine="491"/>
              <w:jc w:val="both"/>
              <w:rPr>
                <w:i/>
              </w:rPr>
            </w:pPr>
            <m:oMathPara>
              <m:oMath>
                <m:sSubSup>
                  <m:sSubSupPr>
                    <m:ctrlPr>
                      <w:rPr>
                        <w:rFonts w:ascii="Cambria Math" w:hAnsi="Cambria Math"/>
                        <w:i/>
                      </w:rPr>
                    </m:ctrlPr>
                  </m:sSubSupPr>
                  <m:e>
                    <m:r>
                      <w:rPr>
                        <w:rFonts w:ascii="Cambria Math" w:hAnsi="Cambria Math"/>
                      </w:rPr>
                      <m:t>SAIDI</m:t>
                    </m:r>
                  </m:e>
                  <m:sub>
                    <m:r>
                      <w:rPr>
                        <w:rFonts w:ascii="Cambria Math" w:hAnsi="Cambria Math"/>
                      </w:rPr>
                      <m:t>t-2</m:t>
                    </m:r>
                  </m:sub>
                  <m:sup>
                    <m:r>
                      <w:rPr>
                        <w:rFonts w:ascii="Cambria Math" w:hAnsi="Cambria Math"/>
                      </w:rPr>
                      <m:t>м(с)</m:t>
                    </m:r>
                  </m:sup>
                </m:sSubSup>
                <m:r>
                  <w:rPr>
                    <w:rFonts w:ascii="Cambria Math" w:hAnsi="Cambria Math"/>
                  </w:rPr>
                  <m:t>=</m:t>
                </m:r>
                <m:sSubSup>
                  <m:sSubSupPr>
                    <m:ctrlPr>
                      <w:rPr>
                        <w:rFonts w:ascii="Cambria Math" w:hAnsi="Cambria Math"/>
                        <w:i/>
                      </w:rPr>
                    </m:ctrlPr>
                  </m:sSubSupPr>
                  <m:e>
                    <m:r>
                      <w:rPr>
                        <w:rFonts w:ascii="Cambria Math" w:hAnsi="Cambria Math"/>
                      </w:rPr>
                      <m:t>SAIDI</m:t>
                    </m:r>
                  </m:e>
                  <m:sub>
                    <m:r>
                      <w:rPr>
                        <w:rFonts w:ascii="Cambria Math" w:hAnsi="Cambria Math"/>
                      </w:rPr>
                      <m:t>0</m:t>
                    </m:r>
                  </m:sub>
                  <m:sup>
                    <m:r>
                      <w:rPr>
                        <w:rFonts w:ascii="Cambria Math" w:hAnsi="Cambria Math"/>
                      </w:rPr>
                      <m:t>м(с)</m:t>
                    </m:r>
                  </m:sup>
                </m:sSub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(SAIDI</m:t>
                        </m:r>
                      </m:e>
                      <m:sub>
                        <m:r>
                          <w:rPr>
                            <w:rFonts w:ascii="Cambria Math" w:hAnsi="Cambria Math"/>
                          </w:rPr>
                          <m:t>0</m:t>
                        </m:r>
                      </m:sub>
                      <m:sup>
                        <m:r>
                          <w:rPr>
                            <w:rFonts w:ascii="Cambria Math" w:hAnsi="Cambria Math"/>
                          </w:rPr>
                          <m:t>м(с)</m:t>
                        </m:r>
                      </m:sup>
                    </m:sSubSup>
                    <m:r>
                      <w:rPr>
                        <w:rFonts w:ascii="Cambria Math" w:hAnsi="Cambria Math"/>
                      </w:rPr>
                      <m:t>-</m:t>
                    </m:r>
                    <m:sSubSup>
                      <m:sSubSupPr>
                        <m:ctrlPr>
                          <w:rPr>
                            <w:rFonts w:ascii="Cambria Math" w:hAnsi="Cambria Math"/>
                            <w:i/>
                          </w:rPr>
                        </m:ctrlPr>
                      </m:sSubSupPr>
                      <m:e>
                        <m:r>
                          <w:rPr>
                            <w:rFonts w:ascii="Cambria Math" w:hAnsi="Cambria Math"/>
                          </w:rPr>
                          <m:t>SAIDI</m:t>
                        </m:r>
                      </m:e>
                      <m:sub>
                        <m:r>
                          <w:rPr>
                            <w:rFonts w:ascii="Cambria Math" w:hAnsi="Cambria Math"/>
                          </w:rPr>
                          <m:t>ц</m:t>
                        </m:r>
                      </m:sub>
                      <m:sup>
                        <m:r>
                          <w:rPr>
                            <w:rFonts w:ascii="Cambria Math" w:hAnsi="Cambria Math"/>
                          </w:rPr>
                          <m:t>м(с)</m:t>
                        </m:r>
                      </m:sup>
                    </m:sSubSup>
                    <m:r>
                      <w:rPr>
                        <w:rFonts w:ascii="Cambria Math" w:hAnsi="Cambria Math"/>
                      </w:rPr>
                      <m:t>)</m:t>
                    </m:r>
                  </m:num>
                  <m:den>
                    <m:r>
                      <m:rPr>
                        <m:sty m:val="bi"/>
                      </m:rPr>
                      <w:rPr>
                        <w:rFonts w:ascii="Cambria Math" w:hAnsi="Cambria Math"/>
                      </w:rPr>
                      <m:t>20</m:t>
                    </m:r>
                    <m:r>
                      <w:rPr>
                        <w:rFonts w:ascii="Cambria Math" w:hAnsi="Cambria Math"/>
                      </w:rPr>
                      <m:t>-1</m:t>
                    </m:r>
                  </m:den>
                </m:f>
                <m:r>
                  <w:rPr>
                    <w:rFonts w:ascii="Cambria Math" w:hAnsi="Cambria Math"/>
                  </w:rPr>
                  <m:t xml:space="preserve">  (37)</m:t>
                </m:r>
              </m:oMath>
            </m:oMathPara>
          </w:p>
          <w:p w14:paraId="00C11AD6" w14:textId="77777777" w:rsidR="00BD2038" w:rsidRPr="00D159D0" w:rsidRDefault="00BD2038" w:rsidP="004976F9">
            <w:pPr>
              <w:pStyle w:val="tj"/>
              <w:shd w:val="clear" w:color="auto" w:fill="FFFFFF"/>
              <w:spacing w:before="0" w:beforeAutospacing="0" w:after="0" w:afterAutospacing="0"/>
              <w:ind w:firstLine="491"/>
              <w:jc w:val="both"/>
            </w:pPr>
          </w:p>
          <w:p w14:paraId="0B2F3007" w14:textId="77777777" w:rsidR="00BD2038" w:rsidRPr="00D159D0" w:rsidRDefault="00F84FFC" w:rsidP="004976F9">
            <w:pPr>
              <w:pStyle w:val="rvps2"/>
              <w:shd w:val="clear" w:color="auto" w:fill="FFFFFF"/>
              <w:spacing w:before="0" w:beforeAutospacing="0" w:after="0" w:afterAutospacing="0"/>
              <w:ind w:firstLine="488"/>
              <w:jc w:val="both"/>
              <w:rPr>
                <w:b/>
                <w:bCs/>
                <w:shd w:val="clear" w:color="auto" w:fill="FFFFFF"/>
              </w:rPr>
            </w:pPr>
            <m:oMath>
              <m:sSubSup>
                <m:sSubSupPr>
                  <m:ctrlPr>
                    <w:rPr>
                      <w:rFonts w:ascii="Cambria Math" w:hAnsi="Cambria Math"/>
                      <w:i/>
                    </w:rPr>
                  </m:ctrlPr>
                </m:sSubSupPr>
                <m:e>
                  <m:r>
                    <w:rPr>
                      <w:rFonts w:ascii="Cambria Math" w:hAnsi="Cambria Math"/>
                    </w:rPr>
                    <m:t>SAIDI</m:t>
                  </m:r>
                </m:e>
                <m:sub>
                  <m:r>
                    <w:rPr>
                      <w:rFonts w:ascii="Cambria Math" w:hAnsi="Cambria Math"/>
                    </w:rPr>
                    <m:t>ц</m:t>
                  </m:r>
                </m:sub>
                <m:sup>
                  <m:r>
                    <w:rPr>
                      <w:rFonts w:ascii="Cambria Math" w:hAnsi="Cambria Math"/>
                    </w:rPr>
                    <m:t>м(с)</m:t>
                  </m:r>
                </m:sup>
              </m:sSubSup>
            </m:oMath>
            <w:r w:rsidR="00BD2038" w:rsidRPr="00D159D0">
              <w:t xml:space="preserve"> - </w:t>
            </w:r>
            <w:r w:rsidR="00BD2038" w:rsidRPr="00D159D0">
              <w:rPr>
                <w:shd w:val="clear" w:color="auto" w:fill="FFFFFF"/>
              </w:rPr>
              <w:t xml:space="preserve">цільові показники якості послуг для міської території - 150 хвилин, сільської території - 300 хвилин. </w:t>
            </w:r>
            <w:r w:rsidR="00BD2038" w:rsidRPr="00D159D0">
              <w:rPr>
                <w:b/>
                <w:bCs/>
                <w:shd w:val="clear" w:color="auto" w:fill="FFFFFF"/>
              </w:rPr>
              <w:t>Розподіл за категоріями населених пунктів (міська/сільська території) фіксується на дату встановлення цільових показників якості послуг;</w:t>
            </w:r>
          </w:p>
          <w:p w14:paraId="2C523D6F" w14:textId="77777777" w:rsidR="00BD2038" w:rsidRPr="00D159D0" w:rsidRDefault="00BD2038" w:rsidP="004976F9">
            <w:pPr>
              <w:pStyle w:val="rvps2"/>
              <w:shd w:val="clear" w:color="auto" w:fill="FFFFFF"/>
              <w:spacing w:before="0" w:beforeAutospacing="0" w:after="0" w:afterAutospacing="0"/>
              <w:ind w:firstLine="488"/>
              <w:jc w:val="both"/>
              <w:rPr>
                <w:shd w:val="clear" w:color="auto" w:fill="FFFFFF"/>
              </w:rPr>
            </w:pPr>
          </w:p>
          <w:p w14:paraId="6A0B95D7" w14:textId="77777777" w:rsidR="00BD2038" w:rsidRPr="00D159D0" w:rsidRDefault="00BD2038" w:rsidP="004976F9">
            <w:pPr>
              <w:pStyle w:val="rvps2"/>
              <w:shd w:val="clear" w:color="auto" w:fill="FFFFFF"/>
              <w:spacing w:before="0" w:beforeAutospacing="0" w:after="0" w:afterAutospacing="0"/>
              <w:ind w:firstLine="488"/>
              <w:jc w:val="both"/>
              <w:rPr>
                <w:shd w:val="clear" w:color="auto" w:fill="FFFFFF"/>
              </w:rPr>
            </w:pPr>
            <w:r w:rsidRPr="00D159D0">
              <w:rPr>
                <w:shd w:val="clear" w:color="auto" w:fill="FFFFFF"/>
              </w:rPr>
              <w:t>20 - номер року, починаючи з 2021 року, у якому має бути досягнутий цільовий показник якості послуг.</w:t>
            </w:r>
          </w:p>
          <w:p w14:paraId="59803860" w14:textId="77777777" w:rsidR="00BD2038" w:rsidRPr="00D159D0" w:rsidRDefault="00BD2038" w:rsidP="004976F9">
            <w:pPr>
              <w:pStyle w:val="tj"/>
              <w:shd w:val="clear" w:color="auto" w:fill="FFFFFF"/>
              <w:spacing w:before="0" w:beforeAutospacing="0" w:after="0" w:afterAutospacing="0"/>
              <w:ind w:firstLine="491"/>
              <w:jc w:val="both"/>
            </w:pPr>
            <w:r w:rsidRPr="00D159D0">
              <w:t>……………………………..</w:t>
            </w:r>
          </w:p>
          <w:p w14:paraId="26FFA62D" w14:textId="77777777" w:rsidR="00C31D31" w:rsidRPr="00D159D0" w:rsidRDefault="00BD2038" w:rsidP="00C31D31">
            <w:pPr>
              <w:jc w:val="both"/>
              <w:rPr>
                <w:b/>
                <w:bCs/>
                <w:lang w:val="uk-UA"/>
              </w:rPr>
            </w:pPr>
            <w:r w:rsidRPr="00D159D0">
              <w:rPr>
                <w:b/>
                <w:bCs/>
                <w:lang w:val="uk-UA"/>
              </w:rPr>
              <w:t>Коригування необхідного доходу відповідно до даних виконання цільового завдання щодо досягнення показників якості послуг за 2022, 2023 та 2024 не застосовується.</w:t>
            </w:r>
          </w:p>
        </w:tc>
        <w:tc>
          <w:tcPr>
            <w:tcW w:w="3544" w:type="dxa"/>
          </w:tcPr>
          <w:p w14:paraId="373EF178" w14:textId="77777777" w:rsidR="00607C3C" w:rsidRPr="00D159D0" w:rsidRDefault="00607C3C" w:rsidP="00607C3C">
            <w:pPr>
              <w:jc w:val="both"/>
              <w:rPr>
                <w:b/>
                <w:bCs/>
                <w:lang w:val="uk-UA"/>
              </w:rPr>
            </w:pPr>
            <w:r w:rsidRPr="00D159D0">
              <w:rPr>
                <w:b/>
                <w:bCs/>
                <w:lang w:val="uk-UA"/>
              </w:rPr>
              <w:lastRenderedPageBreak/>
              <w:t>Прийнято до відома</w:t>
            </w:r>
          </w:p>
          <w:p w14:paraId="5075719B" w14:textId="77777777" w:rsidR="006B3310" w:rsidRPr="00D159D0" w:rsidRDefault="006B3310" w:rsidP="006B3310">
            <w:pPr>
              <w:shd w:val="clear" w:color="auto" w:fill="FFFFFF"/>
              <w:jc w:val="both"/>
              <w:rPr>
                <w:b/>
                <w:bCs/>
                <w:u w:val="single"/>
                <w:lang w:val="uk-UA" w:eastAsia="uk-UA"/>
              </w:rPr>
            </w:pPr>
          </w:p>
          <w:p w14:paraId="005B70E8" w14:textId="77777777" w:rsidR="006B3310" w:rsidRPr="00D159D0" w:rsidRDefault="006B3310" w:rsidP="006B3310">
            <w:pPr>
              <w:shd w:val="clear" w:color="auto" w:fill="FFFFFF"/>
              <w:jc w:val="both"/>
              <w:rPr>
                <w:b/>
                <w:bCs/>
                <w:u w:val="single"/>
                <w:lang w:val="uk-UA" w:eastAsia="uk-UA"/>
              </w:rPr>
            </w:pPr>
          </w:p>
          <w:p w14:paraId="5E6DC797" w14:textId="77777777" w:rsidR="006B3310" w:rsidRPr="00D159D0" w:rsidRDefault="006B3310" w:rsidP="006B3310">
            <w:pPr>
              <w:shd w:val="clear" w:color="auto" w:fill="FFFFFF"/>
              <w:jc w:val="both"/>
              <w:rPr>
                <w:b/>
                <w:bCs/>
                <w:u w:val="single"/>
                <w:lang w:val="uk-UA" w:eastAsia="uk-UA"/>
              </w:rPr>
            </w:pPr>
          </w:p>
          <w:p w14:paraId="6817433C" w14:textId="77777777" w:rsidR="006B3310" w:rsidRPr="00D159D0" w:rsidRDefault="006B3310" w:rsidP="006B3310">
            <w:pPr>
              <w:shd w:val="clear" w:color="auto" w:fill="FFFFFF"/>
              <w:jc w:val="both"/>
              <w:rPr>
                <w:b/>
                <w:bCs/>
                <w:u w:val="single"/>
                <w:lang w:val="uk-UA" w:eastAsia="uk-UA"/>
              </w:rPr>
            </w:pPr>
          </w:p>
          <w:p w14:paraId="15C6FD39" w14:textId="77777777" w:rsidR="006B3310" w:rsidRPr="00D159D0" w:rsidRDefault="006B3310" w:rsidP="006B3310">
            <w:pPr>
              <w:shd w:val="clear" w:color="auto" w:fill="FFFFFF"/>
              <w:jc w:val="both"/>
              <w:rPr>
                <w:b/>
                <w:bCs/>
                <w:u w:val="single"/>
                <w:lang w:val="uk-UA" w:eastAsia="uk-UA"/>
              </w:rPr>
            </w:pPr>
          </w:p>
          <w:p w14:paraId="5FEAD1E3" w14:textId="77777777" w:rsidR="006B3310" w:rsidRPr="00D159D0" w:rsidRDefault="006B3310" w:rsidP="006B3310">
            <w:pPr>
              <w:shd w:val="clear" w:color="auto" w:fill="FFFFFF"/>
              <w:jc w:val="both"/>
              <w:rPr>
                <w:b/>
                <w:bCs/>
                <w:u w:val="single"/>
                <w:lang w:val="uk-UA" w:eastAsia="uk-UA"/>
              </w:rPr>
            </w:pPr>
          </w:p>
          <w:p w14:paraId="750E85AB" w14:textId="77777777" w:rsidR="006B3310" w:rsidRPr="00D159D0" w:rsidRDefault="006B3310" w:rsidP="006B3310">
            <w:pPr>
              <w:widowControl w:val="0"/>
              <w:suppressAutoHyphens/>
              <w:ind w:hanging="49"/>
              <w:contextualSpacing/>
              <w:jc w:val="both"/>
              <w:rPr>
                <w:b/>
                <w:bCs/>
                <w:lang w:val="uk-UA"/>
              </w:rPr>
            </w:pPr>
            <w:r w:rsidRPr="00D159D0">
              <w:rPr>
                <w:b/>
                <w:bCs/>
                <w:lang w:val="uk-UA"/>
              </w:rPr>
              <w:t>Не враховано</w:t>
            </w:r>
          </w:p>
          <w:p w14:paraId="492AD8BF" w14:textId="77777777" w:rsidR="006B3310" w:rsidRPr="00D159D0" w:rsidRDefault="006B3310" w:rsidP="006B3310">
            <w:pPr>
              <w:widowControl w:val="0"/>
              <w:suppressAutoHyphens/>
              <w:ind w:hanging="49"/>
              <w:contextualSpacing/>
              <w:jc w:val="both"/>
              <w:rPr>
                <w:lang w:val="uk-UA"/>
              </w:rPr>
            </w:pPr>
            <w:r w:rsidRPr="00D159D0">
              <w:rPr>
                <w:b/>
                <w:bCs/>
                <w:lang w:val="uk-UA"/>
              </w:rPr>
              <w:t>Недостатньо обґрунтована пропозиція</w:t>
            </w:r>
          </w:p>
          <w:p w14:paraId="4C87D829" w14:textId="5FD618AA" w:rsidR="00AD2A16" w:rsidRPr="00D159D0" w:rsidRDefault="00E16EE1" w:rsidP="006B3310">
            <w:pPr>
              <w:widowControl w:val="0"/>
              <w:suppressAutoHyphens/>
              <w:contextualSpacing/>
              <w:jc w:val="both"/>
              <w:rPr>
                <w:lang w:val="uk-UA"/>
              </w:rPr>
            </w:pPr>
            <w:r w:rsidRPr="00D159D0">
              <w:rPr>
                <w:lang w:val="uk-UA"/>
              </w:rPr>
              <w:t>Д</w:t>
            </w:r>
            <w:r w:rsidR="006B3310" w:rsidRPr="00D159D0">
              <w:rPr>
                <w:lang w:val="uk-UA"/>
              </w:rPr>
              <w:t>осягнення встановлених цільових показників якості послуг є необхідною умовою надійного функціонування всіх галузей економіки України, військово-промислового комплексу, соціальних потреб населення тощо.</w:t>
            </w:r>
          </w:p>
          <w:p w14:paraId="4DBB46C2" w14:textId="267B21C0" w:rsidR="00DC2C9C" w:rsidRPr="00D159D0" w:rsidRDefault="00DC2C9C" w:rsidP="006B3310">
            <w:pPr>
              <w:widowControl w:val="0"/>
              <w:suppressAutoHyphens/>
              <w:contextualSpacing/>
              <w:jc w:val="both"/>
              <w:rPr>
                <w:lang w:val="uk-UA"/>
              </w:rPr>
            </w:pPr>
          </w:p>
          <w:p w14:paraId="73DF89EC" w14:textId="52C8F5F0" w:rsidR="006B2C84" w:rsidRPr="00D159D0" w:rsidRDefault="006B2C84" w:rsidP="006B2C84">
            <w:pPr>
              <w:pStyle w:val="tj"/>
              <w:shd w:val="clear" w:color="auto" w:fill="FFFFFF"/>
              <w:spacing w:before="0" w:beforeAutospacing="0" w:after="0" w:afterAutospacing="0"/>
              <w:ind w:firstLine="491"/>
              <w:jc w:val="both"/>
              <w:rPr>
                <w:b/>
                <w:bCs/>
              </w:rPr>
            </w:pPr>
            <w:r w:rsidRPr="00D159D0">
              <w:rPr>
                <w:b/>
                <w:bCs/>
              </w:rPr>
              <w:t>Крім того пропонується після абзацу «</w:t>
            </w:r>
            <w:r w:rsidRPr="00D159D0">
              <w:rPr>
                <w:b/>
                <w:i/>
                <w:iCs/>
              </w:rPr>
              <w:t>20</w:t>
            </w:r>
            <w:r w:rsidRPr="00D159D0">
              <w:rPr>
                <w:i/>
                <w:iCs/>
              </w:rPr>
              <w:t xml:space="preserve"> - </w:t>
            </w:r>
            <w:r w:rsidRPr="00D159D0">
              <w:rPr>
                <w:i/>
                <w:iCs/>
                <w:shd w:val="clear" w:color="auto" w:fill="FFFFFF"/>
              </w:rPr>
              <w:t>номер року, починаючи з 2021 року, у якому має бути досягнутий цільовий показник якості послуг.»</w:t>
            </w:r>
            <w:r w:rsidRPr="00D159D0">
              <w:rPr>
                <w:shd w:val="clear" w:color="auto" w:fill="FFFFFF"/>
              </w:rPr>
              <w:t xml:space="preserve"> </w:t>
            </w:r>
            <w:r w:rsidRPr="00D159D0">
              <w:rPr>
                <w:b/>
                <w:bCs/>
                <w:shd w:val="clear" w:color="auto" w:fill="FFFFFF"/>
              </w:rPr>
              <w:t>доповнити новим абзацом у такій редакції</w:t>
            </w:r>
            <w:r w:rsidRPr="00D159D0">
              <w:rPr>
                <w:shd w:val="clear" w:color="auto" w:fill="FFFFFF"/>
              </w:rPr>
              <w:t>:</w:t>
            </w:r>
          </w:p>
          <w:p w14:paraId="72CE37D2" w14:textId="688D81D6" w:rsidR="006B2C84" w:rsidRPr="00D159D0" w:rsidRDefault="006B2C84" w:rsidP="006B2C84">
            <w:pPr>
              <w:pStyle w:val="rvps2"/>
              <w:shd w:val="clear" w:color="auto" w:fill="FFFFFF"/>
              <w:spacing w:before="0" w:beforeAutospacing="0" w:after="0" w:afterAutospacing="0"/>
              <w:ind w:firstLine="488"/>
              <w:jc w:val="both"/>
              <w:rPr>
                <w:b/>
                <w:bCs/>
                <w:shd w:val="clear" w:color="auto" w:fill="FFFFFF"/>
              </w:rPr>
            </w:pPr>
            <w:r w:rsidRPr="00D159D0">
              <w:rPr>
                <w:b/>
                <w:bCs/>
                <w:shd w:val="clear" w:color="auto" w:fill="FFFFFF"/>
              </w:rPr>
              <w:t xml:space="preserve">«Розподіл населених пунктів за ознакою територіального поділу </w:t>
            </w:r>
            <w:r w:rsidRPr="00D159D0">
              <w:rPr>
                <w:b/>
                <w:bCs/>
                <w:shd w:val="clear" w:color="auto" w:fill="FFFFFF"/>
              </w:rPr>
              <w:lastRenderedPageBreak/>
              <w:t xml:space="preserve">(міська/сільська території) фіксується </w:t>
            </w:r>
            <w:r w:rsidR="008D5040" w:rsidRPr="00D159D0">
              <w:rPr>
                <w:b/>
                <w:bCs/>
                <w:shd w:val="clear" w:color="auto" w:fill="FFFFFF"/>
              </w:rPr>
              <w:t>станом на 01.01.</w:t>
            </w:r>
            <w:r w:rsidRPr="00D159D0">
              <w:rPr>
                <w:b/>
                <w:bCs/>
                <w:shd w:val="clear" w:color="auto" w:fill="FFFFFF"/>
              </w:rPr>
              <w:t>2021</w:t>
            </w:r>
            <w:r w:rsidR="008D5040" w:rsidRPr="00D159D0">
              <w:rPr>
                <w:b/>
                <w:bCs/>
                <w:shd w:val="clear" w:color="auto" w:fill="FFFFFF"/>
              </w:rPr>
              <w:t>.</w:t>
            </w:r>
            <w:r w:rsidRPr="00D159D0">
              <w:rPr>
                <w:b/>
                <w:bCs/>
                <w:shd w:val="clear" w:color="auto" w:fill="FFFFFF"/>
              </w:rPr>
              <w:t>».</w:t>
            </w:r>
          </w:p>
          <w:p w14:paraId="0163E6A6" w14:textId="77777777" w:rsidR="006B2C84" w:rsidRPr="00D159D0" w:rsidRDefault="006B2C84" w:rsidP="006B2C84">
            <w:pPr>
              <w:pStyle w:val="tj"/>
              <w:shd w:val="clear" w:color="auto" w:fill="FFFFFF"/>
              <w:spacing w:before="0" w:beforeAutospacing="0" w:after="0" w:afterAutospacing="0"/>
              <w:ind w:firstLine="491"/>
              <w:jc w:val="both"/>
              <w:rPr>
                <w:shd w:val="clear" w:color="auto" w:fill="FFFFFF"/>
              </w:rPr>
            </w:pPr>
          </w:p>
          <w:p w14:paraId="6E965E13" w14:textId="6143B57A" w:rsidR="00DC2C9C" w:rsidRPr="00D159D0" w:rsidRDefault="00932A37" w:rsidP="00932A37">
            <w:pPr>
              <w:pStyle w:val="rvps2"/>
              <w:spacing w:before="0" w:beforeAutospacing="0" w:after="0" w:afterAutospacing="0"/>
              <w:jc w:val="both"/>
              <w:rPr>
                <w:b/>
                <w:bCs/>
              </w:rPr>
            </w:pPr>
            <w:r w:rsidRPr="00D159D0">
              <w:rPr>
                <w:b/>
                <w:bCs/>
              </w:rPr>
              <w:t>Додатково пропонується</w:t>
            </w:r>
            <w:r w:rsidR="00DC2C9C" w:rsidRPr="00D159D0">
              <w:rPr>
                <w:b/>
                <w:bCs/>
              </w:rPr>
              <w:t xml:space="preserve"> виправлення технічної помилки </w:t>
            </w:r>
            <w:r w:rsidRPr="00D159D0">
              <w:rPr>
                <w:b/>
                <w:bCs/>
              </w:rPr>
              <w:t xml:space="preserve">у </w:t>
            </w:r>
            <w:r w:rsidR="00DC2C9C" w:rsidRPr="00D159D0">
              <w:rPr>
                <w:b/>
                <w:bCs/>
              </w:rPr>
              <w:t>Додат</w:t>
            </w:r>
            <w:r w:rsidRPr="00D159D0">
              <w:rPr>
                <w:b/>
                <w:bCs/>
              </w:rPr>
              <w:t>ку</w:t>
            </w:r>
            <w:r w:rsidR="00DC2C9C" w:rsidRPr="00D159D0">
              <w:rPr>
                <w:b/>
                <w:bCs/>
              </w:rPr>
              <w:t xml:space="preserve"> 25 до Порядку встановлення (формування) тарифів на послуги з розподілу електричної енергії «Розрахунок цільового завдання щодо досягнення показників якості послуг з розподілу електричної енергії з _______ року до _______ року» </w:t>
            </w:r>
            <w:r w:rsidRPr="00D159D0">
              <w:rPr>
                <w:b/>
                <w:bCs/>
              </w:rPr>
              <w:t>шляхом його викладення</w:t>
            </w:r>
            <w:r w:rsidR="00DC2C9C" w:rsidRPr="00D159D0">
              <w:rPr>
                <w:b/>
                <w:bCs/>
              </w:rPr>
              <w:t xml:space="preserve"> у новій редакції.</w:t>
            </w:r>
          </w:p>
        </w:tc>
      </w:tr>
      <w:tr w:rsidR="00D159D0" w:rsidRPr="00D159D0" w14:paraId="031ECC3F" w14:textId="77777777" w:rsidTr="00EE26FC">
        <w:tc>
          <w:tcPr>
            <w:tcW w:w="5665" w:type="dxa"/>
          </w:tcPr>
          <w:p w14:paraId="4093222E" w14:textId="77777777" w:rsidR="00BE7345" w:rsidRPr="00D159D0" w:rsidRDefault="00BE7345" w:rsidP="004976F9">
            <w:pPr>
              <w:pStyle w:val="tj"/>
              <w:shd w:val="clear" w:color="auto" w:fill="FFFFFF"/>
              <w:spacing w:before="0" w:beforeAutospacing="0" w:after="0" w:afterAutospacing="0"/>
              <w:ind w:firstLine="491"/>
              <w:jc w:val="both"/>
            </w:pPr>
            <w:r w:rsidRPr="00D159D0">
              <w:lastRenderedPageBreak/>
              <w:t>Глава 8</w:t>
            </w:r>
          </w:p>
          <w:p w14:paraId="67931C5F" w14:textId="77777777" w:rsidR="00BE7345" w:rsidRPr="00D159D0" w:rsidRDefault="00BE7345" w:rsidP="004976F9">
            <w:pPr>
              <w:pStyle w:val="tj"/>
              <w:shd w:val="clear" w:color="auto" w:fill="FFFFFF"/>
              <w:spacing w:before="0" w:beforeAutospacing="0" w:after="0" w:afterAutospacing="0"/>
              <w:ind w:firstLine="491"/>
              <w:jc w:val="both"/>
            </w:pPr>
            <w:r w:rsidRPr="00D159D0">
              <w:t>8.1. Тариф на послуги з розподілу електричної енергії розраховується для споживачів </w:t>
            </w:r>
            <w:hyperlink r:id="rId65" w:tgtFrame="_blank" w:history="1">
              <w:r w:rsidRPr="00D159D0">
                <w:t>та операторів установок зберігання енергії </w:t>
              </w:r>
            </w:hyperlink>
            <w:r w:rsidRPr="00D159D0">
              <w:t>відповідного класу напруги.</w:t>
            </w:r>
          </w:p>
          <w:p w14:paraId="11B4444D" w14:textId="77777777" w:rsidR="00BE7345" w:rsidRPr="00D159D0" w:rsidRDefault="00BE7345" w:rsidP="004976F9">
            <w:pPr>
              <w:pStyle w:val="tj"/>
              <w:shd w:val="clear" w:color="auto" w:fill="FFFFFF"/>
              <w:spacing w:before="0" w:beforeAutospacing="0" w:after="0" w:afterAutospacing="0"/>
              <w:ind w:firstLine="491"/>
              <w:jc w:val="both"/>
            </w:pPr>
            <w:r w:rsidRPr="00D159D0">
              <w:t>………………………………</w:t>
            </w:r>
          </w:p>
          <w:p w14:paraId="4BAD0501" w14:textId="77777777" w:rsidR="00BE7345" w:rsidRPr="00D159D0" w:rsidRDefault="00BE7345" w:rsidP="004976F9">
            <w:pPr>
              <w:pStyle w:val="tj"/>
              <w:shd w:val="clear" w:color="auto" w:fill="FFFFFF"/>
              <w:spacing w:before="0" w:beforeAutospacing="0" w:after="0" w:afterAutospacing="0"/>
              <w:ind w:firstLine="491"/>
              <w:jc w:val="both"/>
            </w:pPr>
            <w:r w:rsidRPr="00D159D0">
              <w:t>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66" w:tgtFrame="_blank" w:history="1">
              <w:r w:rsidRPr="00D159D0">
                <w:t>, віднесених до відповідного класу</w:t>
              </w:r>
            </w:hyperlink>
            <w:r w:rsidRPr="00D159D0">
              <w:t> напруги.</w:t>
            </w:r>
          </w:p>
          <w:p w14:paraId="47A5D8B2" w14:textId="77777777" w:rsidR="00AD2A16" w:rsidRPr="00D159D0" w:rsidRDefault="00BE7345" w:rsidP="004976F9">
            <w:pPr>
              <w:jc w:val="both"/>
              <w:rPr>
                <w:b/>
                <w:bCs/>
                <w:lang w:val="uk-UA"/>
              </w:rPr>
            </w:pPr>
            <w:r w:rsidRPr="00D159D0">
              <w:rPr>
                <w:lang w:val="uk-UA" w:eastAsia="uk-UA"/>
              </w:rPr>
              <w:t xml:space="preserve">Для ліцензіатів, перелік яких наведено в додатку 30 до цього Порядку, на 2024 </w:t>
            </w:r>
            <w:r w:rsidRPr="00D159D0">
              <w:rPr>
                <w:b/>
                <w:lang w:val="uk-UA" w:eastAsia="uk-UA"/>
              </w:rPr>
              <w:t>та 2025 роки</w:t>
            </w:r>
            <w:r w:rsidRPr="00D159D0">
              <w:rPr>
                <w:lang w:val="uk-UA" w:eastAsia="uk-UA"/>
              </w:rPr>
              <w:t xml:space="preserve"> співвідношення кількості умовних одиниць </w:t>
            </w:r>
            <w:r w:rsidRPr="00D159D0">
              <w:rPr>
                <w:lang w:val="uk-UA" w:eastAsia="uk-UA"/>
              </w:rPr>
              <w:lastRenderedPageBreak/>
              <w:t xml:space="preserve">енергетичного обладнання на 1 та 2 класах напруги фіксується на рівні, врахованому в тарифах </w:t>
            </w:r>
            <w:r w:rsidRPr="00D159D0">
              <w:rPr>
                <w:b/>
                <w:lang w:val="uk-UA" w:eastAsia="uk-UA"/>
              </w:rPr>
              <w:t>2023 року.</w:t>
            </w:r>
          </w:p>
        </w:tc>
        <w:tc>
          <w:tcPr>
            <w:tcW w:w="5954" w:type="dxa"/>
          </w:tcPr>
          <w:p w14:paraId="4076FCA1" w14:textId="77777777" w:rsidR="00BE7345" w:rsidRPr="00D159D0" w:rsidRDefault="00BE7345" w:rsidP="004976F9">
            <w:pPr>
              <w:jc w:val="both"/>
              <w:rPr>
                <w:b/>
                <w:lang w:val="uk-UA"/>
              </w:rPr>
            </w:pPr>
            <w:r w:rsidRPr="00D159D0">
              <w:rPr>
                <w:b/>
                <w:lang w:val="uk-UA"/>
              </w:rPr>
              <w:lastRenderedPageBreak/>
              <w:t>ТОВ «ДТЕК ВИСОКОВОЛЬТНІ МЕРЕЖІ» лист від 17.07.2024 № 08-61/935</w:t>
            </w:r>
          </w:p>
          <w:p w14:paraId="2FC68FC5" w14:textId="77777777" w:rsidR="00BE7345" w:rsidRPr="00D159D0" w:rsidRDefault="00BE7345" w:rsidP="004976F9">
            <w:pPr>
              <w:jc w:val="both"/>
              <w:rPr>
                <w:b/>
                <w:lang w:val="uk-UA"/>
              </w:rPr>
            </w:pPr>
            <w:r w:rsidRPr="00D159D0">
              <w:rPr>
                <w:b/>
                <w:lang w:val="uk-UA"/>
              </w:rPr>
              <w:t>АТ «ДТЕК ДОНЕЦЬКІ ЕЛЕКТРОМЕРЕЖІ» лист від 17.07.2024 № 06/9956</w:t>
            </w:r>
          </w:p>
          <w:p w14:paraId="6F8645E4"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0D34270E" w14:textId="6E01211F" w:rsidR="00BE7345" w:rsidRPr="00D159D0" w:rsidRDefault="00BE7345" w:rsidP="004976F9">
            <w:pPr>
              <w:pStyle w:val="tj"/>
              <w:shd w:val="clear" w:color="auto" w:fill="FFFFFF"/>
              <w:spacing w:before="0" w:beforeAutospacing="0" w:after="0" w:afterAutospacing="0"/>
              <w:ind w:firstLine="491"/>
              <w:jc w:val="both"/>
            </w:pPr>
            <w:r w:rsidRPr="00D159D0">
              <w:rPr>
                <w:shd w:val="clear" w:color="auto" w:fill="FFFFFF"/>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r w:rsidR="00AF06D9" w:rsidRPr="00D159D0">
              <w:rPr>
                <w:shd w:val="clear" w:color="auto" w:fill="FFFFFF"/>
              </w:rPr>
              <w:t xml:space="preserve"> </w:t>
            </w:r>
            <w:r w:rsidRPr="00D159D0">
              <w:t>Глава 8</w:t>
            </w:r>
          </w:p>
          <w:p w14:paraId="24CAF4DE" w14:textId="77777777" w:rsidR="00BE7345" w:rsidRPr="00D159D0" w:rsidRDefault="00BE7345" w:rsidP="004976F9">
            <w:pPr>
              <w:pStyle w:val="tj"/>
              <w:shd w:val="clear" w:color="auto" w:fill="FFFFFF"/>
              <w:spacing w:before="0" w:beforeAutospacing="0" w:after="0" w:afterAutospacing="0"/>
              <w:ind w:firstLine="491"/>
              <w:jc w:val="both"/>
            </w:pPr>
            <w:r w:rsidRPr="00D159D0">
              <w:t>8.1. Тариф на послуги з розподілу електричної енергії розраховується для споживачів </w:t>
            </w:r>
            <w:hyperlink r:id="rId67" w:tgtFrame="_blank" w:history="1">
              <w:r w:rsidRPr="00D159D0">
                <w:t>та операторів установок зберігання енергії </w:t>
              </w:r>
            </w:hyperlink>
            <w:r w:rsidRPr="00D159D0">
              <w:t>відповідного класу напруги.</w:t>
            </w:r>
          </w:p>
          <w:p w14:paraId="1920A5A5" w14:textId="77777777" w:rsidR="00BE7345" w:rsidRPr="00D159D0" w:rsidRDefault="00BE7345" w:rsidP="004976F9">
            <w:pPr>
              <w:pStyle w:val="tj"/>
              <w:shd w:val="clear" w:color="auto" w:fill="FFFFFF"/>
              <w:spacing w:before="0" w:beforeAutospacing="0" w:after="0" w:afterAutospacing="0"/>
              <w:ind w:firstLine="491"/>
              <w:jc w:val="both"/>
            </w:pPr>
            <w:r w:rsidRPr="00D159D0">
              <w:t>………………………………</w:t>
            </w:r>
          </w:p>
          <w:p w14:paraId="147F58E0" w14:textId="77777777" w:rsidR="00BE7345" w:rsidRPr="00D159D0" w:rsidRDefault="00BE7345" w:rsidP="004976F9">
            <w:pPr>
              <w:pStyle w:val="tj"/>
              <w:shd w:val="clear" w:color="auto" w:fill="FFFFFF"/>
              <w:spacing w:before="0" w:beforeAutospacing="0" w:after="0" w:afterAutospacing="0"/>
              <w:ind w:firstLine="491"/>
              <w:jc w:val="both"/>
            </w:pPr>
            <w:r w:rsidRPr="00D159D0">
              <w:t xml:space="preserve">Базою розподілу прогнозованих витрат/прогнозованого необхідного доходу (за винятком вартості витрат, пов'язаних із закупівлею </w:t>
            </w:r>
            <w:r w:rsidRPr="00D159D0">
              <w:lastRenderedPageBreak/>
              <w:t>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68" w:tgtFrame="_blank" w:history="1">
              <w:r w:rsidRPr="00D159D0">
                <w:t>, віднесених до відповідного класу</w:t>
              </w:r>
            </w:hyperlink>
            <w:r w:rsidRPr="00D159D0">
              <w:t> напруги.</w:t>
            </w:r>
          </w:p>
          <w:p w14:paraId="74814A1C" w14:textId="77777777" w:rsidR="00BE7345" w:rsidRPr="00D159D0" w:rsidRDefault="00BE7345" w:rsidP="004976F9">
            <w:pPr>
              <w:pStyle w:val="tj"/>
              <w:shd w:val="clear" w:color="auto" w:fill="FFFFFF"/>
              <w:spacing w:before="0" w:beforeAutospacing="0" w:after="0" w:afterAutospacing="0"/>
              <w:ind w:firstLine="491"/>
              <w:jc w:val="both"/>
              <w:rPr>
                <w:b/>
              </w:rPr>
            </w:pPr>
            <w:r w:rsidRPr="00D159D0">
              <w:t xml:space="preserve">Для ліцензіатів, перелік яких наведено в додатку 30 до цього Порядку, на 2024 співвідношення кількості умовних одиниць енергетичного обладнання на 1 та 2 класах напруги фіксується на рівні, врахованому в тарифах </w:t>
            </w:r>
            <w:r w:rsidRPr="00D159D0">
              <w:rPr>
                <w:b/>
              </w:rPr>
              <w:t>2023 року;</w:t>
            </w:r>
          </w:p>
          <w:p w14:paraId="1F0511FB" w14:textId="77777777" w:rsidR="00AD2A16" w:rsidRPr="00D159D0" w:rsidRDefault="00BE7345" w:rsidP="004976F9">
            <w:pPr>
              <w:jc w:val="both"/>
              <w:rPr>
                <w:b/>
                <w:bCs/>
                <w:lang w:val="uk-UA"/>
              </w:rPr>
            </w:pPr>
            <w:r w:rsidRPr="00D159D0">
              <w:rPr>
                <w:b/>
                <w:lang w:val="uk-UA"/>
              </w:rPr>
              <w:t>На 2025 рік для ліцензіатів, перелік яких наведено в додатку 30 до цього Порядку базою розподілу прогнозованих витрат/прогнозованого необхідного доходу (за винятком вартості витрат, пов'язаних із закупівлею електричної енергії з метою компенсації технологічних витрат електричної енергії на її розподіл) від здійснення діяльності з розподілу за класами напруги є кількість умовних одиниць енергетичного обладнання</w:t>
            </w:r>
            <w:hyperlink r:id="rId69" w:tgtFrame="_blank" w:history="1">
              <w:r w:rsidRPr="00D159D0">
                <w:rPr>
                  <w:b/>
                  <w:lang w:val="uk-UA"/>
                </w:rPr>
                <w:t>, віднесених до відповідного класу</w:t>
              </w:r>
            </w:hyperlink>
            <w:r w:rsidRPr="00D159D0">
              <w:rPr>
                <w:b/>
                <w:lang w:val="uk-UA"/>
              </w:rPr>
              <w:t xml:space="preserve"> напруги за виключенням умовних одиниць обладнання, </w:t>
            </w:r>
            <w:r w:rsidRPr="00D159D0">
              <w:rPr>
                <w:rStyle w:val="a9"/>
                <w:lang w:val="uk-UA"/>
              </w:rPr>
              <w:t xml:space="preserve"> що знаходяться на територіях за якими тимчасово втрачено контроль.</w:t>
            </w:r>
          </w:p>
        </w:tc>
        <w:tc>
          <w:tcPr>
            <w:tcW w:w="3544" w:type="dxa"/>
          </w:tcPr>
          <w:p w14:paraId="3DF3248A" w14:textId="77777777" w:rsidR="00AF06D9" w:rsidRPr="00D159D0" w:rsidRDefault="00AF06D9" w:rsidP="00AF06D9">
            <w:pPr>
              <w:jc w:val="both"/>
              <w:rPr>
                <w:b/>
                <w:bCs/>
                <w:lang w:val="uk-UA"/>
              </w:rPr>
            </w:pPr>
            <w:r w:rsidRPr="00D159D0">
              <w:rPr>
                <w:b/>
                <w:bCs/>
                <w:lang w:val="uk-UA"/>
              </w:rPr>
              <w:lastRenderedPageBreak/>
              <w:t>Загальна позиція</w:t>
            </w:r>
          </w:p>
          <w:p w14:paraId="33CD9514" w14:textId="77777777" w:rsidR="00AF06D9" w:rsidRPr="00D159D0" w:rsidRDefault="00AF06D9" w:rsidP="00AF06D9">
            <w:pPr>
              <w:widowControl w:val="0"/>
              <w:suppressAutoHyphens/>
              <w:contextualSpacing/>
              <w:jc w:val="both"/>
              <w:rPr>
                <w:b/>
                <w:bCs/>
                <w:lang w:val="uk-UA"/>
              </w:rPr>
            </w:pPr>
            <w:r w:rsidRPr="00D159D0">
              <w:rPr>
                <w:b/>
                <w:bCs/>
                <w:lang w:val="uk-UA"/>
              </w:rPr>
              <w:t>Не враховується</w:t>
            </w:r>
          </w:p>
          <w:p w14:paraId="69DDF577" w14:textId="45A7A1F6" w:rsidR="00AD2A16" w:rsidRPr="00D159D0" w:rsidRDefault="00B85FC5" w:rsidP="00AF06D9">
            <w:pPr>
              <w:widowControl w:val="0"/>
              <w:suppressAutoHyphens/>
              <w:jc w:val="both"/>
              <w:rPr>
                <w:b/>
                <w:bCs/>
                <w:lang w:val="uk-UA"/>
              </w:rPr>
            </w:pPr>
            <w:r w:rsidRPr="00D159D0">
              <w:rPr>
                <w:b/>
                <w:lang w:val="uk-UA"/>
              </w:rPr>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tc>
      </w:tr>
      <w:tr w:rsidR="00D159D0" w:rsidRPr="00D159D0" w14:paraId="04F1CB16" w14:textId="77777777" w:rsidTr="00EE26FC">
        <w:tc>
          <w:tcPr>
            <w:tcW w:w="5665" w:type="dxa"/>
          </w:tcPr>
          <w:p w14:paraId="4F8E4395" w14:textId="77777777" w:rsidR="00BE7345" w:rsidRPr="00D159D0" w:rsidRDefault="00BE7345" w:rsidP="004976F9">
            <w:pPr>
              <w:pStyle w:val="rvps2"/>
              <w:spacing w:before="0" w:beforeAutospacing="0" w:after="0" w:afterAutospacing="0"/>
              <w:ind w:firstLine="491"/>
              <w:jc w:val="both"/>
            </w:pPr>
            <w:r w:rsidRPr="00D159D0">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1FC39BE7" w14:textId="77777777" w:rsidR="00BE7345" w:rsidRPr="00D159D0" w:rsidRDefault="00BE7345" w:rsidP="004976F9">
            <w:pPr>
              <w:pStyle w:val="rvps2"/>
              <w:spacing w:before="0" w:beforeAutospacing="0" w:after="0" w:afterAutospacing="0"/>
              <w:ind w:firstLine="491"/>
              <w:jc w:val="both"/>
            </w:pPr>
          </w:p>
          <w:tbl>
            <w:tblPr>
              <w:tblW w:w="2899" w:type="pct"/>
              <w:tblLayout w:type="fixed"/>
              <w:tblCellMar>
                <w:left w:w="0" w:type="dxa"/>
                <w:right w:w="0" w:type="dxa"/>
              </w:tblCellMar>
              <w:tblLook w:val="04A0" w:firstRow="1" w:lastRow="0" w:firstColumn="1" w:lastColumn="0" w:noHBand="0" w:noVBand="1"/>
            </w:tblPr>
            <w:tblGrid>
              <w:gridCol w:w="2878"/>
              <w:gridCol w:w="281"/>
            </w:tblGrid>
            <w:tr w:rsidR="00D159D0" w:rsidRPr="00D159D0" w14:paraId="1CF16EED" w14:textId="77777777" w:rsidTr="00BE7345">
              <w:trPr>
                <w:trHeight w:val="722"/>
              </w:trPr>
              <w:tc>
                <w:tcPr>
                  <w:tcW w:w="3935" w:type="dxa"/>
                  <w:hideMark/>
                </w:tcPr>
                <w:p w14:paraId="2E409F32" w14:textId="77777777" w:rsidR="00BE7345" w:rsidRPr="00D159D0" w:rsidRDefault="00BE7345" w:rsidP="004976F9">
                  <w:pPr>
                    <w:pStyle w:val="rvps12"/>
                    <w:spacing w:before="0" w:beforeAutospacing="0" w:after="0" w:afterAutospacing="0" w:line="256" w:lineRule="auto"/>
                    <w:ind w:firstLine="491"/>
                    <w:jc w:val="center"/>
                  </w:pPr>
                  <w:r w:rsidRPr="00D159D0">
                    <w:rPr>
                      <w:noProof/>
                    </w:rPr>
                    <w:drawing>
                      <wp:inline distT="0" distB="0" distL="0" distR="0" wp14:anchorId="6E2FB8F3" wp14:editId="37D7434E">
                        <wp:extent cx="2051685" cy="314118"/>
                        <wp:effectExtent l="0" t="0" r="571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4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127339" cy="325701"/>
                                </a:xfrm>
                                <a:prstGeom prst="rect">
                                  <a:avLst/>
                                </a:prstGeom>
                                <a:noFill/>
                                <a:ln>
                                  <a:noFill/>
                                </a:ln>
                              </pic:spPr>
                            </pic:pic>
                          </a:graphicData>
                        </a:graphic>
                      </wp:inline>
                    </w:drawing>
                  </w:r>
                </w:p>
              </w:tc>
              <w:tc>
                <w:tcPr>
                  <w:tcW w:w="377" w:type="dxa"/>
                  <w:hideMark/>
                </w:tcPr>
                <w:p w14:paraId="00281670" w14:textId="77777777" w:rsidR="00BE7345" w:rsidRPr="00D159D0" w:rsidRDefault="00BE7345" w:rsidP="004976F9">
                  <w:pPr>
                    <w:pStyle w:val="rvps14"/>
                    <w:spacing w:before="0" w:beforeAutospacing="0" w:after="0" w:afterAutospacing="0" w:line="256" w:lineRule="auto"/>
                  </w:pPr>
                  <w:r w:rsidRPr="00D159D0">
                    <w:t>(39)</w:t>
                  </w:r>
                </w:p>
              </w:tc>
            </w:tr>
          </w:tbl>
          <w:p w14:paraId="75394254" w14:textId="77777777" w:rsidR="00BE7345" w:rsidRPr="00D159D0" w:rsidRDefault="00BE7345" w:rsidP="004976F9">
            <w:pPr>
              <w:pStyle w:val="rvps2"/>
              <w:spacing w:before="0" w:beforeAutospacing="0" w:after="0" w:afterAutospacing="0"/>
              <w:ind w:firstLine="491"/>
              <w:jc w:val="both"/>
            </w:pPr>
            <w:r w:rsidRPr="00D159D0">
              <w:t>………………………………</w:t>
            </w:r>
          </w:p>
          <w:p w14:paraId="30B27CA3" w14:textId="77777777" w:rsidR="00BE7345" w:rsidRPr="00D159D0" w:rsidRDefault="00BE7345" w:rsidP="004976F9">
            <w:pPr>
              <w:pStyle w:val="rvps2"/>
              <w:spacing w:before="0" w:beforeAutospacing="0" w:after="0" w:afterAutospacing="0"/>
              <w:ind w:firstLine="493"/>
              <w:jc w:val="both"/>
            </w:pPr>
            <w:r w:rsidRPr="00D159D0">
              <w:rPr>
                <w:noProof/>
              </w:rPr>
              <w:drawing>
                <wp:inline distT="0" distB="0" distL="0" distR="0" wp14:anchorId="583DD915" wp14:editId="57BDDAFC">
                  <wp:extent cx="274320" cy="182880"/>
                  <wp:effectExtent l="0" t="0" r="0" b="7620"/>
                  <wp:docPr id="226436" name="Рисунок 226436"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6" name="Рисунок 226436" descr="https://ips.ligazakon.net/l_flib1.nsf/LookupFiles/GK40721_IMG_326.GIF/$file/GK40721_IMG_326.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4320" cy="182880"/>
                          </a:xfrm>
                          <a:prstGeom prst="rect">
                            <a:avLst/>
                          </a:prstGeom>
                          <a:noFill/>
                          <a:ln>
                            <a:noFill/>
                          </a:ln>
                        </pic:spPr>
                      </pic:pic>
                    </a:graphicData>
                  </a:graphic>
                </wp:inline>
              </w:drawing>
            </w:r>
            <w:r w:rsidRPr="00D159D0">
              <w:t>- прогнозований обсяг електричної енергії, що розподіляється на 1 класі напруги (крім ліцензіатів, перелік яких наведено в додатку 30 до цього Порядку, для яких на 2024</w:t>
            </w:r>
            <w:r w:rsidRPr="00D159D0">
              <w:rPr>
                <w:b/>
              </w:rPr>
              <w:t xml:space="preserve"> та 2025 роки</w:t>
            </w:r>
            <w:r w:rsidRPr="00D159D0">
              <w:t xml:space="preserve"> </w:t>
            </w:r>
            <w:r w:rsidRPr="00D159D0">
              <w:rPr>
                <w:noProof/>
                <w:shd w:val="clear" w:color="auto" w:fill="FFFFFF"/>
              </w:rPr>
              <w:drawing>
                <wp:inline distT="0" distB="0" distL="0" distR="0" wp14:anchorId="2986E604" wp14:editId="3732F395">
                  <wp:extent cx="276802" cy="186502"/>
                  <wp:effectExtent l="0" t="0" r="0" b="4445"/>
                  <wp:docPr id="58" name="Рисунок 58"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descr="https://ips.ligazakon.net/l_flib1.nsf/LookupFiles/GK40721_IMG_326.GIF/$file/GK40721_IMG_326.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9136" cy="188075"/>
                          </a:xfrm>
                          <a:prstGeom prst="rect">
                            <a:avLst/>
                          </a:prstGeom>
                          <a:noFill/>
                          <a:ln>
                            <a:noFill/>
                          </a:ln>
                        </pic:spPr>
                      </pic:pic>
                    </a:graphicData>
                  </a:graphic>
                </wp:inline>
              </w:drawing>
            </w:r>
            <w:r w:rsidRPr="00D159D0">
              <w:t xml:space="preserve"> </w:t>
            </w:r>
            <w:r w:rsidRPr="00D159D0">
              <w:lastRenderedPageBreak/>
              <w:t xml:space="preserve">фіксується на рівні, врахованому в тарифах </w:t>
            </w:r>
            <w:r w:rsidRPr="00D159D0">
              <w:rPr>
                <w:b/>
              </w:rPr>
              <w:t>2023 року</w:t>
            </w:r>
            <w:r w:rsidRPr="00D159D0">
              <w:t xml:space="preserve">), </w:t>
            </w:r>
            <w:proofErr w:type="spellStart"/>
            <w:r w:rsidRPr="00D159D0">
              <w:t>МВт·год</w:t>
            </w:r>
            <w:proofErr w:type="spellEnd"/>
            <w:r w:rsidRPr="00D159D0">
              <w:t>.</w:t>
            </w:r>
          </w:p>
          <w:p w14:paraId="4A645740" w14:textId="77777777" w:rsidR="00BE7345" w:rsidRPr="00D159D0" w:rsidRDefault="00BE7345" w:rsidP="004976F9">
            <w:pPr>
              <w:pStyle w:val="tj"/>
              <w:shd w:val="clear" w:color="auto" w:fill="FFFFFF"/>
              <w:spacing w:before="0" w:beforeAutospacing="0" w:after="0" w:afterAutospacing="0"/>
              <w:ind w:firstLine="493"/>
              <w:jc w:val="both"/>
            </w:pPr>
            <w:r w:rsidRPr="00D159D0">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06740A85" w14:textId="77777777" w:rsidR="00BE7345" w:rsidRPr="00D159D0" w:rsidRDefault="00BE7345" w:rsidP="004976F9">
            <w:pPr>
              <w:pStyle w:val="tj"/>
              <w:shd w:val="clear" w:color="auto" w:fill="FFFFFF"/>
              <w:spacing w:before="0" w:beforeAutospacing="0" w:after="0" w:afterAutospacing="0"/>
              <w:ind w:firstLine="493"/>
              <w:jc w:val="both"/>
            </w:pPr>
            <w:r w:rsidRPr="00D159D0">
              <w:t>Прогнозований обсяг електричної енергії, що розподіляється на 1 класі напруги, розраховується за формулою</w:t>
            </w:r>
          </w:p>
          <w:p w14:paraId="2CC442BF" w14:textId="77777777" w:rsidR="00BE7345" w:rsidRPr="00D159D0" w:rsidRDefault="00BE7345" w:rsidP="004976F9">
            <w:pPr>
              <w:pStyle w:val="tc"/>
              <w:shd w:val="clear" w:color="auto" w:fill="FFFFFF"/>
              <w:spacing w:before="0" w:beforeAutospacing="0" w:after="0" w:afterAutospacing="0"/>
              <w:ind w:firstLine="493"/>
              <w:jc w:val="center"/>
            </w:pPr>
            <w:r w:rsidRPr="00D159D0">
              <w:rPr>
                <w:noProof/>
              </w:rPr>
              <w:drawing>
                <wp:inline distT="0" distB="0" distL="0" distR="0" wp14:anchorId="38B76396" wp14:editId="6E743DC4">
                  <wp:extent cx="1121641" cy="196875"/>
                  <wp:effectExtent l="0" t="0" r="2540" b="0"/>
                  <wp:docPr id="59" name="Рисунок 59" descr="https://ips.ligazakon.net/l_flib1.nsf/LookupFiles/GK40721_IMG_146.gif/$file/GK40721_IMG_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ps.ligazakon.net/l_flib1.nsf/LookupFiles/GK40721_IMG_146.gif/$file/GK40721_IMG_146.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35083" cy="199234"/>
                          </a:xfrm>
                          <a:prstGeom prst="rect">
                            <a:avLst/>
                          </a:prstGeom>
                          <a:noFill/>
                          <a:ln>
                            <a:noFill/>
                          </a:ln>
                        </pic:spPr>
                      </pic:pic>
                    </a:graphicData>
                  </a:graphic>
                </wp:inline>
              </w:drawing>
            </w:r>
            <w:r w:rsidRPr="00D159D0">
              <w:t xml:space="preserve">, </w:t>
            </w:r>
            <w:proofErr w:type="spellStart"/>
            <w:r w:rsidRPr="00D159D0">
              <w:t>МВт·год</w:t>
            </w:r>
            <w:proofErr w:type="spellEnd"/>
            <w:r w:rsidRPr="00D159D0">
              <w:t>, (</w:t>
            </w:r>
            <w:hyperlink r:id="rId73" w:tgtFrame="_blank" w:history="1">
              <w:r w:rsidRPr="00D159D0">
                <w:t>40</w:t>
              </w:r>
            </w:hyperlink>
            <w:r w:rsidRPr="00D159D0">
              <w:t>)</w:t>
            </w:r>
          </w:p>
          <w:p w14:paraId="0041563C" w14:textId="77777777" w:rsidR="00BE7345" w:rsidRPr="00D159D0" w:rsidRDefault="00F84FFC" w:rsidP="004976F9">
            <w:pPr>
              <w:pStyle w:val="tj"/>
              <w:shd w:val="clear" w:color="auto" w:fill="FFFFFF"/>
              <w:spacing w:before="0" w:beforeAutospacing="0" w:after="0" w:afterAutospacing="0"/>
              <w:ind w:firstLine="493"/>
              <w:jc w:val="both"/>
            </w:pPr>
            <w:hyperlink r:id="rId74" w:tgtFrame="_blank" w:history="1">
              <w:r w:rsidR="00BE7345" w:rsidRPr="00D159D0">
                <w:t>де </w:t>
              </w:r>
              <w:r w:rsidR="00BE7345" w:rsidRPr="00D159D0">
                <w:rPr>
                  <w:noProof/>
                </w:rPr>
                <w:drawing>
                  <wp:inline distT="0" distB="0" distL="0" distR="0" wp14:anchorId="7C7284F5" wp14:editId="5063957A">
                    <wp:extent cx="258806" cy="214803"/>
                    <wp:effectExtent l="0" t="0" r="8255" b="0"/>
                    <wp:docPr id="60" name="Рисунок 60"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60" descr="https://ips.ligazakon.net/l_flib1.nsf/LookupFiles/GK40721_IMG_286.GIF/$file/GK40721_IMG_286.GIF"/>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59530" cy="215404"/>
                            </a:xfrm>
                            <a:prstGeom prst="rect">
                              <a:avLst/>
                            </a:prstGeom>
                            <a:noFill/>
                            <a:ln>
                              <a:noFill/>
                            </a:ln>
                          </pic:spPr>
                        </pic:pic>
                      </a:graphicData>
                    </a:graphic>
                  </wp:inline>
                </w:drawing>
              </w:r>
              <w:r w:rsidR="00BE7345" w:rsidRPr="00D159D0">
                <w:t> - прогнозований обсяг корисного відпуску електричної енергії на 1 класі напруги</w:t>
              </w:r>
            </w:hyperlink>
            <w:r w:rsidR="00BE7345" w:rsidRPr="00D159D0">
              <w:t> (крім ліцензіатів, перелік яких наведено в додатку 30 до цього Порядку, для яких на 2024</w:t>
            </w:r>
            <w:r w:rsidR="00BE7345" w:rsidRPr="00D159D0">
              <w:rPr>
                <w:b/>
              </w:rPr>
              <w:t xml:space="preserve"> та 2025 роки</w:t>
            </w:r>
            <w:r w:rsidR="00BE7345" w:rsidRPr="00D159D0">
              <w:t> </w:t>
            </w:r>
            <w:r w:rsidR="00BE7345" w:rsidRPr="00D159D0">
              <w:rPr>
                <w:noProof/>
              </w:rPr>
              <w:drawing>
                <wp:inline distT="0" distB="0" distL="0" distR="0" wp14:anchorId="176A4782" wp14:editId="63460610">
                  <wp:extent cx="235470" cy="155018"/>
                  <wp:effectExtent l="0" t="0" r="0" b="0"/>
                  <wp:docPr id="61" name="Рисунок 61"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61" descr="https://ips.ligazakon.net/l_flib1.nsf/LookupFiles/GK40721_IMG_327.GIF/$file/GK40721_IMG_327.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36513" cy="155705"/>
                          </a:xfrm>
                          <a:prstGeom prst="rect">
                            <a:avLst/>
                          </a:prstGeom>
                          <a:noFill/>
                          <a:ln>
                            <a:noFill/>
                          </a:ln>
                        </pic:spPr>
                      </pic:pic>
                    </a:graphicData>
                  </a:graphic>
                </wp:inline>
              </w:drawing>
            </w:r>
            <w:r w:rsidR="00BE7345" w:rsidRPr="00D159D0">
              <w:t xml:space="preserve"> фіксується на рівні, врахованому в тарифах </w:t>
            </w:r>
            <w:r w:rsidR="00BE7345" w:rsidRPr="00D159D0">
              <w:rPr>
                <w:b/>
              </w:rPr>
              <w:t>2023 року</w:t>
            </w:r>
            <w:r w:rsidR="00BE7345" w:rsidRPr="00D159D0">
              <w:t>)</w:t>
            </w:r>
            <w:hyperlink r:id="rId77" w:tgtFrame="_blank" w:history="1">
              <w:r w:rsidR="00BE7345" w:rsidRPr="00D159D0">
                <w:t xml:space="preserve">, </w:t>
              </w:r>
              <w:proofErr w:type="spellStart"/>
              <w:r w:rsidR="00BE7345" w:rsidRPr="00D159D0">
                <w:t>МВт·год</w:t>
              </w:r>
              <w:proofErr w:type="spellEnd"/>
              <w:r w:rsidR="00BE7345" w:rsidRPr="00D159D0">
                <w:t>;</w:t>
              </w:r>
            </w:hyperlink>
          </w:p>
          <w:p w14:paraId="6595DBCA" w14:textId="77777777" w:rsidR="00BE7345" w:rsidRPr="00D159D0" w:rsidRDefault="00BE7345" w:rsidP="004976F9">
            <w:pPr>
              <w:pStyle w:val="tj"/>
              <w:shd w:val="clear" w:color="auto" w:fill="FFFFFF"/>
              <w:spacing w:before="0" w:beforeAutospacing="0" w:after="0" w:afterAutospacing="0"/>
              <w:ind w:firstLine="493"/>
              <w:jc w:val="both"/>
            </w:pPr>
            <w:r w:rsidRPr="00D159D0">
              <w:t> </w:t>
            </w:r>
            <w:r w:rsidRPr="00D159D0">
              <w:rPr>
                <w:noProof/>
              </w:rPr>
              <w:drawing>
                <wp:inline distT="0" distB="0" distL="0" distR="0" wp14:anchorId="10638ABA" wp14:editId="55CDBF29">
                  <wp:extent cx="251024" cy="194021"/>
                  <wp:effectExtent l="0" t="0" r="0" b="0"/>
                  <wp:docPr id="62" name="Рисунок 62" descr="https://ips.ligazakon.net/l_flib1.nsf/LookupFiles/GK40721_IMG_148.gif/$file/GK40721_IMG_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ps.ligazakon.net/l_flib1.nsf/LookupFiles/GK40721_IMG_148.gif/$file/GK40721_IMG_148.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51834" cy="194647"/>
                          </a:xfrm>
                          <a:prstGeom prst="rect">
                            <a:avLst/>
                          </a:prstGeom>
                          <a:noFill/>
                          <a:ln>
                            <a:noFill/>
                          </a:ln>
                        </pic:spPr>
                      </pic:pic>
                    </a:graphicData>
                  </a:graphic>
                </wp:inline>
              </w:drawing>
            </w:r>
            <w:r w:rsidRPr="00D159D0">
              <w:t> - прогнозований обсяг електричної енергії, яка трансформується з 1 на 2 клас напруги, розраховується за формулою</w:t>
            </w:r>
          </w:p>
          <w:tbl>
            <w:tblPr>
              <w:tblW w:w="4268" w:type="dxa"/>
              <w:jc w:val="center"/>
              <w:tblLayout w:type="fixed"/>
              <w:tblCellMar>
                <w:top w:w="15" w:type="dxa"/>
                <w:left w:w="15" w:type="dxa"/>
                <w:bottom w:w="15" w:type="dxa"/>
                <w:right w:w="15" w:type="dxa"/>
              </w:tblCellMar>
              <w:tblLook w:val="04A0" w:firstRow="1" w:lastRow="0" w:firstColumn="1" w:lastColumn="0" w:noHBand="0" w:noVBand="1"/>
            </w:tblPr>
            <w:tblGrid>
              <w:gridCol w:w="2305"/>
              <w:gridCol w:w="1963"/>
            </w:tblGrid>
            <w:tr w:rsidR="00D159D0" w:rsidRPr="00D159D0" w14:paraId="1C620A6C" w14:textId="77777777" w:rsidTr="00BE7345">
              <w:trPr>
                <w:trHeight w:val="735"/>
                <w:jc w:val="center"/>
              </w:trPr>
              <w:tc>
                <w:tcPr>
                  <w:tcW w:w="2700" w:type="pct"/>
                  <w:shd w:val="clear" w:color="auto" w:fill="auto"/>
                  <w:tcMar>
                    <w:top w:w="0" w:type="dxa"/>
                    <w:left w:w="0" w:type="dxa"/>
                    <w:bottom w:w="0" w:type="dxa"/>
                    <w:right w:w="0" w:type="dxa"/>
                  </w:tcMar>
                  <w:vAlign w:val="center"/>
                  <w:hideMark/>
                </w:tcPr>
                <w:p w14:paraId="411DC3BA" w14:textId="77777777" w:rsidR="00BE7345" w:rsidRPr="00D159D0" w:rsidRDefault="00BE7345" w:rsidP="004976F9">
                  <w:pPr>
                    <w:pStyle w:val="tr"/>
                    <w:spacing w:before="0" w:beforeAutospacing="0" w:after="0" w:afterAutospacing="0"/>
                    <w:ind w:firstLine="493"/>
                    <w:jc w:val="right"/>
                  </w:pPr>
                  <w:r w:rsidRPr="00D159D0">
                    <w:rPr>
                      <w:noProof/>
                    </w:rPr>
                    <w:drawing>
                      <wp:inline distT="0" distB="0" distL="0" distR="0" wp14:anchorId="512B6D92" wp14:editId="0A17668A">
                        <wp:extent cx="1184564" cy="319157"/>
                        <wp:effectExtent l="0" t="0" r="0" b="5080"/>
                        <wp:docPr id="63" name="Рисунок 63" descr="https://ips.ligazakon.net/l_flib1.nsf/LookupFiles/GK40721_IMG_149.gif/$file/GK40721_IMG_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ps.ligazakon.net/l_flib1.nsf/LookupFiles/GK40721_IMG_149.gif/$file/GK40721_IMG_149.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198878" cy="323014"/>
                                </a:xfrm>
                                <a:prstGeom prst="rect">
                                  <a:avLst/>
                                </a:prstGeom>
                                <a:noFill/>
                                <a:ln>
                                  <a:noFill/>
                                </a:ln>
                              </pic:spPr>
                            </pic:pic>
                          </a:graphicData>
                        </a:graphic>
                      </wp:inline>
                    </w:drawing>
                  </w:r>
                </w:p>
              </w:tc>
              <w:tc>
                <w:tcPr>
                  <w:tcW w:w="2300" w:type="pct"/>
                  <w:shd w:val="clear" w:color="auto" w:fill="auto"/>
                  <w:tcMar>
                    <w:top w:w="0" w:type="dxa"/>
                    <w:left w:w="0" w:type="dxa"/>
                    <w:bottom w:w="0" w:type="dxa"/>
                    <w:right w:w="0" w:type="dxa"/>
                  </w:tcMar>
                  <w:vAlign w:val="center"/>
                  <w:hideMark/>
                </w:tcPr>
                <w:p w14:paraId="2DEA9BA6" w14:textId="77777777" w:rsidR="00BE7345" w:rsidRPr="00D159D0" w:rsidRDefault="00BE7345" w:rsidP="004976F9">
                  <w:pPr>
                    <w:pStyle w:val="tj"/>
                    <w:spacing w:before="0" w:beforeAutospacing="0" w:after="0" w:afterAutospacing="0"/>
                    <w:ind w:firstLine="493"/>
                    <w:jc w:val="both"/>
                  </w:pPr>
                  <w:r w:rsidRPr="00D159D0">
                    <w:t xml:space="preserve">, </w:t>
                  </w:r>
                  <w:proofErr w:type="spellStart"/>
                  <w:r w:rsidRPr="00D159D0">
                    <w:t>МВт·год</w:t>
                  </w:r>
                  <w:proofErr w:type="spellEnd"/>
                  <w:r w:rsidRPr="00D159D0">
                    <w:t>, (</w:t>
                  </w:r>
                  <w:hyperlink r:id="rId80" w:tgtFrame="_blank" w:history="1">
                    <w:r w:rsidRPr="00D159D0">
                      <w:t>41</w:t>
                    </w:r>
                  </w:hyperlink>
                  <w:r w:rsidRPr="00D159D0">
                    <w:t>)</w:t>
                  </w:r>
                </w:p>
              </w:tc>
            </w:tr>
          </w:tbl>
          <w:p w14:paraId="78367FE9" w14:textId="77777777" w:rsidR="00BE7345" w:rsidRPr="00D159D0" w:rsidRDefault="00BE7345" w:rsidP="004976F9">
            <w:pPr>
              <w:pStyle w:val="tj"/>
              <w:shd w:val="clear" w:color="auto" w:fill="FFFFFF"/>
              <w:spacing w:before="0" w:beforeAutospacing="0" w:after="0" w:afterAutospacing="0"/>
              <w:ind w:firstLine="493"/>
              <w:jc w:val="both"/>
            </w:pPr>
            <w:r w:rsidRPr="00D159D0">
              <w:t>де </w:t>
            </w:r>
            <w:r w:rsidRPr="00D159D0">
              <w:rPr>
                <w:noProof/>
              </w:rPr>
              <w:drawing>
                <wp:inline distT="0" distB="0" distL="0" distR="0" wp14:anchorId="3EC57035" wp14:editId="376E844F">
                  <wp:extent cx="220812" cy="194137"/>
                  <wp:effectExtent l="0" t="0" r="8255" b="0"/>
                  <wp:docPr id="226432" name="Рисунок 226432"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ps.ligazakon.net/l_flib1.nsf/LookupFiles/GK40721_IMG_150.gif/$file/GK40721_IMG_150.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23870" cy="196825"/>
                          </a:xfrm>
                          <a:prstGeom prst="rect">
                            <a:avLst/>
                          </a:prstGeom>
                          <a:noFill/>
                          <a:ln>
                            <a:noFill/>
                          </a:ln>
                        </pic:spPr>
                      </pic:pic>
                    </a:graphicData>
                  </a:graphic>
                </wp:inline>
              </w:drawing>
            </w:r>
            <w:r w:rsidRPr="00D159D0">
              <w:t> - прогнозований обсяг електричної енергії, що розподіляється на 2 класі напруги </w:t>
            </w:r>
            <w:hyperlink r:id="rId82" w:tgtFrame="_blank" w:history="1">
              <w:r w:rsidRPr="00D159D0">
                <w:t>(крім ліцензіатів, перелік яких наведено в додатку 30 до цього Порядку, для яких на 2024</w:t>
              </w:r>
              <w:r w:rsidRPr="00D159D0">
                <w:rPr>
                  <w:b/>
                </w:rPr>
                <w:t xml:space="preserve"> та 2025 роки</w:t>
              </w:r>
              <w:r w:rsidRPr="00D159D0">
                <w:t> </w:t>
              </w:r>
              <w:r w:rsidRPr="00D159D0">
                <w:rPr>
                  <w:noProof/>
                </w:rPr>
                <w:drawing>
                  <wp:inline distT="0" distB="0" distL="0" distR="0" wp14:anchorId="25D6A97C" wp14:editId="3730CB45">
                    <wp:extent cx="252188" cy="166024"/>
                    <wp:effectExtent l="0" t="0" r="0" b="5715"/>
                    <wp:docPr id="226433" name="Рисунок 226433"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3" name="Рисунок 226433" descr="https://ips.ligazakon.net/l_flib1.nsf/LookupFiles/GK40721_IMG_328.GIF/$file/GK40721_IMG_328.GIF"/>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52628" cy="166314"/>
                            </a:xfrm>
                            <a:prstGeom prst="rect">
                              <a:avLst/>
                            </a:prstGeom>
                            <a:noFill/>
                            <a:ln>
                              <a:noFill/>
                            </a:ln>
                          </pic:spPr>
                        </pic:pic>
                      </a:graphicData>
                    </a:graphic>
                  </wp:inline>
                </w:drawing>
              </w:r>
              <w:r w:rsidRPr="00D159D0">
                <w:t xml:space="preserve"> фіксується на рівні, врахованому в тарифах </w:t>
              </w:r>
              <w:r w:rsidRPr="00D159D0">
                <w:rPr>
                  <w:b/>
                </w:rPr>
                <w:t>2023 року</w:t>
              </w:r>
              <w:r w:rsidRPr="00D159D0">
                <w:t>)</w:t>
              </w:r>
            </w:hyperlink>
            <w:r w:rsidRPr="00D159D0">
              <w:t xml:space="preserve">, </w:t>
            </w:r>
            <w:proofErr w:type="spellStart"/>
            <w:r w:rsidRPr="00D159D0">
              <w:t>МВт·год</w:t>
            </w:r>
            <w:proofErr w:type="spellEnd"/>
            <w:r w:rsidRPr="00D159D0">
              <w:t>;</w:t>
            </w:r>
          </w:p>
          <w:p w14:paraId="5DD61410" w14:textId="77777777" w:rsidR="00AD2A16" w:rsidRPr="00D159D0" w:rsidRDefault="00BE7345" w:rsidP="004976F9">
            <w:pPr>
              <w:jc w:val="both"/>
              <w:rPr>
                <w:b/>
                <w:bCs/>
                <w:lang w:val="uk-UA"/>
              </w:rPr>
            </w:pPr>
            <w:r w:rsidRPr="00D159D0">
              <w:rPr>
                <w:lang w:val="uk-UA"/>
              </w:rPr>
              <w:t> </w:t>
            </w:r>
            <w:r w:rsidRPr="00D159D0">
              <w:rPr>
                <w:noProof/>
                <w:lang w:val="uk-UA"/>
              </w:rPr>
              <w:drawing>
                <wp:inline distT="0" distB="0" distL="0" distR="0" wp14:anchorId="65F2EC02" wp14:editId="3354EFAE">
                  <wp:extent cx="491836" cy="173496"/>
                  <wp:effectExtent l="0" t="0" r="3810" b="0"/>
                  <wp:docPr id="226434" name="Рисунок 226434"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ps.ligazakon.net/l_flib1.nsf/LookupFiles/GK40721_IMG_151.gif/$file/GK40721_IMG_151.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95544" cy="174804"/>
                          </a:xfrm>
                          <a:prstGeom prst="rect">
                            <a:avLst/>
                          </a:prstGeom>
                          <a:noFill/>
                          <a:ln>
                            <a:noFill/>
                          </a:ln>
                        </pic:spPr>
                      </pic:pic>
                    </a:graphicData>
                  </a:graphic>
                </wp:inline>
              </w:drawing>
            </w:r>
            <w:r w:rsidRPr="00D159D0">
              <w:rPr>
                <w:lang w:val="uk-UA"/>
              </w:rPr>
              <w:t> - прогнозований обсяг електричної енергії, що надходить від генеруючих компаній безпосередньо на 2 клас напруги на рік t </w:t>
            </w:r>
            <w:hyperlink r:id="rId85" w:tgtFrame="_blank" w:history="1">
              <w:r w:rsidRPr="00D159D0">
                <w:rPr>
                  <w:lang w:val="uk-UA"/>
                </w:rPr>
                <w:t>(крім ліцензіатів, перелік яких наведено в додатку 30 до цього Порядку, для яких на 2024</w:t>
              </w:r>
              <w:r w:rsidRPr="00D159D0">
                <w:rPr>
                  <w:b/>
                  <w:lang w:val="uk-UA"/>
                </w:rPr>
                <w:t xml:space="preserve"> та 2025 </w:t>
              </w:r>
              <w:r w:rsidRPr="00D159D0">
                <w:rPr>
                  <w:b/>
                  <w:lang w:val="uk-UA"/>
                </w:rPr>
                <w:lastRenderedPageBreak/>
                <w:t>роки</w:t>
              </w:r>
              <w:r w:rsidRPr="00D159D0">
                <w:rPr>
                  <w:lang w:val="uk-UA"/>
                </w:rPr>
                <w:t> </w:t>
              </w:r>
              <w:r w:rsidRPr="00D159D0">
                <w:rPr>
                  <w:noProof/>
                  <w:lang w:val="uk-UA"/>
                </w:rPr>
                <w:drawing>
                  <wp:inline distT="0" distB="0" distL="0" distR="0" wp14:anchorId="5C7BAFB7" wp14:editId="1010E097">
                    <wp:extent cx="505691" cy="168386"/>
                    <wp:effectExtent l="0" t="0" r="8890" b="3175"/>
                    <wp:docPr id="226435" name="Рисунок 226435"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5" name="Рисунок 226435" descr="https://ips.ligazakon.net/l_flib1.nsf/LookupFiles/GK40721_IMG_329.GIF/$file/GK40721_IMG_329.GIF"/>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09517" cy="169660"/>
                            </a:xfrm>
                            <a:prstGeom prst="rect">
                              <a:avLst/>
                            </a:prstGeom>
                            <a:noFill/>
                            <a:ln>
                              <a:noFill/>
                            </a:ln>
                          </pic:spPr>
                        </pic:pic>
                      </a:graphicData>
                    </a:graphic>
                  </wp:inline>
                </w:drawing>
              </w:r>
              <w:r w:rsidRPr="00D159D0">
                <w:rPr>
                  <w:lang w:val="uk-UA"/>
                </w:rPr>
                <w:t xml:space="preserve"> фіксується на рівні, врахованому в тарифах </w:t>
              </w:r>
              <w:r w:rsidRPr="00D159D0">
                <w:rPr>
                  <w:b/>
                  <w:lang w:val="uk-UA"/>
                </w:rPr>
                <w:t>2023 року</w:t>
              </w:r>
              <w:r w:rsidRPr="00D159D0">
                <w:rPr>
                  <w:lang w:val="uk-UA"/>
                </w:rPr>
                <w:t>)</w:t>
              </w:r>
            </w:hyperlink>
            <w:r w:rsidRPr="00D159D0">
              <w:rPr>
                <w:lang w:val="uk-UA"/>
              </w:rPr>
              <w:t xml:space="preserve">, </w:t>
            </w:r>
            <w:proofErr w:type="spellStart"/>
            <w:r w:rsidRPr="00D159D0">
              <w:rPr>
                <w:lang w:val="uk-UA"/>
              </w:rPr>
              <w:t>МВт·год</w:t>
            </w:r>
            <w:proofErr w:type="spellEnd"/>
            <w:r w:rsidRPr="00D159D0">
              <w:rPr>
                <w:lang w:val="uk-UA"/>
              </w:rPr>
              <w:t>.</w:t>
            </w:r>
          </w:p>
        </w:tc>
        <w:tc>
          <w:tcPr>
            <w:tcW w:w="5954" w:type="dxa"/>
          </w:tcPr>
          <w:p w14:paraId="78CCA4EB" w14:textId="77777777" w:rsidR="00BE7345" w:rsidRPr="00D159D0" w:rsidRDefault="00BE7345" w:rsidP="004976F9">
            <w:pPr>
              <w:jc w:val="both"/>
              <w:rPr>
                <w:b/>
                <w:lang w:val="uk-UA"/>
              </w:rPr>
            </w:pPr>
            <w:r w:rsidRPr="00D159D0">
              <w:rPr>
                <w:b/>
                <w:lang w:val="uk-UA"/>
              </w:rPr>
              <w:lastRenderedPageBreak/>
              <w:t>ТОВ «ДТЕК ВИСОКОВОЛЬТНІ МЕРЕЖІ» лист від 17.07.2024 № 08-61/935</w:t>
            </w:r>
          </w:p>
          <w:p w14:paraId="5DDFB5EB" w14:textId="77777777" w:rsidR="00BE7345" w:rsidRPr="00D159D0" w:rsidRDefault="00BE7345" w:rsidP="004976F9">
            <w:pPr>
              <w:jc w:val="both"/>
              <w:rPr>
                <w:b/>
                <w:lang w:val="uk-UA"/>
              </w:rPr>
            </w:pPr>
            <w:r w:rsidRPr="00D159D0">
              <w:rPr>
                <w:b/>
                <w:lang w:val="uk-UA"/>
              </w:rPr>
              <w:t>АТ «ДТЕК ДОНЕЦЬКІ ЕЛЕКТРОМЕРЕЖІ» лист від 17.07.2024 № 06/9956</w:t>
            </w:r>
          </w:p>
          <w:p w14:paraId="6A52DD99"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080C1FA3" w14:textId="77777777" w:rsidR="00AD2A16" w:rsidRPr="00D159D0" w:rsidRDefault="00BE7345" w:rsidP="004976F9">
            <w:pPr>
              <w:jc w:val="both"/>
              <w:rPr>
                <w:shd w:val="clear" w:color="auto" w:fill="FFFFFF"/>
                <w:lang w:val="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542656A7" w14:textId="77777777" w:rsidR="00BE7345" w:rsidRPr="00D159D0" w:rsidRDefault="00BE7345" w:rsidP="004976F9">
            <w:pPr>
              <w:pStyle w:val="rvps2"/>
              <w:spacing w:before="0" w:beforeAutospacing="0" w:after="0" w:afterAutospacing="0"/>
              <w:ind w:firstLine="491"/>
              <w:jc w:val="both"/>
            </w:pPr>
            <w:r w:rsidRPr="00D159D0">
              <w:t>8.3. Тариф на послуги з розподілу електричної енергії для споживачів та операторів установок зберігання енергії 1 класу напруги розраховується за формулою</w:t>
            </w:r>
          </w:p>
          <w:p w14:paraId="5DD72579" w14:textId="77777777" w:rsidR="00BE7345" w:rsidRPr="00D159D0" w:rsidRDefault="00BE7345" w:rsidP="004976F9">
            <w:pPr>
              <w:pStyle w:val="rvps2"/>
              <w:spacing w:before="0" w:beforeAutospacing="0" w:after="0" w:afterAutospacing="0"/>
              <w:ind w:firstLine="491"/>
              <w:jc w:val="both"/>
            </w:pPr>
          </w:p>
          <w:tbl>
            <w:tblPr>
              <w:tblW w:w="4700" w:type="pct"/>
              <w:tblLayout w:type="fixed"/>
              <w:tblCellMar>
                <w:left w:w="0" w:type="dxa"/>
                <w:right w:w="0" w:type="dxa"/>
              </w:tblCellMar>
              <w:tblLook w:val="04A0" w:firstRow="1" w:lastRow="0" w:firstColumn="1" w:lastColumn="0" w:noHBand="0" w:noVBand="1"/>
            </w:tblPr>
            <w:tblGrid>
              <w:gridCol w:w="4921"/>
              <w:gridCol w:w="473"/>
            </w:tblGrid>
            <w:tr w:rsidR="00D159D0" w:rsidRPr="00D159D0" w14:paraId="2B158700" w14:textId="77777777" w:rsidTr="00B8292B">
              <w:tc>
                <w:tcPr>
                  <w:tcW w:w="4432" w:type="dxa"/>
                  <w:hideMark/>
                </w:tcPr>
                <w:p w14:paraId="21C586E0" w14:textId="77777777" w:rsidR="00BE7345" w:rsidRPr="00D159D0" w:rsidRDefault="00BE7345" w:rsidP="004976F9">
                  <w:pPr>
                    <w:pStyle w:val="rvps12"/>
                    <w:spacing w:before="0" w:beforeAutospacing="0" w:after="0" w:afterAutospacing="0" w:line="256" w:lineRule="auto"/>
                    <w:ind w:firstLine="491"/>
                    <w:jc w:val="center"/>
                  </w:pPr>
                  <w:r w:rsidRPr="00D159D0">
                    <w:rPr>
                      <w:noProof/>
                    </w:rPr>
                    <w:lastRenderedPageBreak/>
                    <w:drawing>
                      <wp:inline distT="0" distB="0" distL="0" distR="0" wp14:anchorId="7284C3EA" wp14:editId="6A5CD7A6">
                        <wp:extent cx="2036445" cy="31178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Рисунок 45"/>
                                <pic:cNvPicPr>
                                  <a:picLocks noChangeAspect="1" noChangeArrowheads="1"/>
                                </pic:cNvPicPr>
                              </pic:nvPicPr>
                              <pic:blipFill>
                                <a:blip r:embed="rId70">
                                  <a:extLst>
                                    <a:ext uri="{28A0092B-C50C-407E-A947-70E740481C1C}">
                                      <a14:useLocalDpi xmlns:a14="http://schemas.microsoft.com/office/drawing/2010/main" val="0"/>
                                    </a:ext>
                                  </a:extLst>
                                </a:blip>
                                <a:srcRect/>
                                <a:stretch>
                                  <a:fillRect/>
                                </a:stretch>
                              </pic:blipFill>
                              <pic:spPr bwMode="auto">
                                <a:xfrm>
                                  <a:off x="0" y="0"/>
                                  <a:ext cx="2036445" cy="311785"/>
                                </a:xfrm>
                                <a:prstGeom prst="rect">
                                  <a:avLst/>
                                </a:prstGeom>
                                <a:noFill/>
                                <a:ln>
                                  <a:noFill/>
                                </a:ln>
                              </pic:spPr>
                            </pic:pic>
                          </a:graphicData>
                        </a:graphic>
                      </wp:inline>
                    </w:drawing>
                  </w:r>
                </w:p>
              </w:tc>
              <w:tc>
                <w:tcPr>
                  <w:tcW w:w="426" w:type="dxa"/>
                  <w:hideMark/>
                </w:tcPr>
                <w:p w14:paraId="31D3F2C7" w14:textId="77777777" w:rsidR="00BE7345" w:rsidRPr="00D159D0" w:rsidRDefault="00BE7345" w:rsidP="004976F9">
                  <w:pPr>
                    <w:pStyle w:val="rvps14"/>
                    <w:spacing w:before="0" w:beforeAutospacing="0" w:after="0" w:afterAutospacing="0" w:line="256" w:lineRule="auto"/>
                  </w:pPr>
                  <w:r w:rsidRPr="00D159D0">
                    <w:t>(39)</w:t>
                  </w:r>
                </w:p>
              </w:tc>
            </w:tr>
          </w:tbl>
          <w:p w14:paraId="73E8C225" w14:textId="77777777" w:rsidR="00BE7345" w:rsidRPr="00D159D0" w:rsidRDefault="00BE7345" w:rsidP="004976F9">
            <w:pPr>
              <w:pStyle w:val="rvps2"/>
              <w:spacing w:before="0" w:beforeAutospacing="0" w:after="0" w:afterAutospacing="0"/>
              <w:ind w:firstLine="491"/>
              <w:jc w:val="both"/>
            </w:pPr>
            <w:r w:rsidRPr="00D159D0">
              <w:t>………………………………</w:t>
            </w:r>
          </w:p>
          <w:p w14:paraId="436CF9A8" w14:textId="77777777" w:rsidR="00BE7345" w:rsidRPr="00D159D0" w:rsidRDefault="00BE7345" w:rsidP="004976F9">
            <w:pPr>
              <w:pStyle w:val="rvps2"/>
              <w:spacing w:before="0" w:beforeAutospacing="0" w:after="0" w:afterAutospacing="0"/>
              <w:ind w:firstLine="493"/>
              <w:jc w:val="both"/>
            </w:pPr>
            <w:r w:rsidRPr="00D159D0">
              <w:rPr>
                <w:noProof/>
              </w:rPr>
              <w:drawing>
                <wp:inline distT="0" distB="0" distL="0" distR="0" wp14:anchorId="06C9EE06" wp14:editId="0BBD132E">
                  <wp:extent cx="274320" cy="182880"/>
                  <wp:effectExtent l="0" t="0" r="0" b="7620"/>
                  <wp:docPr id="5" name="Рисунок 5"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6" name="Рисунок 226436" descr="https://ips.ligazakon.net/l_flib1.nsf/LookupFiles/GK40721_IMG_326.GIF/$file/GK40721_IMG_326.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4320" cy="182880"/>
                          </a:xfrm>
                          <a:prstGeom prst="rect">
                            <a:avLst/>
                          </a:prstGeom>
                          <a:noFill/>
                          <a:ln>
                            <a:noFill/>
                          </a:ln>
                        </pic:spPr>
                      </pic:pic>
                    </a:graphicData>
                  </a:graphic>
                </wp:inline>
              </w:drawing>
            </w:r>
            <w:r w:rsidRPr="00D159D0">
              <w:t>- прогнозований обсяг електричної енергії, що розподіляється на 1 класі напруги (крім ліцензіатів, перелік яких наведено в додатку 30 до цього Порядку, для яких на 2024</w:t>
            </w:r>
            <w:r w:rsidRPr="00D159D0">
              <w:rPr>
                <w:b/>
              </w:rPr>
              <w:t xml:space="preserve"> </w:t>
            </w:r>
            <w:r w:rsidRPr="00D159D0">
              <w:rPr>
                <w:b/>
                <w:strike/>
              </w:rPr>
              <w:t>та 2025 роки</w:t>
            </w:r>
            <w:r w:rsidRPr="00D159D0">
              <w:t xml:space="preserve"> </w:t>
            </w:r>
            <w:r w:rsidRPr="00D159D0">
              <w:rPr>
                <w:noProof/>
                <w:shd w:val="clear" w:color="auto" w:fill="FFFFFF"/>
              </w:rPr>
              <w:drawing>
                <wp:inline distT="0" distB="0" distL="0" distR="0" wp14:anchorId="6F958B9F" wp14:editId="571A50A4">
                  <wp:extent cx="276802" cy="186502"/>
                  <wp:effectExtent l="0" t="0" r="0" b="4445"/>
                  <wp:docPr id="6" name="Рисунок 6" descr="https://ips.ligazakon.net/l_flib1.nsf/LookupFiles/GK40721_IMG_326.GIF/$file/GK40721_IMG_3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8" name="Рисунок 58" descr="https://ips.ligazakon.net/l_flib1.nsf/LookupFiles/GK40721_IMG_326.GIF/$file/GK40721_IMG_326.GIF"/>
                          <pic:cNvPicPr>
                            <a:picLocks noChangeAspect="1" noChangeArrowheads="1"/>
                          </pic:cNvPicPr>
                        </pic:nvPicPr>
                        <pic:blipFill>
                          <a:blip r:embed="rId71">
                            <a:extLst>
                              <a:ext uri="{28A0092B-C50C-407E-A947-70E740481C1C}">
                                <a14:useLocalDpi xmlns:a14="http://schemas.microsoft.com/office/drawing/2010/main" val="0"/>
                              </a:ext>
                            </a:extLst>
                          </a:blip>
                          <a:srcRect/>
                          <a:stretch>
                            <a:fillRect/>
                          </a:stretch>
                        </pic:blipFill>
                        <pic:spPr bwMode="auto">
                          <a:xfrm>
                            <a:off x="0" y="0"/>
                            <a:ext cx="279136" cy="188075"/>
                          </a:xfrm>
                          <a:prstGeom prst="rect">
                            <a:avLst/>
                          </a:prstGeom>
                          <a:noFill/>
                          <a:ln>
                            <a:noFill/>
                          </a:ln>
                        </pic:spPr>
                      </pic:pic>
                    </a:graphicData>
                  </a:graphic>
                </wp:inline>
              </w:drawing>
            </w:r>
            <w:r w:rsidRPr="00D159D0">
              <w:t xml:space="preserve"> фіксується на рівні, врахованому в тарифах </w:t>
            </w:r>
            <w:r w:rsidRPr="00D159D0">
              <w:rPr>
                <w:b/>
              </w:rPr>
              <w:t>2023 року</w:t>
            </w:r>
            <w:r w:rsidRPr="00D159D0">
              <w:t xml:space="preserve">), </w:t>
            </w:r>
            <w:proofErr w:type="spellStart"/>
            <w:r w:rsidRPr="00D159D0">
              <w:t>МВт·год</w:t>
            </w:r>
            <w:proofErr w:type="spellEnd"/>
            <w:r w:rsidRPr="00D159D0">
              <w:t>.</w:t>
            </w:r>
          </w:p>
          <w:p w14:paraId="46B27161" w14:textId="77777777" w:rsidR="00BE7345" w:rsidRPr="00D159D0" w:rsidRDefault="00BE7345" w:rsidP="004976F9">
            <w:pPr>
              <w:pStyle w:val="tj"/>
              <w:shd w:val="clear" w:color="auto" w:fill="FFFFFF"/>
              <w:spacing w:before="0" w:beforeAutospacing="0" w:after="0" w:afterAutospacing="0"/>
              <w:ind w:firstLine="493"/>
              <w:jc w:val="both"/>
            </w:pPr>
            <w:r w:rsidRPr="00D159D0">
              <w:t>Обсяг електричної енергії, що розподіляється на 1 класі напруги, складається з обсягу корисного відпуску електричної енергії на 1 класі напруги, а також обсягу трансформації електричної енергії з 1 на 2 клас напруги.</w:t>
            </w:r>
          </w:p>
          <w:p w14:paraId="46B47DCA" w14:textId="77777777" w:rsidR="00BE7345" w:rsidRPr="00D159D0" w:rsidRDefault="00BE7345" w:rsidP="004976F9">
            <w:pPr>
              <w:pStyle w:val="tj"/>
              <w:shd w:val="clear" w:color="auto" w:fill="FFFFFF"/>
              <w:spacing w:before="0" w:beforeAutospacing="0" w:after="0" w:afterAutospacing="0"/>
              <w:ind w:firstLine="493"/>
              <w:jc w:val="both"/>
            </w:pPr>
            <w:r w:rsidRPr="00D159D0">
              <w:t>Прогнозований обсяг електричної енергії, що розподіляється на 1 класі напруги, розраховується за формулою</w:t>
            </w:r>
          </w:p>
          <w:p w14:paraId="154A8946" w14:textId="77777777" w:rsidR="00BE7345" w:rsidRPr="00D159D0" w:rsidRDefault="00BE7345" w:rsidP="004976F9">
            <w:pPr>
              <w:pStyle w:val="tc"/>
              <w:shd w:val="clear" w:color="auto" w:fill="FFFFFF"/>
              <w:spacing w:before="0" w:beforeAutospacing="0" w:after="0" w:afterAutospacing="0"/>
              <w:ind w:firstLine="493"/>
              <w:jc w:val="center"/>
            </w:pPr>
            <w:r w:rsidRPr="00D159D0">
              <w:rPr>
                <w:noProof/>
              </w:rPr>
              <w:drawing>
                <wp:inline distT="0" distB="0" distL="0" distR="0" wp14:anchorId="2794836A" wp14:editId="07823933">
                  <wp:extent cx="1121641" cy="196875"/>
                  <wp:effectExtent l="0" t="0" r="2540" b="0"/>
                  <wp:docPr id="9" name="Рисунок 9" descr="https://ips.ligazakon.net/l_flib1.nsf/LookupFiles/GK40721_IMG_146.gif/$file/GK40721_IMG_1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https://ips.ligazakon.net/l_flib1.nsf/LookupFiles/GK40721_IMG_146.gif/$file/GK40721_IMG_146.gif"/>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1135083" cy="199234"/>
                          </a:xfrm>
                          <a:prstGeom prst="rect">
                            <a:avLst/>
                          </a:prstGeom>
                          <a:noFill/>
                          <a:ln>
                            <a:noFill/>
                          </a:ln>
                        </pic:spPr>
                      </pic:pic>
                    </a:graphicData>
                  </a:graphic>
                </wp:inline>
              </w:drawing>
            </w:r>
            <w:r w:rsidRPr="00D159D0">
              <w:t xml:space="preserve">, </w:t>
            </w:r>
            <w:proofErr w:type="spellStart"/>
            <w:r w:rsidRPr="00D159D0">
              <w:t>МВт·год</w:t>
            </w:r>
            <w:proofErr w:type="spellEnd"/>
            <w:r w:rsidRPr="00D159D0">
              <w:t>, (</w:t>
            </w:r>
            <w:hyperlink r:id="rId87" w:tgtFrame="_blank" w:history="1">
              <w:r w:rsidRPr="00D159D0">
                <w:t>40</w:t>
              </w:r>
            </w:hyperlink>
            <w:r w:rsidRPr="00D159D0">
              <w:t>)</w:t>
            </w:r>
          </w:p>
          <w:p w14:paraId="67810291" w14:textId="77777777" w:rsidR="00BE7345" w:rsidRPr="00D159D0" w:rsidRDefault="00F84FFC" w:rsidP="004976F9">
            <w:pPr>
              <w:pStyle w:val="tj"/>
              <w:shd w:val="clear" w:color="auto" w:fill="FFFFFF"/>
              <w:spacing w:before="0" w:beforeAutospacing="0" w:after="0" w:afterAutospacing="0"/>
              <w:ind w:firstLine="493"/>
              <w:jc w:val="both"/>
            </w:pPr>
            <w:hyperlink r:id="rId88" w:tgtFrame="_blank" w:history="1">
              <w:r w:rsidR="00BE7345" w:rsidRPr="00D159D0">
                <w:t>де </w:t>
              </w:r>
              <w:r w:rsidR="00BE7345" w:rsidRPr="00D159D0">
                <w:rPr>
                  <w:noProof/>
                </w:rPr>
                <w:drawing>
                  <wp:inline distT="0" distB="0" distL="0" distR="0" wp14:anchorId="29D91C24" wp14:editId="091956EA">
                    <wp:extent cx="258806" cy="214803"/>
                    <wp:effectExtent l="0" t="0" r="8255" b="0"/>
                    <wp:docPr id="10" name="Рисунок 10" descr="https://ips.ligazakon.net/l_flib1.nsf/LookupFiles/GK40721_IMG_286.GIF/$file/GK40721_IMG_2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Рисунок 60" descr="https://ips.ligazakon.net/l_flib1.nsf/LookupFiles/GK40721_IMG_286.GIF/$file/GK40721_IMG_286.GIF"/>
                            <pic:cNvPicPr>
                              <a:picLocks noChangeAspect="1" noChangeArrowheads="1"/>
                            </pic:cNvPicPr>
                          </pic:nvPicPr>
                          <pic:blipFill>
                            <a:blip r:embed="rId75">
                              <a:extLst>
                                <a:ext uri="{28A0092B-C50C-407E-A947-70E740481C1C}">
                                  <a14:useLocalDpi xmlns:a14="http://schemas.microsoft.com/office/drawing/2010/main" val="0"/>
                                </a:ext>
                              </a:extLst>
                            </a:blip>
                            <a:srcRect/>
                            <a:stretch>
                              <a:fillRect/>
                            </a:stretch>
                          </pic:blipFill>
                          <pic:spPr bwMode="auto">
                            <a:xfrm>
                              <a:off x="0" y="0"/>
                              <a:ext cx="259530" cy="215404"/>
                            </a:xfrm>
                            <a:prstGeom prst="rect">
                              <a:avLst/>
                            </a:prstGeom>
                            <a:noFill/>
                            <a:ln>
                              <a:noFill/>
                            </a:ln>
                          </pic:spPr>
                        </pic:pic>
                      </a:graphicData>
                    </a:graphic>
                  </wp:inline>
                </w:drawing>
              </w:r>
              <w:r w:rsidR="00BE7345" w:rsidRPr="00D159D0">
                <w:t> - прогнозований обсяг корисного відпуску електричної енергії на 1 класі напруги</w:t>
              </w:r>
            </w:hyperlink>
            <w:r w:rsidR="00BE7345" w:rsidRPr="00D159D0">
              <w:t xml:space="preserve"> (крім ліцензіатів, перелік яких наведено в додатку 30 до цього Порядку, для яких на 2024 </w:t>
            </w:r>
            <w:r w:rsidR="00BE7345" w:rsidRPr="00D159D0">
              <w:rPr>
                <w:b/>
                <w:bCs/>
                <w:strike/>
              </w:rPr>
              <w:t>та 2025 роки</w:t>
            </w:r>
            <w:r w:rsidR="00BE7345" w:rsidRPr="00D159D0">
              <w:t> </w:t>
            </w:r>
            <w:r w:rsidR="00BE7345" w:rsidRPr="00D159D0">
              <w:rPr>
                <w:noProof/>
              </w:rPr>
              <w:drawing>
                <wp:inline distT="0" distB="0" distL="0" distR="0" wp14:anchorId="2C280D93" wp14:editId="179D8D95">
                  <wp:extent cx="235470" cy="155018"/>
                  <wp:effectExtent l="0" t="0" r="0" b="0"/>
                  <wp:docPr id="11" name="Рисунок 11" descr="https://ips.ligazakon.net/l_flib1.nsf/LookupFiles/GK40721_IMG_327.GIF/$file/GK40721_IMG_32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Рисунок 61" descr="https://ips.ligazakon.net/l_flib1.nsf/LookupFiles/GK40721_IMG_327.GIF/$file/GK40721_IMG_327.GIF"/>
                          <pic:cNvPicPr>
                            <a:picLocks noChangeAspect="1" noChangeArrowheads="1"/>
                          </pic:cNvPicPr>
                        </pic:nvPicPr>
                        <pic:blipFill>
                          <a:blip r:embed="rId76">
                            <a:extLst>
                              <a:ext uri="{28A0092B-C50C-407E-A947-70E740481C1C}">
                                <a14:useLocalDpi xmlns:a14="http://schemas.microsoft.com/office/drawing/2010/main" val="0"/>
                              </a:ext>
                            </a:extLst>
                          </a:blip>
                          <a:srcRect/>
                          <a:stretch>
                            <a:fillRect/>
                          </a:stretch>
                        </pic:blipFill>
                        <pic:spPr bwMode="auto">
                          <a:xfrm>
                            <a:off x="0" y="0"/>
                            <a:ext cx="236513" cy="155705"/>
                          </a:xfrm>
                          <a:prstGeom prst="rect">
                            <a:avLst/>
                          </a:prstGeom>
                          <a:noFill/>
                          <a:ln>
                            <a:noFill/>
                          </a:ln>
                        </pic:spPr>
                      </pic:pic>
                    </a:graphicData>
                  </a:graphic>
                </wp:inline>
              </w:drawing>
            </w:r>
            <w:r w:rsidR="00BE7345" w:rsidRPr="00D159D0">
              <w:t xml:space="preserve"> фіксується на рівні, врахованому в тарифах </w:t>
            </w:r>
            <w:r w:rsidR="00BE7345" w:rsidRPr="00D159D0">
              <w:rPr>
                <w:b/>
              </w:rPr>
              <w:t>2023 року</w:t>
            </w:r>
            <w:r w:rsidR="00BE7345" w:rsidRPr="00D159D0">
              <w:t>)</w:t>
            </w:r>
            <w:hyperlink r:id="rId89" w:tgtFrame="_blank" w:history="1">
              <w:r w:rsidR="00BE7345" w:rsidRPr="00D159D0">
                <w:t xml:space="preserve">, </w:t>
              </w:r>
              <w:proofErr w:type="spellStart"/>
              <w:r w:rsidR="00BE7345" w:rsidRPr="00D159D0">
                <w:t>МВт·год</w:t>
              </w:r>
              <w:proofErr w:type="spellEnd"/>
              <w:r w:rsidR="00BE7345" w:rsidRPr="00D159D0">
                <w:t>;</w:t>
              </w:r>
            </w:hyperlink>
          </w:p>
          <w:p w14:paraId="5B4C6118" w14:textId="77777777" w:rsidR="00BE7345" w:rsidRPr="00D159D0" w:rsidRDefault="00BE7345" w:rsidP="004976F9">
            <w:pPr>
              <w:pStyle w:val="tj"/>
              <w:shd w:val="clear" w:color="auto" w:fill="FFFFFF"/>
              <w:spacing w:before="0" w:beforeAutospacing="0" w:after="0" w:afterAutospacing="0"/>
              <w:ind w:firstLine="493"/>
              <w:jc w:val="both"/>
            </w:pPr>
            <w:r w:rsidRPr="00D159D0">
              <w:t> </w:t>
            </w:r>
            <w:r w:rsidRPr="00D159D0">
              <w:rPr>
                <w:noProof/>
              </w:rPr>
              <w:drawing>
                <wp:inline distT="0" distB="0" distL="0" distR="0" wp14:anchorId="124D440E" wp14:editId="39388608">
                  <wp:extent cx="251024" cy="194021"/>
                  <wp:effectExtent l="0" t="0" r="0" b="0"/>
                  <wp:docPr id="12" name="Рисунок 12" descr="https://ips.ligazakon.net/l_flib1.nsf/LookupFiles/GK40721_IMG_148.gif/$file/GK40721_IMG_1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https://ips.ligazakon.net/l_flib1.nsf/LookupFiles/GK40721_IMG_148.gif/$file/GK40721_IMG_148.gif"/>
                          <pic:cNvPicPr>
                            <a:picLocks noChangeAspect="1" noChangeArrowheads="1"/>
                          </pic:cNvPicPr>
                        </pic:nvPicPr>
                        <pic:blipFill>
                          <a:blip r:embed="rId78">
                            <a:extLst>
                              <a:ext uri="{28A0092B-C50C-407E-A947-70E740481C1C}">
                                <a14:useLocalDpi xmlns:a14="http://schemas.microsoft.com/office/drawing/2010/main" val="0"/>
                              </a:ext>
                            </a:extLst>
                          </a:blip>
                          <a:srcRect/>
                          <a:stretch>
                            <a:fillRect/>
                          </a:stretch>
                        </pic:blipFill>
                        <pic:spPr bwMode="auto">
                          <a:xfrm>
                            <a:off x="0" y="0"/>
                            <a:ext cx="251834" cy="194647"/>
                          </a:xfrm>
                          <a:prstGeom prst="rect">
                            <a:avLst/>
                          </a:prstGeom>
                          <a:noFill/>
                          <a:ln>
                            <a:noFill/>
                          </a:ln>
                        </pic:spPr>
                      </pic:pic>
                    </a:graphicData>
                  </a:graphic>
                </wp:inline>
              </w:drawing>
            </w:r>
            <w:r w:rsidRPr="00D159D0">
              <w:t> - прогнозований обсяг електричної енергії, яка трансформується з 1 на 2 клас напруги, розраховується за формулою</w:t>
            </w:r>
          </w:p>
          <w:tbl>
            <w:tblPr>
              <w:tblW w:w="5054" w:type="dxa"/>
              <w:jc w:val="center"/>
              <w:tblLayout w:type="fixed"/>
              <w:tblCellMar>
                <w:top w:w="15" w:type="dxa"/>
                <w:left w:w="15" w:type="dxa"/>
                <w:bottom w:w="15" w:type="dxa"/>
                <w:right w:w="15" w:type="dxa"/>
              </w:tblCellMar>
              <w:tblLook w:val="04A0" w:firstRow="1" w:lastRow="0" w:firstColumn="1" w:lastColumn="0" w:noHBand="0" w:noVBand="1"/>
            </w:tblPr>
            <w:tblGrid>
              <w:gridCol w:w="2729"/>
              <w:gridCol w:w="2325"/>
            </w:tblGrid>
            <w:tr w:rsidR="00D159D0" w:rsidRPr="00D159D0" w14:paraId="54BB9677" w14:textId="77777777" w:rsidTr="00BE7345">
              <w:trPr>
                <w:trHeight w:val="567"/>
                <w:jc w:val="center"/>
              </w:trPr>
              <w:tc>
                <w:tcPr>
                  <w:tcW w:w="2700" w:type="pct"/>
                  <w:shd w:val="clear" w:color="auto" w:fill="auto"/>
                  <w:tcMar>
                    <w:top w:w="0" w:type="dxa"/>
                    <w:left w:w="0" w:type="dxa"/>
                    <w:bottom w:w="0" w:type="dxa"/>
                    <w:right w:w="0" w:type="dxa"/>
                  </w:tcMar>
                  <w:vAlign w:val="center"/>
                  <w:hideMark/>
                </w:tcPr>
                <w:p w14:paraId="1C35CF8E" w14:textId="77777777" w:rsidR="00BE7345" w:rsidRPr="00D159D0" w:rsidRDefault="00BE7345" w:rsidP="004976F9">
                  <w:pPr>
                    <w:pStyle w:val="tr"/>
                    <w:spacing w:before="0" w:beforeAutospacing="0" w:after="0" w:afterAutospacing="0"/>
                    <w:ind w:firstLine="493"/>
                    <w:jc w:val="right"/>
                  </w:pPr>
                  <w:r w:rsidRPr="00D159D0">
                    <w:rPr>
                      <w:noProof/>
                    </w:rPr>
                    <w:drawing>
                      <wp:inline distT="0" distB="0" distL="0" distR="0" wp14:anchorId="487ABC8B" wp14:editId="279FFFF5">
                        <wp:extent cx="1184564" cy="319157"/>
                        <wp:effectExtent l="0" t="0" r="0" b="5080"/>
                        <wp:docPr id="13" name="Рисунок 13" descr="https://ips.ligazakon.net/l_flib1.nsf/LookupFiles/GK40721_IMG_149.gif/$file/GK40721_IMG_1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https://ips.ligazakon.net/l_flib1.nsf/LookupFiles/GK40721_IMG_149.gif/$file/GK40721_IMG_149.gif"/>
                                <pic:cNvPicPr>
                                  <a:picLocks noChangeAspect="1" noChangeArrowheads="1"/>
                                </pic:cNvPicPr>
                              </pic:nvPicPr>
                              <pic:blipFill>
                                <a:blip r:embed="rId79">
                                  <a:extLst>
                                    <a:ext uri="{28A0092B-C50C-407E-A947-70E740481C1C}">
                                      <a14:useLocalDpi xmlns:a14="http://schemas.microsoft.com/office/drawing/2010/main" val="0"/>
                                    </a:ext>
                                  </a:extLst>
                                </a:blip>
                                <a:srcRect/>
                                <a:stretch>
                                  <a:fillRect/>
                                </a:stretch>
                              </pic:blipFill>
                              <pic:spPr bwMode="auto">
                                <a:xfrm>
                                  <a:off x="0" y="0"/>
                                  <a:ext cx="1198878" cy="323014"/>
                                </a:xfrm>
                                <a:prstGeom prst="rect">
                                  <a:avLst/>
                                </a:prstGeom>
                                <a:noFill/>
                                <a:ln>
                                  <a:noFill/>
                                </a:ln>
                              </pic:spPr>
                            </pic:pic>
                          </a:graphicData>
                        </a:graphic>
                      </wp:inline>
                    </w:drawing>
                  </w:r>
                </w:p>
              </w:tc>
              <w:tc>
                <w:tcPr>
                  <w:tcW w:w="2300" w:type="pct"/>
                  <w:shd w:val="clear" w:color="auto" w:fill="auto"/>
                  <w:tcMar>
                    <w:top w:w="0" w:type="dxa"/>
                    <w:left w:w="0" w:type="dxa"/>
                    <w:bottom w:w="0" w:type="dxa"/>
                    <w:right w:w="0" w:type="dxa"/>
                  </w:tcMar>
                  <w:vAlign w:val="center"/>
                  <w:hideMark/>
                </w:tcPr>
                <w:p w14:paraId="57683B66" w14:textId="77777777" w:rsidR="00BE7345" w:rsidRPr="00D159D0" w:rsidRDefault="00BE7345" w:rsidP="004976F9">
                  <w:pPr>
                    <w:pStyle w:val="tj"/>
                    <w:spacing w:before="0" w:beforeAutospacing="0" w:after="0" w:afterAutospacing="0"/>
                    <w:ind w:firstLine="493"/>
                    <w:jc w:val="both"/>
                  </w:pPr>
                  <w:r w:rsidRPr="00D159D0">
                    <w:t xml:space="preserve">, </w:t>
                  </w:r>
                  <w:proofErr w:type="spellStart"/>
                  <w:r w:rsidRPr="00D159D0">
                    <w:t>МВт·год</w:t>
                  </w:r>
                  <w:proofErr w:type="spellEnd"/>
                  <w:r w:rsidRPr="00D159D0">
                    <w:t>, (</w:t>
                  </w:r>
                  <w:hyperlink r:id="rId90" w:tgtFrame="_blank" w:history="1">
                    <w:r w:rsidRPr="00D159D0">
                      <w:t>41</w:t>
                    </w:r>
                  </w:hyperlink>
                  <w:r w:rsidRPr="00D159D0">
                    <w:t>)</w:t>
                  </w:r>
                </w:p>
              </w:tc>
            </w:tr>
          </w:tbl>
          <w:p w14:paraId="3B8827FA" w14:textId="77777777" w:rsidR="00BE7345" w:rsidRPr="00D159D0" w:rsidRDefault="00BE7345" w:rsidP="004976F9">
            <w:pPr>
              <w:pStyle w:val="tj"/>
              <w:shd w:val="clear" w:color="auto" w:fill="FFFFFF"/>
              <w:spacing w:before="0" w:beforeAutospacing="0" w:after="0" w:afterAutospacing="0"/>
              <w:ind w:firstLine="493"/>
              <w:jc w:val="both"/>
            </w:pPr>
            <w:r w:rsidRPr="00D159D0">
              <w:t>де </w:t>
            </w:r>
            <w:r w:rsidRPr="00D159D0">
              <w:rPr>
                <w:noProof/>
              </w:rPr>
              <w:drawing>
                <wp:inline distT="0" distB="0" distL="0" distR="0" wp14:anchorId="402B1D37" wp14:editId="510C9E32">
                  <wp:extent cx="220812" cy="194137"/>
                  <wp:effectExtent l="0" t="0" r="8255" b="0"/>
                  <wp:docPr id="14" name="Рисунок 14" descr="https://ips.ligazakon.net/l_flib1.nsf/LookupFiles/GK40721_IMG_150.gif/$file/GK40721_IMG_1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https://ips.ligazakon.net/l_flib1.nsf/LookupFiles/GK40721_IMG_150.gif/$file/GK40721_IMG_150.gif"/>
                          <pic:cNvPicPr>
                            <a:picLocks noChangeAspect="1" noChangeArrowheads="1"/>
                          </pic:cNvPicPr>
                        </pic:nvPicPr>
                        <pic:blipFill>
                          <a:blip r:embed="rId81">
                            <a:extLst>
                              <a:ext uri="{28A0092B-C50C-407E-A947-70E740481C1C}">
                                <a14:useLocalDpi xmlns:a14="http://schemas.microsoft.com/office/drawing/2010/main" val="0"/>
                              </a:ext>
                            </a:extLst>
                          </a:blip>
                          <a:srcRect/>
                          <a:stretch>
                            <a:fillRect/>
                          </a:stretch>
                        </pic:blipFill>
                        <pic:spPr bwMode="auto">
                          <a:xfrm>
                            <a:off x="0" y="0"/>
                            <a:ext cx="223870" cy="196825"/>
                          </a:xfrm>
                          <a:prstGeom prst="rect">
                            <a:avLst/>
                          </a:prstGeom>
                          <a:noFill/>
                          <a:ln>
                            <a:noFill/>
                          </a:ln>
                        </pic:spPr>
                      </pic:pic>
                    </a:graphicData>
                  </a:graphic>
                </wp:inline>
              </w:drawing>
            </w:r>
            <w:r w:rsidRPr="00D159D0">
              <w:t> - прогнозований обсяг електричної енергії, що розподіляється на 2 класі напруги </w:t>
            </w:r>
            <w:hyperlink r:id="rId91" w:tgtFrame="_blank" w:history="1">
              <w:r w:rsidRPr="00D159D0">
                <w:t>(крім ліцензіатів, перелік яких наведено в додатку 30 до цього Порядку, для яких на 2024</w:t>
              </w:r>
              <w:r w:rsidRPr="00D159D0">
                <w:rPr>
                  <w:b/>
                </w:rPr>
                <w:t xml:space="preserve"> т</w:t>
              </w:r>
              <w:r w:rsidRPr="00D159D0">
                <w:rPr>
                  <w:b/>
                  <w:strike/>
                </w:rPr>
                <w:t>а 2025 роки</w:t>
              </w:r>
              <w:r w:rsidRPr="00D159D0">
                <w:rPr>
                  <w:strike/>
                </w:rPr>
                <w:t> </w:t>
              </w:r>
              <w:r w:rsidRPr="00D159D0">
                <w:rPr>
                  <w:noProof/>
                </w:rPr>
                <w:drawing>
                  <wp:inline distT="0" distB="0" distL="0" distR="0" wp14:anchorId="6C1DCE7C" wp14:editId="4E876195">
                    <wp:extent cx="252188" cy="166024"/>
                    <wp:effectExtent l="0" t="0" r="0" b="5715"/>
                    <wp:docPr id="15" name="Рисунок 15" descr="https://ips.ligazakon.net/l_flib1.nsf/LookupFiles/GK40721_IMG_328.GIF/$file/GK40721_IMG_3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3" name="Рисунок 226433" descr="https://ips.ligazakon.net/l_flib1.nsf/LookupFiles/GK40721_IMG_328.GIF/$file/GK40721_IMG_328.GIF"/>
                            <pic:cNvPicPr>
                              <a:picLocks noChangeAspect="1" noChangeArrowheads="1"/>
                            </pic:cNvPicPr>
                          </pic:nvPicPr>
                          <pic:blipFill>
                            <a:blip r:embed="rId83">
                              <a:extLst>
                                <a:ext uri="{28A0092B-C50C-407E-A947-70E740481C1C}">
                                  <a14:useLocalDpi xmlns:a14="http://schemas.microsoft.com/office/drawing/2010/main" val="0"/>
                                </a:ext>
                              </a:extLst>
                            </a:blip>
                            <a:srcRect/>
                            <a:stretch>
                              <a:fillRect/>
                            </a:stretch>
                          </pic:blipFill>
                          <pic:spPr bwMode="auto">
                            <a:xfrm>
                              <a:off x="0" y="0"/>
                              <a:ext cx="252628" cy="166314"/>
                            </a:xfrm>
                            <a:prstGeom prst="rect">
                              <a:avLst/>
                            </a:prstGeom>
                            <a:noFill/>
                            <a:ln>
                              <a:noFill/>
                            </a:ln>
                          </pic:spPr>
                        </pic:pic>
                      </a:graphicData>
                    </a:graphic>
                  </wp:inline>
                </w:drawing>
              </w:r>
              <w:r w:rsidRPr="00D159D0">
                <w:t xml:space="preserve"> фіксується на рівні, врахованому в тарифах </w:t>
              </w:r>
              <w:r w:rsidRPr="00D159D0">
                <w:rPr>
                  <w:b/>
                </w:rPr>
                <w:t>2023 року</w:t>
              </w:r>
              <w:r w:rsidRPr="00D159D0">
                <w:t>)</w:t>
              </w:r>
            </w:hyperlink>
            <w:r w:rsidRPr="00D159D0">
              <w:t xml:space="preserve">, </w:t>
            </w:r>
            <w:proofErr w:type="spellStart"/>
            <w:r w:rsidRPr="00D159D0">
              <w:t>МВт·год</w:t>
            </w:r>
            <w:proofErr w:type="spellEnd"/>
            <w:r w:rsidRPr="00D159D0">
              <w:t>;</w:t>
            </w:r>
          </w:p>
          <w:p w14:paraId="71726601" w14:textId="77777777" w:rsidR="00BE7345" w:rsidRPr="00D159D0" w:rsidRDefault="00BE7345" w:rsidP="004976F9">
            <w:pPr>
              <w:jc w:val="both"/>
              <w:rPr>
                <w:lang w:val="uk-UA"/>
              </w:rPr>
            </w:pPr>
            <w:r w:rsidRPr="00D159D0">
              <w:rPr>
                <w:lang w:val="uk-UA"/>
              </w:rPr>
              <w:t> </w:t>
            </w:r>
            <w:r w:rsidRPr="00D159D0">
              <w:rPr>
                <w:noProof/>
                <w:lang w:val="uk-UA"/>
              </w:rPr>
              <w:drawing>
                <wp:inline distT="0" distB="0" distL="0" distR="0" wp14:anchorId="3AB778C1" wp14:editId="2BA065F9">
                  <wp:extent cx="491836" cy="173496"/>
                  <wp:effectExtent l="0" t="0" r="3810" b="0"/>
                  <wp:docPr id="16" name="Рисунок 16" descr="https://ips.ligazakon.net/l_flib1.nsf/LookupFiles/GK40721_IMG_151.gif/$file/GK40721_IMG_15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https://ips.ligazakon.net/l_flib1.nsf/LookupFiles/GK40721_IMG_151.gif/$file/GK40721_IMG_151.gif"/>
                          <pic:cNvPicPr>
                            <a:picLocks noChangeAspect="1" noChangeArrowheads="1"/>
                          </pic:cNvPicPr>
                        </pic:nvPicPr>
                        <pic:blipFill>
                          <a:blip r:embed="rId84">
                            <a:extLst>
                              <a:ext uri="{28A0092B-C50C-407E-A947-70E740481C1C}">
                                <a14:useLocalDpi xmlns:a14="http://schemas.microsoft.com/office/drawing/2010/main" val="0"/>
                              </a:ext>
                            </a:extLst>
                          </a:blip>
                          <a:srcRect/>
                          <a:stretch>
                            <a:fillRect/>
                          </a:stretch>
                        </pic:blipFill>
                        <pic:spPr bwMode="auto">
                          <a:xfrm>
                            <a:off x="0" y="0"/>
                            <a:ext cx="495544" cy="174804"/>
                          </a:xfrm>
                          <a:prstGeom prst="rect">
                            <a:avLst/>
                          </a:prstGeom>
                          <a:noFill/>
                          <a:ln>
                            <a:noFill/>
                          </a:ln>
                        </pic:spPr>
                      </pic:pic>
                    </a:graphicData>
                  </a:graphic>
                </wp:inline>
              </w:drawing>
            </w:r>
            <w:r w:rsidRPr="00D159D0">
              <w:rPr>
                <w:lang w:val="uk-UA"/>
              </w:rPr>
              <w:t> - прогнозований обсяг електричної енергії, що надходить від генеруючих компаній безпосередньо на 2 клас напруги на рік t </w:t>
            </w:r>
            <w:hyperlink r:id="rId92" w:tgtFrame="_blank" w:history="1">
              <w:r w:rsidRPr="00D159D0">
                <w:rPr>
                  <w:lang w:val="uk-UA"/>
                </w:rPr>
                <w:t xml:space="preserve">(крім ліцензіатів, перелік яких </w:t>
              </w:r>
              <w:r w:rsidRPr="00D159D0">
                <w:rPr>
                  <w:lang w:val="uk-UA"/>
                </w:rPr>
                <w:lastRenderedPageBreak/>
                <w:t>наведено в додатку 30 до цього Порядку, для яких на 2024</w:t>
              </w:r>
              <w:r w:rsidRPr="00D159D0">
                <w:rPr>
                  <w:b/>
                  <w:lang w:val="uk-UA"/>
                </w:rPr>
                <w:t xml:space="preserve"> </w:t>
              </w:r>
              <w:r w:rsidRPr="00D159D0">
                <w:rPr>
                  <w:b/>
                  <w:strike/>
                  <w:lang w:val="uk-UA"/>
                </w:rPr>
                <w:t>та 2025 роки</w:t>
              </w:r>
              <w:r w:rsidRPr="00D159D0">
                <w:rPr>
                  <w:lang w:val="uk-UA"/>
                </w:rPr>
                <w:t> </w:t>
              </w:r>
              <w:r w:rsidRPr="00D159D0">
                <w:rPr>
                  <w:noProof/>
                  <w:lang w:val="uk-UA"/>
                </w:rPr>
                <w:drawing>
                  <wp:inline distT="0" distB="0" distL="0" distR="0" wp14:anchorId="4374BD7A" wp14:editId="7095B7C0">
                    <wp:extent cx="505691" cy="168386"/>
                    <wp:effectExtent l="0" t="0" r="8890" b="3175"/>
                    <wp:docPr id="17" name="Рисунок 17" descr="https://ips.ligazakon.net/l_flib1.nsf/LookupFiles/GK40721_IMG_329.GIF/$file/GK40721_IMG_32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6435" name="Рисунок 226435" descr="https://ips.ligazakon.net/l_flib1.nsf/LookupFiles/GK40721_IMG_329.GIF/$file/GK40721_IMG_329.GIF"/>
                            <pic:cNvPicPr>
                              <a:picLocks noChangeAspect="1" noChangeArrowheads="1"/>
                            </pic:cNvPicPr>
                          </pic:nvPicPr>
                          <pic:blipFill>
                            <a:blip r:embed="rId86">
                              <a:extLst>
                                <a:ext uri="{28A0092B-C50C-407E-A947-70E740481C1C}">
                                  <a14:useLocalDpi xmlns:a14="http://schemas.microsoft.com/office/drawing/2010/main" val="0"/>
                                </a:ext>
                              </a:extLst>
                            </a:blip>
                            <a:srcRect/>
                            <a:stretch>
                              <a:fillRect/>
                            </a:stretch>
                          </pic:blipFill>
                          <pic:spPr bwMode="auto">
                            <a:xfrm>
                              <a:off x="0" y="0"/>
                              <a:ext cx="509517" cy="169660"/>
                            </a:xfrm>
                            <a:prstGeom prst="rect">
                              <a:avLst/>
                            </a:prstGeom>
                            <a:noFill/>
                            <a:ln>
                              <a:noFill/>
                            </a:ln>
                          </pic:spPr>
                        </pic:pic>
                      </a:graphicData>
                    </a:graphic>
                  </wp:inline>
                </w:drawing>
              </w:r>
              <w:r w:rsidRPr="00D159D0">
                <w:rPr>
                  <w:lang w:val="uk-UA"/>
                </w:rPr>
                <w:t xml:space="preserve"> фіксується на рівні, врахованому в тарифах </w:t>
              </w:r>
              <w:r w:rsidRPr="00D159D0">
                <w:rPr>
                  <w:b/>
                  <w:lang w:val="uk-UA"/>
                </w:rPr>
                <w:t>2023 року</w:t>
              </w:r>
              <w:r w:rsidRPr="00D159D0">
                <w:rPr>
                  <w:lang w:val="uk-UA"/>
                </w:rPr>
                <w:t>)</w:t>
              </w:r>
            </w:hyperlink>
            <w:r w:rsidRPr="00D159D0">
              <w:rPr>
                <w:lang w:val="uk-UA"/>
              </w:rPr>
              <w:t xml:space="preserve">, </w:t>
            </w:r>
            <w:proofErr w:type="spellStart"/>
            <w:r w:rsidRPr="00D159D0">
              <w:rPr>
                <w:lang w:val="uk-UA"/>
              </w:rPr>
              <w:t>МВт·год</w:t>
            </w:r>
            <w:proofErr w:type="spellEnd"/>
            <w:r w:rsidRPr="00D159D0">
              <w:rPr>
                <w:lang w:val="uk-UA"/>
              </w:rPr>
              <w:t>.</w:t>
            </w:r>
          </w:p>
          <w:p w14:paraId="4CC01971" w14:textId="77777777" w:rsidR="00BE7345" w:rsidRPr="00D159D0" w:rsidRDefault="00BE7345" w:rsidP="004976F9">
            <w:pPr>
              <w:jc w:val="both"/>
              <w:rPr>
                <w:b/>
                <w:bCs/>
                <w:lang w:val="uk-UA"/>
              </w:rPr>
            </w:pPr>
          </w:p>
          <w:p w14:paraId="009CDF3E" w14:textId="77777777" w:rsidR="00BE7345" w:rsidRPr="00D159D0" w:rsidRDefault="00BE7345" w:rsidP="004976F9">
            <w:pPr>
              <w:jc w:val="both"/>
              <w:rPr>
                <w:b/>
                <w:lang w:val="uk-UA"/>
              </w:rPr>
            </w:pPr>
            <w:r w:rsidRPr="00D159D0">
              <w:rPr>
                <w:b/>
                <w:lang w:val="uk-UA"/>
              </w:rPr>
              <w:t>ПАТ «ЗАПОРІЖЖЯОБЛЕНЕРГО» лист від 12.07.2024 № 001-33/638</w:t>
            </w:r>
          </w:p>
          <w:p w14:paraId="1D2D032D" w14:textId="77777777" w:rsidR="00BE7345" w:rsidRPr="00D159D0" w:rsidRDefault="00BE7345" w:rsidP="004976F9">
            <w:pPr>
              <w:spacing w:line="20" w:lineRule="atLeast"/>
              <w:jc w:val="both"/>
              <w:rPr>
                <w:lang w:val="uk-UA" w:eastAsia="zh-CN"/>
              </w:rPr>
            </w:pPr>
            <w:r w:rsidRPr="00D159D0">
              <w:rPr>
                <w:rStyle w:val="a9"/>
                <w:b w:val="0"/>
                <w:bdr w:val="none" w:sz="0" w:space="0" w:color="auto" w:frame="1"/>
                <w:lang w:val="uk-UA" w:eastAsia="uk-UA"/>
              </w:rPr>
              <w:t xml:space="preserve">На сьогоднішній день значна частина  території  Запорізької області знаходиться в зоні активних бойових дій та/або окупована російською федерацією. </w:t>
            </w:r>
            <w:r w:rsidRPr="00D159D0">
              <w:rPr>
                <w:rStyle w:val="a9"/>
                <w:b w:val="0"/>
                <w:bdr w:val="none" w:sz="0" w:space="0" w:color="auto" w:frame="1"/>
                <w:shd w:val="clear" w:color="auto" w:fill="FFFFFF"/>
                <w:lang w:val="uk-UA" w:eastAsia="uk-UA"/>
              </w:rPr>
              <w:t>Також систематично здійснюються ракетні обстріли населених пунктів Запорізької області.</w:t>
            </w:r>
            <w:r w:rsidRPr="00D159D0">
              <w:rPr>
                <w:rStyle w:val="a9"/>
                <w:b w:val="0"/>
                <w:bdr w:val="none" w:sz="0" w:space="0" w:color="auto" w:frame="1"/>
                <w:lang w:val="uk-UA" w:eastAsia="uk-UA"/>
              </w:rPr>
              <w:t xml:space="preserve"> </w:t>
            </w:r>
            <w:r w:rsidRPr="00D159D0">
              <w:rPr>
                <w:rStyle w:val="a9"/>
                <w:b w:val="0"/>
                <w:bdr w:val="none" w:sz="0" w:space="0" w:color="auto" w:frame="1"/>
                <w:shd w:val="clear" w:color="auto" w:fill="FFFFFF"/>
                <w:lang w:val="uk-UA" w:eastAsia="uk-UA"/>
              </w:rPr>
              <w:t xml:space="preserve">Через </w:t>
            </w:r>
            <w:r w:rsidRPr="00D159D0">
              <w:rPr>
                <w:shd w:val="clear" w:color="auto" w:fill="FFFFFF"/>
                <w:lang w:val="uk-UA" w:eastAsia="uk-UA"/>
              </w:rPr>
              <w:t xml:space="preserve">постійні пошкодження та руйнування енергетичної інфраструктури </w:t>
            </w:r>
            <w:r w:rsidRPr="00D159D0">
              <w:rPr>
                <w:shd w:val="clear" w:color="auto" w:fill="FFFFFF"/>
                <w:lang w:val="uk-UA"/>
              </w:rPr>
              <w:t>товариство несе витрати на відновлення електромереж, каналів диспетчерського та технологічного зв’язку – адже вони чи не щодня зазнають катастрофічних руйнувань від війни. При цьому, в тарифах на послуги з розподілу електричної енергії не передбачено спеціальних фондів для здійснення робіт з відновлювання розподільчих мереж.</w:t>
            </w:r>
          </w:p>
          <w:p w14:paraId="62DF8AEC" w14:textId="77777777" w:rsidR="00BE7345" w:rsidRPr="00D159D0" w:rsidRDefault="00BE7345" w:rsidP="004976F9">
            <w:pPr>
              <w:ind w:firstLine="322"/>
              <w:jc w:val="both"/>
              <w:rPr>
                <w:b/>
                <w:lang w:val="uk-UA"/>
              </w:rPr>
            </w:pPr>
            <w:r w:rsidRPr="00D159D0">
              <w:rPr>
                <w:rStyle w:val="a9"/>
                <w:b w:val="0"/>
                <w:bdr w:val="none" w:sz="0" w:space="0" w:color="auto" w:frame="1"/>
                <w:lang w:val="uk-UA"/>
              </w:rPr>
              <w:t xml:space="preserve">Як наслідок, фактичні обсяги розподілу електроенергії є меншими у порівнянні з обсягами, врахованих в тарифах.  У зв’язку з чим, товариство щомісячно </w:t>
            </w:r>
            <w:proofErr w:type="spellStart"/>
            <w:r w:rsidRPr="00D159D0">
              <w:rPr>
                <w:rStyle w:val="a9"/>
                <w:b w:val="0"/>
                <w:bdr w:val="none" w:sz="0" w:space="0" w:color="auto" w:frame="1"/>
                <w:lang w:val="uk-UA"/>
              </w:rPr>
              <w:t>недоотримує</w:t>
            </w:r>
            <w:proofErr w:type="spellEnd"/>
            <w:r w:rsidRPr="00D159D0">
              <w:rPr>
                <w:rStyle w:val="a9"/>
                <w:b w:val="0"/>
                <w:bdr w:val="none" w:sz="0" w:space="0" w:color="auto" w:frame="1"/>
                <w:lang w:val="uk-UA"/>
              </w:rPr>
              <w:t xml:space="preserve"> кошти на покриття витрат на здійснення ліцензованої діяльності.</w:t>
            </w:r>
            <w:r w:rsidRPr="00D159D0">
              <w:rPr>
                <w:rStyle w:val="a9"/>
                <w:bdr w:val="none" w:sz="0" w:space="0" w:color="auto" w:frame="1"/>
                <w:lang w:val="uk-UA"/>
              </w:rPr>
              <w:t xml:space="preserve"> </w:t>
            </w:r>
            <w:r w:rsidRPr="00D159D0">
              <w:rPr>
                <w:iCs/>
                <w:lang w:val="uk-UA"/>
              </w:rPr>
              <w:t>Внаслідок того, що при встановленні тарифів на послуги з розподілу електричної енергії, обсяги розподілу електричної енергії залишено на рівні, врахованому в діючих тарифах 2022 року, який сформований ще за фактом 2021 року, недоотримання необхідного доходу за 2022 рік</w:t>
            </w:r>
            <w:r w:rsidRPr="00D159D0">
              <w:rPr>
                <w:b/>
                <w:iCs/>
                <w:lang w:val="uk-UA"/>
              </w:rPr>
              <w:t xml:space="preserve"> </w:t>
            </w:r>
            <w:r w:rsidRPr="00D159D0">
              <w:rPr>
                <w:rStyle w:val="a9"/>
                <w:b w:val="0"/>
                <w:shd w:val="clear" w:color="auto" w:fill="FFFFFF"/>
                <w:lang w:val="uk-UA"/>
              </w:rPr>
              <w:t>становить 1 508 млн. грн, за 2023 рік 2 619 млн. грн, за І півріччя 2024 року очікується близько 1 689 млн. грн.</w:t>
            </w:r>
          </w:p>
          <w:p w14:paraId="34E16035" w14:textId="77777777" w:rsidR="00BE7345" w:rsidRPr="00D159D0" w:rsidRDefault="00BE7345" w:rsidP="004976F9">
            <w:pPr>
              <w:ind w:firstLine="322"/>
              <w:jc w:val="both"/>
              <w:rPr>
                <w:lang w:val="uk-UA"/>
              </w:rPr>
            </w:pPr>
            <w:r w:rsidRPr="00D159D0">
              <w:rPr>
                <w:lang w:val="uk-UA"/>
              </w:rPr>
              <w:t xml:space="preserve">Гострий дефіцит обігових коштів  ставить під загрозу не тільки спроможність виконувати аварійно-відновлювальні роботи енергетичної інфраструктури, яка зазнає постійних руйнувань, внаслідок обстрілів з </w:t>
            </w:r>
            <w:r w:rsidRPr="00D159D0">
              <w:rPr>
                <w:lang w:val="uk-UA"/>
              </w:rPr>
              <w:lastRenderedPageBreak/>
              <w:t xml:space="preserve">боку </w:t>
            </w:r>
            <w:proofErr w:type="spellStart"/>
            <w:r w:rsidRPr="00D159D0">
              <w:rPr>
                <w:lang w:val="uk-UA"/>
              </w:rPr>
              <w:t>рф</w:t>
            </w:r>
            <w:proofErr w:type="spellEnd"/>
            <w:r w:rsidRPr="00D159D0">
              <w:rPr>
                <w:lang w:val="uk-UA"/>
              </w:rPr>
              <w:t>, а і саму можливість здійснення компанією ліцензійної діяльності з надання послуг розподілу електричної енергії для споживачів Запорізької області.</w:t>
            </w:r>
          </w:p>
          <w:p w14:paraId="0CE893AF" w14:textId="1DF4C1CA" w:rsidR="00BE7345" w:rsidRPr="00D159D0" w:rsidRDefault="00BE7345" w:rsidP="00A95B3A">
            <w:pPr>
              <w:pStyle w:val="aa"/>
              <w:shd w:val="clear" w:color="auto" w:fill="FFFFFF"/>
              <w:spacing w:before="0" w:after="0"/>
              <w:ind w:firstLine="322"/>
              <w:jc w:val="both"/>
              <w:textAlignment w:val="baseline"/>
              <w:rPr>
                <w:lang w:val="uk-UA"/>
              </w:rPr>
            </w:pPr>
            <w:r w:rsidRPr="00D159D0">
              <w:rPr>
                <w:rFonts w:eastAsia="Calibri"/>
                <w:lang w:val="uk-UA" w:eastAsia="en-US"/>
              </w:rPr>
              <w:t>Вважаємо обґрунтованим, не подовжувати для ПАТ «</w:t>
            </w:r>
            <w:proofErr w:type="spellStart"/>
            <w:r w:rsidRPr="00D159D0">
              <w:rPr>
                <w:rFonts w:eastAsia="Calibri"/>
                <w:lang w:val="uk-UA" w:eastAsia="en-US"/>
              </w:rPr>
              <w:t>Запоріжжяобленерго</w:t>
            </w:r>
            <w:proofErr w:type="spellEnd"/>
            <w:r w:rsidRPr="00D159D0">
              <w:rPr>
                <w:rFonts w:eastAsia="Calibri"/>
                <w:lang w:val="uk-UA" w:eastAsia="en-US"/>
              </w:rPr>
              <w:t>»  на 2025 рік фіксування прогнозованих обсягів розподілу електричної енергії на рівні, врахованому в діючих тарифах та виключити ПАТ «</w:t>
            </w:r>
            <w:proofErr w:type="spellStart"/>
            <w:r w:rsidRPr="00D159D0">
              <w:rPr>
                <w:rFonts w:eastAsia="Calibri"/>
                <w:lang w:val="uk-UA" w:eastAsia="en-US"/>
              </w:rPr>
              <w:t>Запоріжжяобленерго</w:t>
            </w:r>
            <w:proofErr w:type="spellEnd"/>
            <w:r w:rsidRPr="00D159D0">
              <w:rPr>
                <w:rFonts w:eastAsia="Calibri"/>
                <w:lang w:val="uk-UA" w:eastAsia="en-US"/>
              </w:rPr>
              <w:t>» з  переліку ОСР, який наведено в додатку 30 до Порядку № 1175,</w:t>
            </w:r>
            <w:r w:rsidRPr="00D159D0">
              <w:rPr>
                <w:rFonts w:eastAsia="Calibri"/>
                <w:b/>
                <w:lang w:val="uk-UA" w:eastAsia="en-US"/>
              </w:rPr>
              <w:t xml:space="preserve"> </w:t>
            </w:r>
            <w:r w:rsidRPr="00D159D0">
              <w:rPr>
                <w:rFonts w:eastAsia="Calibri"/>
                <w:lang w:val="uk-UA" w:eastAsia="en-US"/>
              </w:rPr>
              <w:t>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 309, зареєстрованим в Міністерстві юстиції України 23 грудня 2022 року за № 1668/39004.</w:t>
            </w:r>
          </w:p>
        </w:tc>
        <w:tc>
          <w:tcPr>
            <w:tcW w:w="3544" w:type="dxa"/>
          </w:tcPr>
          <w:p w14:paraId="5625F486" w14:textId="77777777" w:rsidR="00A95B3A" w:rsidRPr="00D159D0" w:rsidRDefault="00A95B3A" w:rsidP="00A95B3A">
            <w:pPr>
              <w:jc w:val="both"/>
              <w:rPr>
                <w:b/>
                <w:bCs/>
                <w:lang w:val="uk-UA"/>
              </w:rPr>
            </w:pPr>
            <w:r w:rsidRPr="00D159D0">
              <w:rPr>
                <w:b/>
                <w:bCs/>
                <w:lang w:val="uk-UA"/>
              </w:rPr>
              <w:lastRenderedPageBreak/>
              <w:t>Загальна позиція</w:t>
            </w:r>
          </w:p>
          <w:p w14:paraId="09229718" w14:textId="77777777" w:rsidR="00A95B3A" w:rsidRPr="00D159D0" w:rsidRDefault="00A95B3A" w:rsidP="00A95B3A">
            <w:pPr>
              <w:widowControl w:val="0"/>
              <w:suppressAutoHyphens/>
              <w:contextualSpacing/>
              <w:jc w:val="both"/>
              <w:rPr>
                <w:b/>
                <w:bCs/>
                <w:lang w:val="uk-UA"/>
              </w:rPr>
            </w:pPr>
            <w:r w:rsidRPr="00D159D0">
              <w:rPr>
                <w:b/>
                <w:bCs/>
                <w:lang w:val="uk-UA"/>
              </w:rPr>
              <w:t>Не враховується</w:t>
            </w:r>
          </w:p>
          <w:p w14:paraId="047483D2" w14:textId="705DF4B0" w:rsidR="00AD2A16" w:rsidRPr="00D159D0" w:rsidRDefault="00B85FC5" w:rsidP="00A95B3A">
            <w:pPr>
              <w:jc w:val="both"/>
              <w:rPr>
                <w:b/>
                <w:bCs/>
                <w:lang w:val="uk-UA"/>
              </w:rPr>
            </w:pPr>
            <w:r w:rsidRPr="00D159D0">
              <w:rPr>
                <w:b/>
                <w:lang w:val="uk-UA"/>
              </w:rPr>
              <w:t>Пропонується</w:t>
            </w:r>
            <w:r w:rsidRPr="00D159D0">
              <w:rPr>
                <w:bCs/>
                <w:lang w:val="uk-UA"/>
              </w:rPr>
              <w:t xml:space="preserve"> </w:t>
            </w:r>
            <w:r w:rsidRPr="00D159D0">
              <w:rPr>
                <w:b/>
                <w:lang w:val="uk-UA"/>
              </w:rPr>
              <w:t>питання особливості діяльності прифронтових ОСР розглянути під час формування окремого блоку чергових змін до Порядку</w:t>
            </w:r>
          </w:p>
        </w:tc>
      </w:tr>
      <w:tr w:rsidR="00D159D0" w:rsidRPr="00F84FFC" w14:paraId="20BBC67D" w14:textId="77777777" w:rsidTr="00EE26FC">
        <w:tc>
          <w:tcPr>
            <w:tcW w:w="5665" w:type="dxa"/>
          </w:tcPr>
          <w:p w14:paraId="6DF9DF39" w14:textId="77777777" w:rsidR="0030746B" w:rsidRPr="00D159D0" w:rsidRDefault="0030746B" w:rsidP="004976F9">
            <w:pPr>
              <w:pStyle w:val="tl"/>
              <w:shd w:val="clear" w:color="auto" w:fill="FFFFFF"/>
              <w:spacing w:before="0" w:beforeAutospacing="0" w:after="0" w:afterAutospacing="0"/>
              <w:jc w:val="both"/>
              <w:rPr>
                <w:b/>
              </w:rPr>
            </w:pPr>
          </w:p>
        </w:tc>
        <w:tc>
          <w:tcPr>
            <w:tcW w:w="5954" w:type="dxa"/>
          </w:tcPr>
          <w:p w14:paraId="25F5776F" w14:textId="77777777" w:rsidR="0030746B" w:rsidRPr="00D159D0" w:rsidRDefault="0030746B" w:rsidP="004976F9">
            <w:pPr>
              <w:jc w:val="both"/>
              <w:rPr>
                <w:b/>
                <w:lang w:val="uk-UA"/>
              </w:rPr>
            </w:pPr>
          </w:p>
        </w:tc>
        <w:tc>
          <w:tcPr>
            <w:tcW w:w="3544" w:type="dxa"/>
          </w:tcPr>
          <w:p w14:paraId="5EBA7636" w14:textId="77777777" w:rsidR="0030746B" w:rsidRPr="00D159D0" w:rsidRDefault="0030746B" w:rsidP="0030746B">
            <w:pPr>
              <w:pStyle w:val="rvps2"/>
              <w:spacing w:before="0" w:beforeAutospacing="0" w:after="0" w:afterAutospacing="0"/>
              <w:ind w:firstLine="34"/>
              <w:jc w:val="both"/>
              <w:rPr>
                <w:b/>
                <w:bCs/>
              </w:rPr>
            </w:pPr>
            <w:r w:rsidRPr="00D159D0">
              <w:rPr>
                <w:b/>
                <w:bCs/>
              </w:rPr>
              <w:t xml:space="preserve">Виправлення технічної помилки </w:t>
            </w:r>
          </w:p>
          <w:p w14:paraId="3255D66D" w14:textId="77777777" w:rsidR="0030746B" w:rsidRPr="00D159D0" w:rsidRDefault="0030746B" w:rsidP="0030746B">
            <w:pPr>
              <w:pStyle w:val="rvps2"/>
              <w:spacing w:before="0" w:beforeAutospacing="0" w:after="0" w:afterAutospacing="0"/>
              <w:ind w:firstLine="34"/>
              <w:jc w:val="both"/>
              <w:rPr>
                <w:b/>
                <w:bCs/>
              </w:rPr>
            </w:pPr>
          </w:p>
          <w:p w14:paraId="54F39C30" w14:textId="205533D7" w:rsidR="0030746B" w:rsidRPr="00D159D0" w:rsidRDefault="0030746B" w:rsidP="0030746B">
            <w:pPr>
              <w:jc w:val="both"/>
              <w:rPr>
                <w:b/>
                <w:bCs/>
                <w:lang w:val="uk-UA"/>
              </w:rPr>
            </w:pPr>
            <w:r w:rsidRPr="00D159D0">
              <w:rPr>
                <w:b/>
                <w:bCs/>
                <w:lang w:val="uk-UA"/>
              </w:rPr>
              <w:t>Пропонується Додаток 25 до Порядку встановлення (формування) тарифів на послуги з розподілу електричної енергії «Розрахунок цільового завдання щодо досягнення показників якості послуг з розподілу електричної енергії з _______ року до _______ року» викласти у новій редакції</w:t>
            </w:r>
            <w:r w:rsidR="008D5040" w:rsidRPr="00D159D0">
              <w:rPr>
                <w:b/>
                <w:bCs/>
                <w:lang w:val="uk-UA"/>
              </w:rPr>
              <w:t xml:space="preserve"> (додаток додоється)</w:t>
            </w:r>
            <w:r w:rsidRPr="00D159D0">
              <w:rPr>
                <w:b/>
                <w:bCs/>
                <w:lang w:val="uk-UA"/>
              </w:rPr>
              <w:t>.</w:t>
            </w:r>
          </w:p>
        </w:tc>
      </w:tr>
      <w:tr w:rsidR="00D159D0" w:rsidRPr="00D159D0" w14:paraId="6B055036" w14:textId="77777777" w:rsidTr="00EE26FC">
        <w:tc>
          <w:tcPr>
            <w:tcW w:w="5665" w:type="dxa"/>
          </w:tcPr>
          <w:p w14:paraId="4B08BC85" w14:textId="77777777" w:rsidR="00BE7345" w:rsidRPr="00D159D0" w:rsidRDefault="00BE7345" w:rsidP="004976F9">
            <w:pPr>
              <w:pStyle w:val="tl"/>
              <w:shd w:val="clear" w:color="auto" w:fill="FFFFFF"/>
              <w:spacing w:before="0" w:beforeAutospacing="0" w:after="0" w:afterAutospacing="0"/>
              <w:jc w:val="both"/>
              <w:rPr>
                <w:b/>
              </w:rPr>
            </w:pPr>
            <w:r w:rsidRPr="00D159D0">
              <w:rPr>
                <w:b/>
              </w:rPr>
              <w:lastRenderedPageBreak/>
              <w:t>Додаток 32 до Порядку встановлення (формування) тарифів на послуги з розподілу електричної енергії</w:t>
            </w:r>
          </w:p>
          <w:p w14:paraId="293516A1" w14:textId="77777777" w:rsidR="00BE7345" w:rsidRPr="00D159D0" w:rsidRDefault="00BE7345" w:rsidP="004976F9">
            <w:pPr>
              <w:pStyle w:val="3"/>
              <w:shd w:val="clear" w:color="auto" w:fill="FFFFFF"/>
              <w:spacing w:before="0" w:after="0"/>
              <w:jc w:val="both"/>
              <w:outlineLvl w:val="2"/>
              <w:rPr>
                <w:rFonts w:ascii="Times New Roman" w:hAnsi="Times New Roman"/>
                <w:b w:val="0"/>
                <w:bCs w:val="0"/>
                <w:sz w:val="24"/>
                <w:szCs w:val="24"/>
                <w:lang w:eastAsia="uk-UA"/>
              </w:rPr>
            </w:pPr>
            <w:r w:rsidRPr="00D159D0">
              <w:rPr>
                <w:rFonts w:ascii="Times New Roman" w:hAnsi="Times New Roman"/>
                <w:bCs w:val="0"/>
                <w:sz w:val="24"/>
                <w:szCs w:val="24"/>
                <w:lang w:eastAsia="uk-UA"/>
              </w:rPr>
              <w:t>ПЕРЕЛІК операторів систем розподілу, до яких не застосовується коригування необхідного доходу відповідно до даних виконання цільового завдання щодо досягнення показників якості послуг за 2024 рік</w:t>
            </w:r>
          </w:p>
          <w:p w14:paraId="74B1EFEF"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«ДТЕК ДНІПРОВСЬКІ ЕЛЕКТРОМЕРЕЖІ»</w:t>
            </w:r>
          </w:p>
          <w:p w14:paraId="694E8EAB"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«ДТЕК ДОНЕЦЬКІ ЕЛЕКТРОМЕРЕЖІ»;</w:t>
            </w:r>
          </w:p>
          <w:p w14:paraId="05C4373A" w14:textId="77777777" w:rsidR="00BE7345" w:rsidRPr="00D159D0" w:rsidRDefault="00BE7345" w:rsidP="004976F9">
            <w:pPr>
              <w:pStyle w:val="tj"/>
              <w:shd w:val="clear" w:color="auto" w:fill="FFFFFF"/>
              <w:spacing w:before="0" w:beforeAutospacing="0" w:after="0" w:afterAutospacing="0"/>
              <w:jc w:val="both"/>
              <w:rPr>
                <w:b/>
              </w:rPr>
            </w:pPr>
            <w:r w:rsidRPr="00D159D0">
              <w:rPr>
                <w:b/>
              </w:rPr>
              <w:t>ПАТ «ЗАПОРІЖЖЯОБЛЕНЕРГО»;</w:t>
            </w:r>
          </w:p>
          <w:p w14:paraId="53875E45"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«МИКОЛАЇВОБЛЕНЕРГО»;</w:t>
            </w:r>
          </w:p>
          <w:p w14:paraId="0B3871BC"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«СУМИОБЛЕНЕРГО»;</w:t>
            </w:r>
          </w:p>
          <w:p w14:paraId="0F6FE5A8"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«ХАРКІВОБЛЕНЕРГО»;</w:t>
            </w:r>
          </w:p>
          <w:p w14:paraId="52CA25E3"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«ХЕРСОНОБЛЕНЕРГО»;</w:t>
            </w:r>
          </w:p>
          <w:p w14:paraId="301C56B9"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«ЧЕРНІГІВОБЛЕНЕРГО»;</w:t>
            </w:r>
          </w:p>
          <w:p w14:paraId="4A37C834" w14:textId="77777777" w:rsidR="00BE7345" w:rsidRPr="00D159D0" w:rsidRDefault="00BE7345" w:rsidP="004976F9">
            <w:pPr>
              <w:pStyle w:val="tj"/>
              <w:shd w:val="clear" w:color="auto" w:fill="FFFFFF"/>
              <w:spacing w:before="0" w:beforeAutospacing="0" w:after="0" w:afterAutospacing="0"/>
              <w:jc w:val="both"/>
              <w:rPr>
                <w:b/>
              </w:rPr>
            </w:pPr>
            <w:r w:rsidRPr="00D159D0">
              <w:rPr>
                <w:b/>
              </w:rPr>
              <w:t>ТОВ «ДТЕК ВИСОКОВОЛЬТНІ МЕРЕЖІ»;</w:t>
            </w:r>
          </w:p>
          <w:p w14:paraId="59085A4A" w14:textId="77777777" w:rsidR="00BE7345" w:rsidRPr="00D159D0" w:rsidRDefault="00BE7345" w:rsidP="004976F9">
            <w:pPr>
              <w:pStyle w:val="tj"/>
              <w:shd w:val="clear" w:color="auto" w:fill="FFFFFF"/>
              <w:spacing w:before="0" w:beforeAutospacing="0" w:after="0" w:afterAutospacing="0"/>
              <w:jc w:val="both"/>
              <w:rPr>
                <w:b/>
              </w:rPr>
            </w:pPr>
            <w:r w:rsidRPr="00D159D0">
              <w:rPr>
                <w:b/>
              </w:rPr>
              <w:t xml:space="preserve">ПРАТ «ПЕЕМ «ЦЕК»; </w:t>
            </w:r>
          </w:p>
          <w:p w14:paraId="307CBC33" w14:textId="77777777" w:rsidR="00BE7345" w:rsidRPr="00D159D0" w:rsidRDefault="00BE7345" w:rsidP="004976F9">
            <w:pPr>
              <w:pStyle w:val="tj"/>
              <w:shd w:val="clear" w:color="auto" w:fill="FFFFFF"/>
              <w:spacing w:before="0" w:beforeAutospacing="0" w:after="0" w:afterAutospacing="0"/>
              <w:jc w:val="both"/>
              <w:rPr>
                <w:b/>
              </w:rPr>
            </w:pPr>
            <w:r w:rsidRPr="00D159D0">
              <w:rPr>
                <w:b/>
              </w:rPr>
              <w:t>ДПЕМ ПРАТ «АТОМСЕРВІС»;</w:t>
            </w:r>
          </w:p>
          <w:p w14:paraId="3C4CB8E9" w14:textId="77777777" w:rsidR="00BE7345" w:rsidRPr="00D159D0" w:rsidRDefault="00BE7345" w:rsidP="004976F9">
            <w:pPr>
              <w:pStyle w:val="tj"/>
              <w:shd w:val="clear" w:color="auto" w:fill="FFFFFF"/>
              <w:spacing w:before="0" w:beforeAutospacing="0" w:after="0" w:afterAutospacing="0"/>
              <w:jc w:val="both"/>
              <w:rPr>
                <w:b/>
              </w:rPr>
            </w:pPr>
            <w:r w:rsidRPr="00D159D0">
              <w:rPr>
                <w:b/>
              </w:rPr>
              <w:t>ПРАТ «ДТЕК ПЕМ-ЕНЕРГОВУГІЛЛЯ»;</w:t>
            </w:r>
          </w:p>
          <w:p w14:paraId="665E87F4" w14:textId="77777777" w:rsidR="00BE7345" w:rsidRPr="00D159D0" w:rsidRDefault="00BE7345" w:rsidP="004976F9">
            <w:pPr>
              <w:pStyle w:val="tj"/>
              <w:shd w:val="clear" w:color="auto" w:fill="FFFFFF"/>
              <w:spacing w:before="0" w:beforeAutospacing="0" w:after="0" w:afterAutospacing="0"/>
              <w:jc w:val="both"/>
              <w:rPr>
                <w:b/>
              </w:rPr>
            </w:pPr>
            <w:r w:rsidRPr="00D159D0">
              <w:rPr>
                <w:b/>
              </w:rPr>
              <w:t>ТОВ «ЛУГАНСЬКЕ ЕНЕРГЕТИЧНЕ ОБ'ЄДНАННЯ»;</w:t>
            </w:r>
          </w:p>
          <w:p w14:paraId="53927627" w14:textId="77777777" w:rsidR="00BE7345" w:rsidRPr="00D159D0" w:rsidRDefault="00BE7345" w:rsidP="004976F9">
            <w:pPr>
              <w:pStyle w:val="tj"/>
              <w:shd w:val="clear" w:color="auto" w:fill="FFFFFF"/>
              <w:spacing w:before="0" w:beforeAutospacing="0" w:after="0" w:afterAutospacing="0"/>
              <w:jc w:val="both"/>
              <w:rPr>
                <w:b/>
              </w:rPr>
            </w:pPr>
            <w:r w:rsidRPr="00D159D0">
              <w:rPr>
                <w:b/>
              </w:rPr>
              <w:t>ДП «РЕГІОНАЛЬНІ ЕЛЕКТРИЧНІ МЕРЕЖІ»;</w:t>
            </w:r>
          </w:p>
          <w:p w14:paraId="34CBA031" w14:textId="77777777" w:rsidR="00BE7345" w:rsidRPr="00D159D0" w:rsidRDefault="00BE7345" w:rsidP="004976F9">
            <w:pPr>
              <w:pStyle w:val="tj"/>
              <w:shd w:val="clear" w:color="auto" w:fill="FFFFFF"/>
              <w:spacing w:before="0" w:beforeAutospacing="0" w:after="0" w:afterAutospacing="0"/>
              <w:jc w:val="both"/>
              <w:rPr>
                <w:b/>
              </w:rPr>
            </w:pPr>
            <w:r w:rsidRPr="00D159D0">
              <w:rPr>
                <w:b/>
              </w:rPr>
              <w:t>АТ «УКРЗАЛІЗНИЦЯ».</w:t>
            </w:r>
          </w:p>
          <w:p w14:paraId="02CD5278" w14:textId="77777777" w:rsidR="00AD2A16" w:rsidRPr="00D159D0" w:rsidRDefault="00AD2A16" w:rsidP="004976F9">
            <w:pPr>
              <w:jc w:val="both"/>
              <w:rPr>
                <w:b/>
                <w:bCs/>
                <w:lang w:val="uk-UA"/>
              </w:rPr>
            </w:pPr>
          </w:p>
        </w:tc>
        <w:tc>
          <w:tcPr>
            <w:tcW w:w="5954" w:type="dxa"/>
          </w:tcPr>
          <w:p w14:paraId="19E170D4" w14:textId="77777777" w:rsidR="00BE7345" w:rsidRPr="00D159D0" w:rsidRDefault="00BE7345" w:rsidP="004976F9">
            <w:pPr>
              <w:jc w:val="both"/>
              <w:rPr>
                <w:b/>
                <w:lang w:val="uk-UA"/>
              </w:rPr>
            </w:pPr>
            <w:r w:rsidRPr="00D159D0">
              <w:rPr>
                <w:b/>
                <w:lang w:val="uk-UA"/>
              </w:rPr>
              <w:t>ТОВ «ДТЕК ВИСОКОВОЛЬТНІ МЕРЕЖІ» лист від 17.07.2024 № 08-61/935</w:t>
            </w:r>
          </w:p>
          <w:p w14:paraId="78B24770" w14:textId="77777777" w:rsidR="00BE7345" w:rsidRPr="00D159D0" w:rsidRDefault="00BE7345" w:rsidP="004976F9">
            <w:pPr>
              <w:jc w:val="both"/>
              <w:rPr>
                <w:b/>
                <w:lang w:val="uk-UA"/>
              </w:rPr>
            </w:pPr>
            <w:r w:rsidRPr="00D159D0">
              <w:rPr>
                <w:b/>
                <w:lang w:val="uk-UA"/>
              </w:rPr>
              <w:t>АТ «ДТЕК ДОНЕЦЬКІ ЕЛЕКТРОМЕРЕЖІ» лист від 17.07.2024 № 06/9956</w:t>
            </w:r>
          </w:p>
          <w:p w14:paraId="6A6B7D09"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38A8AB18" w14:textId="77777777" w:rsidR="00C15EDC" w:rsidRPr="00D159D0" w:rsidRDefault="00C15EDC" w:rsidP="004976F9">
            <w:pPr>
              <w:jc w:val="both"/>
              <w:rPr>
                <w:bCs/>
                <w:lang w:val="uk-UA"/>
              </w:rPr>
            </w:pPr>
            <w:r w:rsidRPr="00D159D0">
              <w:rPr>
                <w:bCs/>
                <w:lang w:val="uk-UA"/>
              </w:rPr>
              <w:t xml:space="preserve">Пропонується вилучити. </w:t>
            </w:r>
          </w:p>
          <w:p w14:paraId="39B895FB" w14:textId="77777777" w:rsidR="00AD2A16" w:rsidRPr="00D159D0" w:rsidRDefault="00C15EDC" w:rsidP="004976F9">
            <w:pPr>
              <w:jc w:val="both"/>
              <w:rPr>
                <w:b/>
                <w:bCs/>
                <w:lang w:val="uk-UA"/>
              </w:rPr>
            </w:pPr>
            <w:r w:rsidRPr="00D159D0">
              <w:rPr>
                <w:bCs/>
                <w:lang w:val="uk-UA"/>
              </w:rPr>
              <w:t>Пропозиції щодо незастосування коригування необхідного доходу відповідно до даних виконання цільового завдання щодо досягнення показників якості послуг наведено вище.</w:t>
            </w:r>
          </w:p>
        </w:tc>
        <w:tc>
          <w:tcPr>
            <w:tcW w:w="3544" w:type="dxa"/>
          </w:tcPr>
          <w:p w14:paraId="795E84FD" w14:textId="77777777" w:rsidR="00456F55" w:rsidRPr="00D159D0" w:rsidRDefault="00456F55" w:rsidP="00456F55">
            <w:pPr>
              <w:jc w:val="both"/>
              <w:rPr>
                <w:b/>
                <w:bCs/>
                <w:lang w:val="uk-UA"/>
              </w:rPr>
            </w:pPr>
            <w:r w:rsidRPr="00D159D0">
              <w:rPr>
                <w:b/>
                <w:bCs/>
                <w:lang w:val="uk-UA"/>
              </w:rPr>
              <w:t>Не враховано</w:t>
            </w:r>
          </w:p>
          <w:p w14:paraId="3A20D0B3" w14:textId="77777777" w:rsidR="00456F55" w:rsidRPr="00D159D0" w:rsidRDefault="00456F55" w:rsidP="00456F55">
            <w:pPr>
              <w:jc w:val="both"/>
              <w:rPr>
                <w:b/>
                <w:bCs/>
                <w:lang w:val="uk-UA"/>
              </w:rPr>
            </w:pPr>
            <w:r w:rsidRPr="00D159D0">
              <w:rPr>
                <w:b/>
                <w:bCs/>
                <w:lang w:val="uk-UA"/>
              </w:rPr>
              <w:t>Недостатньо обґрунтована позиція</w:t>
            </w:r>
          </w:p>
          <w:p w14:paraId="2FF1B477" w14:textId="77777777" w:rsidR="008D5040" w:rsidRPr="00D159D0" w:rsidRDefault="008D5040" w:rsidP="00456F55">
            <w:pPr>
              <w:jc w:val="both"/>
              <w:rPr>
                <w:b/>
                <w:bCs/>
                <w:lang w:val="uk-UA"/>
              </w:rPr>
            </w:pPr>
          </w:p>
          <w:p w14:paraId="662427D9" w14:textId="7D43A42F" w:rsidR="008D5040" w:rsidRPr="00D159D0" w:rsidRDefault="008D5040" w:rsidP="00456F55">
            <w:pPr>
              <w:jc w:val="both"/>
              <w:rPr>
                <w:b/>
                <w:bCs/>
                <w:lang w:val="uk-UA"/>
              </w:rPr>
            </w:pPr>
            <w:r w:rsidRPr="00D159D0">
              <w:rPr>
                <w:b/>
                <w:bCs/>
                <w:lang w:val="uk-UA"/>
              </w:rPr>
              <w:t xml:space="preserve">Пропонується Додаток 32 викласти у </w:t>
            </w:r>
            <w:r w:rsidR="006260E9" w:rsidRPr="00D159D0">
              <w:rPr>
                <w:b/>
                <w:bCs/>
                <w:lang w:val="uk-UA"/>
              </w:rPr>
              <w:t>такій</w:t>
            </w:r>
            <w:r w:rsidRPr="00D159D0">
              <w:rPr>
                <w:b/>
                <w:bCs/>
                <w:lang w:val="uk-UA"/>
              </w:rPr>
              <w:t xml:space="preserve"> редакції:</w:t>
            </w:r>
          </w:p>
          <w:p w14:paraId="371ECAD8" w14:textId="486EE4DF" w:rsidR="008D5040" w:rsidRPr="00D159D0" w:rsidRDefault="008D5040" w:rsidP="008D5040">
            <w:pPr>
              <w:pStyle w:val="tl"/>
              <w:shd w:val="clear" w:color="auto" w:fill="FFFFFF"/>
              <w:spacing w:before="0" w:beforeAutospacing="0" w:after="0" w:afterAutospacing="0"/>
              <w:jc w:val="both"/>
              <w:rPr>
                <w:b/>
              </w:rPr>
            </w:pPr>
            <w:r w:rsidRPr="00D159D0">
              <w:rPr>
                <w:b/>
              </w:rPr>
              <w:t>«Додаток 32 до Порядку встановлення (формування) тарифів на послуги з розподілу електричної енергії</w:t>
            </w:r>
          </w:p>
          <w:p w14:paraId="33588BFF" w14:textId="77777777" w:rsidR="008D5040" w:rsidRPr="00D159D0" w:rsidRDefault="008D5040" w:rsidP="008D5040">
            <w:pPr>
              <w:pStyle w:val="3"/>
              <w:shd w:val="clear" w:color="auto" w:fill="FFFFFF"/>
              <w:spacing w:before="0" w:after="0"/>
              <w:jc w:val="both"/>
              <w:outlineLvl w:val="2"/>
              <w:rPr>
                <w:rFonts w:ascii="Times New Roman" w:hAnsi="Times New Roman"/>
                <w:b w:val="0"/>
                <w:bCs w:val="0"/>
                <w:sz w:val="24"/>
                <w:szCs w:val="24"/>
                <w:lang w:eastAsia="uk-UA"/>
              </w:rPr>
            </w:pPr>
            <w:r w:rsidRPr="00D159D0">
              <w:rPr>
                <w:rFonts w:ascii="Times New Roman" w:hAnsi="Times New Roman"/>
                <w:bCs w:val="0"/>
                <w:sz w:val="24"/>
                <w:szCs w:val="24"/>
                <w:lang w:eastAsia="uk-UA"/>
              </w:rPr>
              <w:t>ПЕРЕЛІК операторів систем розподілу, до яких не застосовується коригування необхідного доходу відповідно до даних виконання цільового завдання щодо досягнення показників якості послуг за 2024 рік</w:t>
            </w:r>
          </w:p>
          <w:p w14:paraId="66FF9312"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«ДТЕК ДНІПРОВСЬКІ ЕЛЕКТРОМЕРЕЖІ»</w:t>
            </w:r>
          </w:p>
          <w:p w14:paraId="75BA06C8"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«ДТЕК ДОНЕЦЬКІ ЕЛЕКТРОМЕРЕЖІ»;</w:t>
            </w:r>
          </w:p>
          <w:p w14:paraId="7CA32069" w14:textId="77777777" w:rsidR="008D5040" w:rsidRPr="00D159D0" w:rsidRDefault="008D5040" w:rsidP="008D5040">
            <w:pPr>
              <w:pStyle w:val="tj"/>
              <w:shd w:val="clear" w:color="auto" w:fill="FFFFFF"/>
              <w:spacing w:before="0" w:beforeAutospacing="0" w:after="0" w:afterAutospacing="0"/>
              <w:jc w:val="both"/>
              <w:rPr>
                <w:b/>
              </w:rPr>
            </w:pPr>
            <w:r w:rsidRPr="00D159D0">
              <w:rPr>
                <w:b/>
              </w:rPr>
              <w:t>ПАТ «ЗАПОРІЖЖЯОБЛЕНЕРГО»;</w:t>
            </w:r>
          </w:p>
          <w:p w14:paraId="191F62CB"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«МИКОЛАЇВОБЛЕНЕРГО»;</w:t>
            </w:r>
          </w:p>
          <w:p w14:paraId="641DC8F4"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«СУМИОБЛЕНЕРГО»;</w:t>
            </w:r>
          </w:p>
          <w:p w14:paraId="65B33638"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«ХАРКІВОБЛЕНЕРГО»;</w:t>
            </w:r>
          </w:p>
          <w:p w14:paraId="2733ECAB"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«ХЕРСОНОБЛЕНЕРГО»;</w:t>
            </w:r>
          </w:p>
          <w:p w14:paraId="0E0B2C4C" w14:textId="77777777" w:rsidR="008D5040" w:rsidRPr="00D159D0" w:rsidRDefault="008D5040" w:rsidP="008D5040">
            <w:pPr>
              <w:pStyle w:val="tj"/>
              <w:shd w:val="clear" w:color="auto" w:fill="FFFFFF"/>
              <w:spacing w:before="0" w:beforeAutospacing="0" w:after="0" w:afterAutospacing="0"/>
              <w:jc w:val="both"/>
              <w:rPr>
                <w:b/>
              </w:rPr>
            </w:pPr>
            <w:r w:rsidRPr="00D159D0">
              <w:rPr>
                <w:b/>
              </w:rPr>
              <w:t>АТ «ЧЕРНІГІВОБЛЕНЕРГО»;</w:t>
            </w:r>
          </w:p>
          <w:p w14:paraId="5DAF20B8" w14:textId="77777777" w:rsidR="008D5040" w:rsidRPr="00D159D0" w:rsidRDefault="008D5040" w:rsidP="008D5040">
            <w:pPr>
              <w:pStyle w:val="tj"/>
              <w:shd w:val="clear" w:color="auto" w:fill="FFFFFF"/>
              <w:spacing w:before="0" w:beforeAutospacing="0" w:after="0" w:afterAutospacing="0"/>
              <w:jc w:val="both"/>
              <w:rPr>
                <w:b/>
              </w:rPr>
            </w:pPr>
            <w:r w:rsidRPr="00D159D0">
              <w:rPr>
                <w:b/>
              </w:rPr>
              <w:t>ТОВ «ДТЕК ВИСОКОВОЛЬТНІ МЕРЕЖІ»;</w:t>
            </w:r>
          </w:p>
          <w:p w14:paraId="22872D21" w14:textId="77777777" w:rsidR="008D5040" w:rsidRPr="00D159D0" w:rsidRDefault="008D5040" w:rsidP="008D5040">
            <w:pPr>
              <w:pStyle w:val="tj"/>
              <w:shd w:val="clear" w:color="auto" w:fill="FFFFFF"/>
              <w:spacing w:before="0" w:beforeAutospacing="0" w:after="0" w:afterAutospacing="0"/>
              <w:jc w:val="both"/>
              <w:rPr>
                <w:b/>
              </w:rPr>
            </w:pPr>
            <w:r w:rsidRPr="00D159D0">
              <w:rPr>
                <w:b/>
              </w:rPr>
              <w:t xml:space="preserve">ПРАТ «ПЕЕМ «ЦЕК»; </w:t>
            </w:r>
          </w:p>
          <w:p w14:paraId="36DB0F40" w14:textId="77777777" w:rsidR="008D5040" w:rsidRPr="00D159D0" w:rsidRDefault="008D5040" w:rsidP="008D5040">
            <w:pPr>
              <w:pStyle w:val="tj"/>
              <w:shd w:val="clear" w:color="auto" w:fill="FFFFFF"/>
              <w:spacing w:before="0" w:beforeAutospacing="0" w:after="0" w:afterAutospacing="0"/>
              <w:jc w:val="both"/>
              <w:rPr>
                <w:b/>
              </w:rPr>
            </w:pPr>
            <w:r w:rsidRPr="00D159D0">
              <w:rPr>
                <w:b/>
              </w:rPr>
              <w:lastRenderedPageBreak/>
              <w:t>ДПЕМ ПРАТ «АТОМСЕРВІС»;</w:t>
            </w:r>
          </w:p>
          <w:p w14:paraId="0CE4CFF0" w14:textId="77777777" w:rsidR="008D5040" w:rsidRPr="00D159D0" w:rsidRDefault="008D5040" w:rsidP="008D5040">
            <w:pPr>
              <w:pStyle w:val="tj"/>
              <w:shd w:val="clear" w:color="auto" w:fill="FFFFFF"/>
              <w:spacing w:before="0" w:beforeAutospacing="0" w:after="0" w:afterAutospacing="0"/>
              <w:jc w:val="both"/>
              <w:rPr>
                <w:b/>
              </w:rPr>
            </w:pPr>
            <w:r w:rsidRPr="00D159D0">
              <w:rPr>
                <w:b/>
              </w:rPr>
              <w:t>ПРАТ «ДТЕК ПЕМ-ЕНЕРГОВУГІЛЛЯ»;</w:t>
            </w:r>
          </w:p>
          <w:p w14:paraId="4109DAD1" w14:textId="77777777" w:rsidR="008D5040" w:rsidRPr="00D159D0" w:rsidRDefault="008D5040" w:rsidP="008D5040">
            <w:pPr>
              <w:pStyle w:val="tj"/>
              <w:shd w:val="clear" w:color="auto" w:fill="FFFFFF"/>
              <w:spacing w:before="0" w:beforeAutospacing="0" w:after="0" w:afterAutospacing="0"/>
              <w:jc w:val="both"/>
              <w:rPr>
                <w:b/>
              </w:rPr>
            </w:pPr>
            <w:r w:rsidRPr="00D159D0">
              <w:rPr>
                <w:b/>
              </w:rPr>
              <w:t>ТОВ «ЛУГАНСЬКЕ ЕНЕРГЕТИЧНЕ ОБ'ЄДНАННЯ»;</w:t>
            </w:r>
          </w:p>
          <w:p w14:paraId="321C5958" w14:textId="77777777" w:rsidR="008D5040" w:rsidRPr="00D159D0" w:rsidRDefault="008D5040" w:rsidP="008D5040">
            <w:pPr>
              <w:pStyle w:val="tj"/>
              <w:shd w:val="clear" w:color="auto" w:fill="FFFFFF"/>
              <w:spacing w:before="0" w:beforeAutospacing="0" w:after="0" w:afterAutospacing="0"/>
              <w:jc w:val="both"/>
              <w:rPr>
                <w:b/>
              </w:rPr>
            </w:pPr>
            <w:r w:rsidRPr="00D159D0">
              <w:rPr>
                <w:b/>
              </w:rPr>
              <w:t>ДП «РЕГІОНАЛЬНІ ЕЛЕКТРИЧНІ МЕРЕЖІ»;</w:t>
            </w:r>
          </w:p>
          <w:p w14:paraId="049C6182" w14:textId="106521A6" w:rsidR="008D5040" w:rsidRPr="00D159D0" w:rsidRDefault="008D5040" w:rsidP="008D5040">
            <w:pPr>
              <w:pStyle w:val="tj"/>
              <w:shd w:val="clear" w:color="auto" w:fill="FFFFFF"/>
              <w:spacing w:before="0" w:beforeAutospacing="0" w:after="0" w:afterAutospacing="0"/>
              <w:jc w:val="both"/>
              <w:rPr>
                <w:b/>
              </w:rPr>
            </w:pPr>
            <w:r w:rsidRPr="00D159D0">
              <w:rPr>
                <w:b/>
              </w:rPr>
              <w:t>АТ «УКРЗАЛІЗНИЦЯ»</w:t>
            </w:r>
            <w:r w:rsidR="006260E9" w:rsidRPr="00D159D0">
              <w:rPr>
                <w:b/>
              </w:rPr>
              <w:t>;</w:t>
            </w:r>
          </w:p>
          <w:p w14:paraId="696FA4A9" w14:textId="7CC4C805" w:rsidR="006260E9" w:rsidRPr="00D159D0" w:rsidRDefault="006260E9" w:rsidP="008D5040">
            <w:pPr>
              <w:pStyle w:val="tj"/>
              <w:shd w:val="clear" w:color="auto" w:fill="FFFFFF"/>
              <w:spacing w:before="0" w:beforeAutospacing="0" w:after="0" w:afterAutospacing="0"/>
              <w:jc w:val="both"/>
              <w:rPr>
                <w:b/>
              </w:rPr>
            </w:pPr>
            <w:r w:rsidRPr="00D159D0">
              <w:rPr>
                <w:b/>
                <w:bCs/>
              </w:rPr>
              <w:t>АТ «ЖИТОМИРОБЛЕНЕРГО»</w:t>
            </w:r>
            <w:r w:rsidRPr="00D159D0">
              <w:rPr>
                <w:b/>
              </w:rPr>
              <w:t>;</w:t>
            </w:r>
            <w:r w:rsidRPr="00D159D0">
              <w:t xml:space="preserve"> «</w:t>
            </w:r>
            <w:r w:rsidRPr="00D159D0">
              <w:rPr>
                <w:b/>
                <w:bCs/>
              </w:rPr>
              <w:t>ПРАТ «КІРОВОГРАДОБЛЕНЕРГО»; ПРАТ «РІВНЕОБЛЕНЕРГО»; АТ «ЧЕРНІВЦІОБЛЕНЕРГО».</w:t>
            </w:r>
            <w:r w:rsidRPr="00D159D0">
              <w:t xml:space="preserve"> </w:t>
            </w:r>
          </w:p>
          <w:p w14:paraId="17F3475C" w14:textId="3BAB5669" w:rsidR="00AD2A16" w:rsidRPr="00D159D0" w:rsidRDefault="00AD2A16" w:rsidP="006260E9">
            <w:pPr>
              <w:pStyle w:val="tj"/>
              <w:shd w:val="clear" w:color="auto" w:fill="FFFFFF"/>
              <w:spacing w:before="0" w:beforeAutospacing="0" w:after="0" w:afterAutospacing="0"/>
              <w:jc w:val="both"/>
              <w:rPr>
                <w:b/>
                <w:bCs/>
              </w:rPr>
            </w:pPr>
          </w:p>
        </w:tc>
      </w:tr>
      <w:tr w:rsidR="00D159D0" w:rsidRPr="00D159D0" w14:paraId="3630B866" w14:textId="77777777" w:rsidTr="00EE26FC">
        <w:tc>
          <w:tcPr>
            <w:tcW w:w="15163" w:type="dxa"/>
            <w:gridSpan w:val="3"/>
          </w:tcPr>
          <w:p w14:paraId="45E325DF" w14:textId="77777777" w:rsidR="00C15EDC" w:rsidRPr="00D159D0" w:rsidRDefault="00C15EDC" w:rsidP="004976F9">
            <w:pPr>
              <w:jc w:val="center"/>
              <w:rPr>
                <w:b/>
                <w:bCs/>
                <w:lang w:val="uk-UA"/>
              </w:rPr>
            </w:pPr>
            <w:r w:rsidRPr="00D159D0">
              <w:rPr>
                <w:b/>
                <w:bCs/>
                <w:lang w:val="uk-UA"/>
              </w:rPr>
              <w:lastRenderedPageBreak/>
              <w:t xml:space="preserve">Постанова НКРЕ від </w:t>
            </w:r>
            <w:r w:rsidRPr="00D159D0">
              <w:rPr>
                <w:b/>
                <w:bCs/>
                <w:shd w:val="clear" w:color="auto" w:fill="FFFFFF"/>
                <w:lang w:val="uk-UA"/>
              </w:rPr>
              <w:t>23.07.2013  № 1009 «Про встановлення параметрів регулювання, що мають довгостроковий строк дії, для цілей стимулюючого регулювання»</w:t>
            </w:r>
          </w:p>
        </w:tc>
      </w:tr>
      <w:tr w:rsidR="00D159D0" w:rsidRPr="00D159D0" w14:paraId="4EC8CE58" w14:textId="77777777" w:rsidTr="00EE26FC">
        <w:tc>
          <w:tcPr>
            <w:tcW w:w="5665" w:type="dxa"/>
          </w:tcPr>
          <w:p w14:paraId="061EF979" w14:textId="77777777" w:rsidR="00C31D31" w:rsidRPr="00D159D0" w:rsidRDefault="00C31D31" w:rsidP="00C31D31">
            <w:pPr>
              <w:shd w:val="clear" w:color="auto" w:fill="FFFFFF"/>
              <w:ind w:firstLine="488"/>
              <w:jc w:val="both"/>
              <w:rPr>
                <w:lang w:val="uk-UA" w:eastAsia="uk-UA"/>
              </w:rPr>
            </w:pPr>
            <w:r w:rsidRPr="00D159D0">
              <w:rPr>
                <w:lang w:val="uk-UA" w:eastAsia="uk-UA"/>
              </w:rPr>
              <w:t xml:space="preserve">1) регуляторна норма доходу </w:t>
            </w:r>
            <w:r w:rsidRPr="00D159D0">
              <w:rPr>
                <w:u w:val="single"/>
                <w:lang w:val="uk-UA" w:eastAsia="uk-UA"/>
              </w:rPr>
              <w:t>на регуляторну базу активів, яка створена на дату переходу</w:t>
            </w:r>
            <w:r w:rsidRPr="00D159D0">
              <w:rPr>
                <w:lang w:val="uk-UA" w:eastAsia="uk-UA"/>
              </w:rPr>
              <w:t xml:space="preserve"> до стимулюючого регулювання, - 0,03 відносних одиниць, крім ліцензіатів:</w:t>
            </w:r>
          </w:p>
          <w:p w14:paraId="6D555751" w14:textId="77777777" w:rsidR="00C31D31" w:rsidRPr="00D159D0" w:rsidRDefault="00C31D31" w:rsidP="00C31D31">
            <w:pPr>
              <w:shd w:val="clear" w:color="auto" w:fill="FFFFFF"/>
              <w:ind w:firstLine="488"/>
              <w:jc w:val="both"/>
              <w:rPr>
                <w:lang w:val="uk-UA" w:eastAsia="uk-UA"/>
              </w:rPr>
            </w:pPr>
            <w:r w:rsidRPr="00D159D0">
              <w:rPr>
                <w:lang w:val="uk-UA" w:eastAsia="uk-UA"/>
              </w:rPr>
              <w:t xml:space="preserve">перелік яких наведено в додатку 30 до постанови НКРЕКП від 05 жовтня 2018 року N 1175 "Про затвердження Порядку встановлення (формування) тарифів на послуги з розподілу електричної енергії" (далі - Порядок встановлення (формування) тарифів)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w:t>
            </w:r>
            <w:r w:rsidRPr="00D159D0">
              <w:rPr>
                <w:lang w:val="uk-UA" w:eastAsia="uk-UA"/>
              </w:rPr>
              <w:lastRenderedPageBreak/>
              <w:t>окупованих територій України від 22 грудня 2022 року N 309, зареєстрованим в Міністерстві юстиції України 23 грудня 2022 року за N 1668/39004;</w:t>
            </w:r>
          </w:p>
          <w:p w14:paraId="7E03BFC0" w14:textId="77777777" w:rsidR="00C31D31" w:rsidRPr="00D159D0" w:rsidRDefault="00C31D31" w:rsidP="00C31D31">
            <w:pPr>
              <w:shd w:val="clear" w:color="auto" w:fill="FFFFFF"/>
              <w:ind w:firstLine="488"/>
              <w:jc w:val="both"/>
              <w:rPr>
                <w:lang w:val="uk-UA" w:eastAsia="uk-UA"/>
              </w:rPr>
            </w:pPr>
            <w:r w:rsidRPr="00D159D0">
              <w:rPr>
                <w:lang w:val="uk-UA" w:eastAsia="uk-UA"/>
              </w:rPr>
              <w:t xml:space="preserve">контролером або кінцевим </w:t>
            </w:r>
            <w:proofErr w:type="spellStart"/>
            <w:r w:rsidRPr="00D159D0">
              <w:rPr>
                <w:lang w:val="uk-UA" w:eastAsia="uk-UA"/>
              </w:rPr>
              <w:t>бенефіціарним</w:t>
            </w:r>
            <w:proofErr w:type="spellEnd"/>
            <w:r w:rsidRPr="00D159D0">
              <w:rPr>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70E0165E" w14:textId="77777777" w:rsidR="00C31D31" w:rsidRPr="00D159D0" w:rsidRDefault="00C31D31" w:rsidP="00C31D31">
            <w:pPr>
              <w:shd w:val="clear" w:color="auto" w:fill="FFFFFF"/>
              <w:ind w:firstLine="488"/>
              <w:jc w:val="both"/>
              <w:rPr>
                <w:lang w:val="uk-UA" w:eastAsia="uk-UA"/>
              </w:rPr>
            </w:pPr>
            <w:r w:rsidRPr="00D159D0">
              <w:rPr>
                <w:lang w:val="uk-UA" w:eastAsia="uk-UA"/>
              </w:rPr>
              <w:t>для яких регуляторна норма доходу на регуляторну базу активів, яка створена на дату переходу до стимулюючого регулювання, у 2024</w:t>
            </w:r>
            <w:r w:rsidRPr="00D159D0">
              <w:rPr>
                <w:b/>
                <w:lang w:val="uk-UA" w:eastAsia="uk-UA"/>
              </w:rPr>
              <w:t xml:space="preserve"> та 2025 роках </w:t>
            </w:r>
            <w:r w:rsidRPr="00D159D0">
              <w:rPr>
                <w:lang w:val="uk-UA" w:eastAsia="uk-UA"/>
              </w:rPr>
              <w:t xml:space="preserve">становить 0 відносних одиниць; </w:t>
            </w:r>
          </w:p>
          <w:p w14:paraId="5FC70A75" w14:textId="77777777" w:rsidR="00C31D31" w:rsidRPr="00D159D0" w:rsidRDefault="00C31D31" w:rsidP="00C31D31">
            <w:pPr>
              <w:shd w:val="clear" w:color="auto" w:fill="FFFFFF"/>
              <w:ind w:firstLine="488"/>
              <w:jc w:val="both"/>
              <w:rPr>
                <w:lang w:val="uk-UA" w:eastAsia="uk-UA"/>
              </w:rPr>
            </w:pPr>
          </w:p>
          <w:p w14:paraId="71E92383" w14:textId="77777777" w:rsidR="00C31D31" w:rsidRPr="00D159D0" w:rsidRDefault="00C31D31" w:rsidP="00C31D31">
            <w:pPr>
              <w:pStyle w:val="rvps2"/>
              <w:shd w:val="clear" w:color="auto" w:fill="FFFFFF"/>
              <w:spacing w:before="0" w:beforeAutospacing="0" w:after="0" w:afterAutospacing="0"/>
              <w:ind w:firstLine="488"/>
              <w:jc w:val="both"/>
            </w:pPr>
            <w:r w:rsidRPr="00D159D0">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D159D0">
              <w:rPr>
                <w:b/>
              </w:rPr>
              <w:t>– 2025</w:t>
            </w:r>
            <w:r w:rsidRPr="00D159D0">
              <w:t xml:space="preserve"> років – 0,03 відносних одиниць), крім ліцензіатів:</w:t>
            </w:r>
          </w:p>
          <w:p w14:paraId="18043FD8" w14:textId="77777777" w:rsidR="00C31D31" w:rsidRPr="00D159D0" w:rsidRDefault="00C31D31" w:rsidP="00C31D31">
            <w:pPr>
              <w:pStyle w:val="rvps2"/>
              <w:shd w:val="clear" w:color="auto" w:fill="FFFFFF"/>
              <w:spacing w:before="0" w:beforeAutospacing="0" w:after="0" w:afterAutospacing="0"/>
              <w:ind w:firstLine="488"/>
              <w:jc w:val="both"/>
            </w:pPr>
            <w:r w:rsidRPr="00D159D0">
              <w:t>перелік яких наведено в додатку 30 до Порядку встановлення (формування) тарифів;</w:t>
            </w:r>
          </w:p>
          <w:p w14:paraId="761200A1" w14:textId="77777777" w:rsidR="00C31D31" w:rsidRPr="00D159D0" w:rsidRDefault="00C31D31" w:rsidP="00C31D31">
            <w:pPr>
              <w:pStyle w:val="rvps2"/>
              <w:shd w:val="clear" w:color="auto" w:fill="FFFFFF"/>
              <w:spacing w:before="0" w:beforeAutospacing="0" w:after="0" w:afterAutospacing="0"/>
              <w:ind w:firstLine="488"/>
              <w:jc w:val="both"/>
            </w:pPr>
            <w:r w:rsidRPr="00D159D0">
              <w:t xml:space="preserve">контролером або кінцевим </w:t>
            </w:r>
            <w:proofErr w:type="spellStart"/>
            <w:r w:rsidRPr="00D159D0">
              <w:t>бенефіціарним</w:t>
            </w:r>
            <w:proofErr w:type="spellEnd"/>
            <w:r w:rsidRPr="00D159D0">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2BAF256A" w14:textId="77777777" w:rsidR="00C31D31" w:rsidRPr="00D159D0" w:rsidRDefault="00C31D31" w:rsidP="00C31D31">
            <w:pPr>
              <w:pStyle w:val="rvps2"/>
              <w:shd w:val="clear" w:color="auto" w:fill="FFFFFF"/>
              <w:spacing w:before="0" w:beforeAutospacing="0" w:after="0" w:afterAutospacing="0"/>
              <w:ind w:firstLine="488"/>
              <w:jc w:val="both"/>
            </w:pPr>
            <w:r w:rsidRPr="00D159D0">
              <w:t xml:space="preserve">для яких регуляторна норма доходу на регуляторну базу активів, яка створена після переходу на стимулююче регулювання, у </w:t>
            </w:r>
            <w:r w:rsidRPr="00D159D0">
              <w:rPr>
                <w:b/>
              </w:rPr>
              <w:t>2024 та 2025 роках</w:t>
            </w:r>
            <w:r w:rsidRPr="00D159D0">
              <w:t xml:space="preserve"> становить 0 відносних одиниць;</w:t>
            </w:r>
          </w:p>
          <w:p w14:paraId="793B0FF9" w14:textId="77777777" w:rsidR="00C15EDC" w:rsidRPr="00D159D0" w:rsidRDefault="00C15EDC" w:rsidP="004976F9">
            <w:pPr>
              <w:shd w:val="clear" w:color="auto" w:fill="FFFFFF"/>
              <w:ind w:firstLine="488"/>
              <w:jc w:val="both"/>
              <w:rPr>
                <w:lang w:val="uk-UA" w:eastAsia="uk-UA"/>
              </w:rPr>
            </w:pPr>
          </w:p>
          <w:p w14:paraId="69E0B3B3" w14:textId="77777777" w:rsidR="000B76BD" w:rsidRPr="00D159D0" w:rsidRDefault="000B76BD" w:rsidP="004976F9">
            <w:pPr>
              <w:shd w:val="clear" w:color="auto" w:fill="FFFFFF"/>
              <w:ind w:firstLine="488"/>
              <w:jc w:val="both"/>
              <w:rPr>
                <w:lang w:val="uk-UA" w:eastAsia="uk-UA"/>
              </w:rPr>
            </w:pPr>
          </w:p>
          <w:p w14:paraId="6C5AB7C3" w14:textId="77777777" w:rsidR="000B76BD" w:rsidRPr="00D159D0" w:rsidRDefault="000B76BD" w:rsidP="004976F9">
            <w:pPr>
              <w:shd w:val="clear" w:color="auto" w:fill="FFFFFF"/>
              <w:ind w:firstLine="488"/>
              <w:jc w:val="both"/>
              <w:rPr>
                <w:lang w:val="uk-UA" w:eastAsia="uk-UA"/>
              </w:rPr>
            </w:pPr>
          </w:p>
          <w:p w14:paraId="6F489698" w14:textId="77777777" w:rsidR="000B76BD" w:rsidRPr="00D159D0" w:rsidRDefault="000B76BD" w:rsidP="004976F9">
            <w:pPr>
              <w:shd w:val="clear" w:color="auto" w:fill="FFFFFF"/>
              <w:ind w:firstLine="488"/>
              <w:jc w:val="both"/>
              <w:rPr>
                <w:lang w:val="uk-UA" w:eastAsia="uk-UA"/>
              </w:rPr>
            </w:pPr>
          </w:p>
          <w:p w14:paraId="4EC62EA4" w14:textId="77777777" w:rsidR="000B76BD" w:rsidRPr="00D159D0" w:rsidRDefault="000B76BD" w:rsidP="004976F9">
            <w:pPr>
              <w:shd w:val="clear" w:color="auto" w:fill="FFFFFF"/>
              <w:ind w:firstLine="488"/>
              <w:jc w:val="both"/>
              <w:rPr>
                <w:lang w:val="uk-UA" w:eastAsia="uk-UA"/>
              </w:rPr>
            </w:pPr>
          </w:p>
          <w:p w14:paraId="23F8394C" w14:textId="77777777" w:rsidR="000B76BD" w:rsidRPr="00D159D0" w:rsidRDefault="000B76BD" w:rsidP="004976F9">
            <w:pPr>
              <w:shd w:val="clear" w:color="auto" w:fill="FFFFFF"/>
              <w:ind w:firstLine="488"/>
              <w:jc w:val="both"/>
              <w:rPr>
                <w:lang w:val="uk-UA" w:eastAsia="uk-UA"/>
              </w:rPr>
            </w:pPr>
          </w:p>
          <w:p w14:paraId="04BAEBC9" w14:textId="77777777" w:rsidR="000B76BD" w:rsidRPr="00D159D0" w:rsidRDefault="000B76BD" w:rsidP="004976F9">
            <w:pPr>
              <w:shd w:val="clear" w:color="auto" w:fill="FFFFFF"/>
              <w:ind w:firstLine="488"/>
              <w:jc w:val="both"/>
              <w:rPr>
                <w:lang w:val="uk-UA" w:eastAsia="uk-UA"/>
              </w:rPr>
            </w:pPr>
          </w:p>
          <w:p w14:paraId="11F422F6" w14:textId="77777777" w:rsidR="000B76BD" w:rsidRPr="00D159D0" w:rsidRDefault="000B76BD" w:rsidP="004976F9">
            <w:pPr>
              <w:shd w:val="clear" w:color="auto" w:fill="FFFFFF"/>
              <w:ind w:firstLine="488"/>
              <w:jc w:val="both"/>
              <w:rPr>
                <w:lang w:val="uk-UA" w:eastAsia="uk-UA"/>
              </w:rPr>
            </w:pPr>
          </w:p>
          <w:p w14:paraId="5DEDFFE5" w14:textId="77777777" w:rsidR="000B76BD" w:rsidRPr="00D159D0" w:rsidRDefault="000B76BD" w:rsidP="004976F9">
            <w:pPr>
              <w:shd w:val="clear" w:color="auto" w:fill="FFFFFF"/>
              <w:ind w:firstLine="488"/>
              <w:jc w:val="both"/>
              <w:rPr>
                <w:lang w:val="uk-UA" w:eastAsia="uk-UA"/>
              </w:rPr>
            </w:pPr>
          </w:p>
          <w:p w14:paraId="0E7EEDCE" w14:textId="77777777" w:rsidR="000B76BD" w:rsidRPr="00D159D0" w:rsidRDefault="000B76BD" w:rsidP="004976F9">
            <w:pPr>
              <w:shd w:val="clear" w:color="auto" w:fill="FFFFFF"/>
              <w:ind w:firstLine="488"/>
              <w:jc w:val="both"/>
              <w:rPr>
                <w:lang w:val="uk-UA" w:eastAsia="uk-UA"/>
              </w:rPr>
            </w:pPr>
          </w:p>
          <w:p w14:paraId="3675A3BF" w14:textId="77777777" w:rsidR="000B76BD" w:rsidRPr="00D159D0" w:rsidRDefault="000B76BD" w:rsidP="004976F9">
            <w:pPr>
              <w:shd w:val="clear" w:color="auto" w:fill="FFFFFF"/>
              <w:ind w:firstLine="488"/>
              <w:jc w:val="both"/>
              <w:rPr>
                <w:lang w:val="uk-UA" w:eastAsia="uk-UA"/>
              </w:rPr>
            </w:pPr>
          </w:p>
          <w:p w14:paraId="5A179ACC" w14:textId="77777777" w:rsidR="000B76BD" w:rsidRPr="00D159D0" w:rsidRDefault="000B76BD" w:rsidP="004976F9">
            <w:pPr>
              <w:shd w:val="clear" w:color="auto" w:fill="FFFFFF"/>
              <w:ind w:firstLine="488"/>
              <w:jc w:val="both"/>
              <w:rPr>
                <w:lang w:val="uk-UA" w:eastAsia="uk-UA"/>
              </w:rPr>
            </w:pPr>
          </w:p>
          <w:p w14:paraId="569A57BA" w14:textId="77777777" w:rsidR="000B76BD" w:rsidRPr="00D159D0" w:rsidRDefault="000B76BD" w:rsidP="004976F9">
            <w:pPr>
              <w:shd w:val="clear" w:color="auto" w:fill="FFFFFF"/>
              <w:ind w:firstLine="488"/>
              <w:jc w:val="both"/>
              <w:rPr>
                <w:lang w:val="uk-UA" w:eastAsia="uk-UA"/>
              </w:rPr>
            </w:pPr>
          </w:p>
          <w:p w14:paraId="7A246FAE" w14:textId="77777777" w:rsidR="000B76BD" w:rsidRPr="00D159D0" w:rsidRDefault="000B76BD" w:rsidP="004976F9">
            <w:pPr>
              <w:shd w:val="clear" w:color="auto" w:fill="FFFFFF"/>
              <w:ind w:firstLine="488"/>
              <w:jc w:val="both"/>
              <w:rPr>
                <w:lang w:val="uk-UA" w:eastAsia="uk-UA"/>
              </w:rPr>
            </w:pPr>
          </w:p>
          <w:p w14:paraId="62DD62BD" w14:textId="77777777" w:rsidR="000B76BD" w:rsidRPr="00D159D0" w:rsidRDefault="000B76BD" w:rsidP="004976F9">
            <w:pPr>
              <w:shd w:val="clear" w:color="auto" w:fill="FFFFFF"/>
              <w:ind w:firstLine="488"/>
              <w:jc w:val="both"/>
              <w:rPr>
                <w:lang w:val="uk-UA" w:eastAsia="uk-UA"/>
              </w:rPr>
            </w:pPr>
          </w:p>
          <w:p w14:paraId="6221E8AA" w14:textId="77777777" w:rsidR="000B76BD" w:rsidRPr="00D159D0" w:rsidRDefault="000B76BD" w:rsidP="004976F9">
            <w:pPr>
              <w:shd w:val="clear" w:color="auto" w:fill="FFFFFF"/>
              <w:ind w:firstLine="488"/>
              <w:jc w:val="both"/>
              <w:rPr>
                <w:lang w:val="uk-UA" w:eastAsia="uk-UA"/>
              </w:rPr>
            </w:pPr>
          </w:p>
          <w:p w14:paraId="49E7B333" w14:textId="77777777" w:rsidR="000B76BD" w:rsidRPr="00D159D0" w:rsidRDefault="000B76BD" w:rsidP="004976F9">
            <w:pPr>
              <w:shd w:val="clear" w:color="auto" w:fill="FFFFFF"/>
              <w:ind w:firstLine="488"/>
              <w:jc w:val="both"/>
              <w:rPr>
                <w:lang w:val="uk-UA" w:eastAsia="uk-UA"/>
              </w:rPr>
            </w:pPr>
          </w:p>
          <w:p w14:paraId="58D28584" w14:textId="77777777" w:rsidR="000B76BD" w:rsidRPr="00D159D0" w:rsidRDefault="000B76BD" w:rsidP="004976F9">
            <w:pPr>
              <w:shd w:val="clear" w:color="auto" w:fill="FFFFFF"/>
              <w:ind w:firstLine="488"/>
              <w:jc w:val="both"/>
              <w:rPr>
                <w:lang w:val="uk-UA" w:eastAsia="uk-UA"/>
              </w:rPr>
            </w:pPr>
          </w:p>
          <w:p w14:paraId="1F58F890" w14:textId="77777777" w:rsidR="000B76BD" w:rsidRPr="00D159D0" w:rsidRDefault="000B76BD" w:rsidP="004976F9">
            <w:pPr>
              <w:shd w:val="clear" w:color="auto" w:fill="FFFFFF"/>
              <w:ind w:firstLine="488"/>
              <w:jc w:val="both"/>
              <w:rPr>
                <w:lang w:val="uk-UA" w:eastAsia="uk-UA"/>
              </w:rPr>
            </w:pPr>
          </w:p>
          <w:p w14:paraId="33447D76" w14:textId="77777777" w:rsidR="000B76BD" w:rsidRPr="00D159D0" w:rsidRDefault="000B76BD" w:rsidP="004976F9">
            <w:pPr>
              <w:shd w:val="clear" w:color="auto" w:fill="FFFFFF"/>
              <w:ind w:firstLine="488"/>
              <w:jc w:val="both"/>
              <w:rPr>
                <w:lang w:val="uk-UA" w:eastAsia="uk-UA"/>
              </w:rPr>
            </w:pPr>
          </w:p>
          <w:p w14:paraId="658DE6D7" w14:textId="77777777" w:rsidR="000B76BD" w:rsidRPr="00D159D0" w:rsidRDefault="000B76BD" w:rsidP="004976F9">
            <w:pPr>
              <w:shd w:val="clear" w:color="auto" w:fill="FFFFFF"/>
              <w:ind w:firstLine="488"/>
              <w:jc w:val="both"/>
              <w:rPr>
                <w:lang w:val="uk-UA" w:eastAsia="uk-UA"/>
              </w:rPr>
            </w:pPr>
          </w:p>
          <w:p w14:paraId="0FDDB12E" w14:textId="77777777" w:rsidR="000B76BD" w:rsidRPr="00D159D0" w:rsidRDefault="000B76BD" w:rsidP="004976F9">
            <w:pPr>
              <w:shd w:val="clear" w:color="auto" w:fill="FFFFFF"/>
              <w:ind w:firstLine="488"/>
              <w:jc w:val="both"/>
              <w:rPr>
                <w:lang w:val="uk-UA" w:eastAsia="uk-UA"/>
              </w:rPr>
            </w:pPr>
          </w:p>
          <w:p w14:paraId="46E2FAD7" w14:textId="77777777" w:rsidR="000B76BD" w:rsidRPr="00D159D0" w:rsidRDefault="000B76BD" w:rsidP="004976F9">
            <w:pPr>
              <w:shd w:val="clear" w:color="auto" w:fill="FFFFFF"/>
              <w:ind w:firstLine="488"/>
              <w:jc w:val="both"/>
              <w:rPr>
                <w:lang w:val="uk-UA" w:eastAsia="uk-UA"/>
              </w:rPr>
            </w:pPr>
          </w:p>
          <w:p w14:paraId="0CBDEEBD" w14:textId="77777777" w:rsidR="000B76BD" w:rsidRPr="00D159D0" w:rsidRDefault="000B76BD" w:rsidP="004976F9">
            <w:pPr>
              <w:shd w:val="clear" w:color="auto" w:fill="FFFFFF"/>
              <w:ind w:firstLine="488"/>
              <w:jc w:val="both"/>
              <w:rPr>
                <w:lang w:val="uk-UA" w:eastAsia="uk-UA"/>
              </w:rPr>
            </w:pPr>
          </w:p>
          <w:p w14:paraId="6D7C79F6" w14:textId="77777777" w:rsidR="000B76BD" w:rsidRPr="00D159D0" w:rsidRDefault="000B76BD" w:rsidP="004976F9">
            <w:pPr>
              <w:shd w:val="clear" w:color="auto" w:fill="FFFFFF"/>
              <w:ind w:firstLine="488"/>
              <w:jc w:val="both"/>
              <w:rPr>
                <w:lang w:val="uk-UA" w:eastAsia="uk-UA"/>
              </w:rPr>
            </w:pPr>
          </w:p>
          <w:p w14:paraId="5B5FC023" w14:textId="77777777" w:rsidR="000B76BD" w:rsidRPr="00D159D0" w:rsidRDefault="000B76BD" w:rsidP="004976F9">
            <w:pPr>
              <w:shd w:val="clear" w:color="auto" w:fill="FFFFFF"/>
              <w:ind w:firstLine="488"/>
              <w:jc w:val="both"/>
              <w:rPr>
                <w:lang w:val="uk-UA" w:eastAsia="uk-UA"/>
              </w:rPr>
            </w:pPr>
          </w:p>
          <w:p w14:paraId="035ADC9B" w14:textId="77777777" w:rsidR="000B76BD" w:rsidRPr="00D159D0" w:rsidRDefault="000B76BD" w:rsidP="004976F9">
            <w:pPr>
              <w:shd w:val="clear" w:color="auto" w:fill="FFFFFF"/>
              <w:ind w:firstLine="488"/>
              <w:jc w:val="both"/>
              <w:rPr>
                <w:lang w:val="uk-UA" w:eastAsia="uk-UA"/>
              </w:rPr>
            </w:pPr>
          </w:p>
          <w:p w14:paraId="4FCDCA46" w14:textId="77777777" w:rsidR="000B76BD" w:rsidRPr="00D159D0" w:rsidRDefault="000B76BD" w:rsidP="004976F9">
            <w:pPr>
              <w:shd w:val="clear" w:color="auto" w:fill="FFFFFF"/>
              <w:ind w:firstLine="488"/>
              <w:jc w:val="both"/>
              <w:rPr>
                <w:lang w:val="uk-UA" w:eastAsia="uk-UA"/>
              </w:rPr>
            </w:pPr>
          </w:p>
          <w:p w14:paraId="24D5C077" w14:textId="77777777" w:rsidR="000B76BD" w:rsidRPr="00D159D0" w:rsidRDefault="000B76BD" w:rsidP="004976F9">
            <w:pPr>
              <w:shd w:val="clear" w:color="auto" w:fill="FFFFFF"/>
              <w:ind w:firstLine="488"/>
              <w:jc w:val="both"/>
              <w:rPr>
                <w:lang w:val="uk-UA" w:eastAsia="uk-UA"/>
              </w:rPr>
            </w:pPr>
          </w:p>
          <w:p w14:paraId="37455153" w14:textId="77777777" w:rsidR="000B76BD" w:rsidRPr="00D159D0" w:rsidRDefault="000B76BD" w:rsidP="004976F9">
            <w:pPr>
              <w:shd w:val="clear" w:color="auto" w:fill="FFFFFF"/>
              <w:ind w:firstLine="488"/>
              <w:jc w:val="both"/>
              <w:rPr>
                <w:lang w:val="uk-UA" w:eastAsia="uk-UA"/>
              </w:rPr>
            </w:pPr>
          </w:p>
          <w:p w14:paraId="794DAA8D" w14:textId="77777777" w:rsidR="000B76BD" w:rsidRPr="00D159D0" w:rsidRDefault="000B76BD" w:rsidP="004976F9">
            <w:pPr>
              <w:shd w:val="clear" w:color="auto" w:fill="FFFFFF"/>
              <w:ind w:firstLine="488"/>
              <w:jc w:val="both"/>
              <w:rPr>
                <w:lang w:val="uk-UA" w:eastAsia="uk-UA"/>
              </w:rPr>
            </w:pPr>
          </w:p>
          <w:p w14:paraId="3394D56A" w14:textId="77777777" w:rsidR="000B76BD" w:rsidRPr="00D159D0" w:rsidRDefault="000B76BD" w:rsidP="004976F9">
            <w:pPr>
              <w:shd w:val="clear" w:color="auto" w:fill="FFFFFF"/>
              <w:ind w:firstLine="488"/>
              <w:jc w:val="both"/>
              <w:rPr>
                <w:lang w:val="uk-UA" w:eastAsia="uk-UA"/>
              </w:rPr>
            </w:pPr>
          </w:p>
          <w:p w14:paraId="6FCC1673" w14:textId="77777777" w:rsidR="000B76BD" w:rsidRPr="00D159D0" w:rsidRDefault="000B76BD" w:rsidP="004976F9">
            <w:pPr>
              <w:shd w:val="clear" w:color="auto" w:fill="FFFFFF"/>
              <w:ind w:firstLine="488"/>
              <w:jc w:val="both"/>
              <w:rPr>
                <w:lang w:val="uk-UA" w:eastAsia="uk-UA"/>
              </w:rPr>
            </w:pPr>
          </w:p>
          <w:p w14:paraId="03863CE8" w14:textId="77777777" w:rsidR="000B76BD" w:rsidRPr="00D159D0" w:rsidRDefault="000B76BD" w:rsidP="004976F9">
            <w:pPr>
              <w:shd w:val="clear" w:color="auto" w:fill="FFFFFF"/>
              <w:ind w:firstLine="488"/>
              <w:jc w:val="both"/>
              <w:rPr>
                <w:lang w:val="uk-UA" w:eastAsia="uk-UA"/>
              </w:rPr>
            </w:pPr>
          </w:p>
          <w:p w14:paraId="4FDB3EF6" w14:textId="77777777" w:rsidR="000B76BD" w:rsidRPr="00D159D0" w:rsidRDefault="000B76BD" w:rsidP="004976F9">
            <w:pPr>
              <w:shd w:val="clear" w:color="auto" w:fill="FFFFFF"/>
              <w:ind w:firstLine="488"/>
              <w:jc w:val="both"/>
              <w:rPr>
                <w:lang w:val="uk-UA" w:eastAsia="uk-UA"/>
              </w:rPr>
            </w:pPr>
          </w:p>
          <w:p w14:paraId="290B436D" w14:textId="77777777" w:rsidR="000B76BD" w:rsidRPr="00D159D0" w:rsidRDefault="000B76BD" w:rsidP="004976F9">
            <w:pPr>
              <w:shd w:val="clear" w:color="auto" w:fill="FFFFFF"/>
              <w:ind w:firstLine="488"/>
              <w:jc w:val="both"/>
              <w:rPr>
                <w:lang w:val="uk-UA" w:eastAsia="uk-UA"/>
              </w:rPr>
            </w:pPr>
          </w:p>
          <w:p w14:paraId="30268131" w14:textId="77777777" w:rsidR="000B76BD" w:rsidRPr="00D159D0" w:rsidRDefault="000B76BD" w:rsidP="004976F9">
            <w:pPr>
              <w:shd w:val="clear" w:color="auto" w:fill="FFFFFF"/>
              <w:ind w:firstLine="488"/>
              <w:jc w:val="both"/>
              <w:rPr>
                <w:lang w:val="uk-UA" w:eastAsia="uk-UA"/>
              </w:rPr>
            </w:pPr>
          </w:p>
          <w:p w14:paraId="50371169" w14:textId="77777777" w:rsidR="00DC5F66" w:rsidRPr="00D159D0" w:rsidRDefault="00DC5F66" w:rsidP="004976F9">
            <w:pPr>
              <w:shd w:val="clear" w:color="auto" w:fill="FFFFFF"/>
              <w:ind w:firstLine="488"/>
              <w:jc w:val="both"/>
              <w:rPr>
                <w:lang w:val="uk-UA" w:eastAsia="uk-UA"/>
              </w:rPr>
            </w:pPr>
          </w:p>
          <w:p w14:paraId="6BA3D676" w14:textId="77777777" w:rsidR="00DC5F66" w:rsidRPr="00D159D0" w:rsidRDefault="00DC5F66" w:rsidP="004976F9">
            <w:pPr>
              <w:shd w:val="clear" w:color="auto" w:fill="FFFFFF"/>
              <w:ind w:firstLine="488"/>
              <w:jc w:val="both"/>
              <w:rPr>
                <w:lang w:val="uk-UA" w:eastAsia="uk-UA"/>
              </w:rPr>
            </w:pPr>
          </w:p>
          <w:p w14:paraId="07676D99" w14:textId="77777777" w:rsidR="00DC5F66" w:rsidRPr="00D159D0" w:rsidRDefault="00DC5F66" w:rsidP="004976F9">
            <w:pPr>
              <w:shd w:val="clear" w:color="auto" w:fill="FFFFFF"/>
              <w:ind w:firstLine="488"/>
              <w:jc w:val="both"/>
              <w:rPr>
                <w:lang w:val="uk-UA" w:eastAsia="uk-UA"/>
              </w:rPr>
            </w:pPr>
          </w:p>
          <w:p w14:paraId="25E43C75" w14:textId="77777777" w:rsidR="00DC5F66" w:rsidRPr="00D159D0" w:rsidRDefault="00DC5F66" w:rsidP="004976F9">
            <w:pPr>
              <w:shd w:val="clear" w:color="auto" w:fill="FFFFFF"/>
              <w:ind w:firstLine="488"/>
              <w:jc w:val="both"/>
              <w:rPr>
                <w:lang w:val="uk-UA" w:eastAsia="uk-UA"/>
              </w:rPr>
            </w:pPr>
          </w:p>
          <w:p w14:paraId="3FF01EFC" w14:textId="77777777" w:rsidR="00DC5F66" w:rsidRPr="00D159D0" w:rsidRDefault="00DC5F66" w:rsidP="004976F9">
            <w:pPr>
              <w:shd w:val="clear" w:color="auto" w:fill="FFFFFF"/>
              <w:ind w:firstLine="488"/>
              <w:jc w:val="both"/>
              <w:rPr>
                <w:lang w:val="uk-UA" w:eastAsia="uk-UA"/>
              </w:rPr>
            </w:pPr>
          </w:p>
          <w:p w14:paraId="79E17226" w14:textId="77777777" w:rsidR="00DC5F66" w:rsidRPr="00D159D0" w:rsidRDefault="00DC5F66" w:rsidP="004976F9">
            <w:pPr>
              <w:shd w:val="clear" w:color="auto" w:fill="FFFFFF"/>
              <w:ind w:firstLine="488"/>
              <w:jc w:val="both"/>
              <w:rPr>
                <w:lang w:val="uk-UA" w:eastAsia="uk-UA"/>
              </w:rPr>
            </w:pPr>
          </w:p>
          <w:p w14:paraId="58E51C61" w14:textId="77777777" w:rsidR="00DC5F66" w:rsidRPr="00D159D0" w:rsidRDefault="00DC5F66" w:rsidP="004976F9">
            <w:pPr>
              <w:shd w:val="clear" w:color="auto" w:fill="FFFFFF"/>
              <w:ind w:firstLine="488"/>
              <w:jc w:val="both"/>
              <w:rPr>
                <w:lang w:val="uk-UA" w:eastAsia="uk-UA"/>
              </w:rPr>
            </w:pPr>
          </w:p>
          <w:p w14:paraId="687EA9C0" w14:textId="77777777" w:rsidR="00DC5F66" w:rsidRPr="00D159D0" w:rsidRDefault="00DC5F66" w:rsidP="004976F9">
            <w:pPr>
              <w:shd w:val="clear" w:color="auto" w:fill="FFFFFF"/>
              <w:ind w:firstLine="488"/>
              <w:jc w:val="both"/>
              <w:rPr>
                <w:lang w:val="uk-UA" w:eastAsia="uk-UA"/>
              </w:rPr>
            </w:pPr>
          </w:p>
          <w:p w14:paraId="5E4315E5" w14:textId="77777777" w:rsidR="00DC5F66" w:rsidRPr="00D159D0" w:rsidRDefault="00DC5F66" w:rsidP="004976F9">
            <w:pPr>
              <w:shd w:val="clear" w:color="auto" w:fill="FFFFFF"/>
              <w:ind w:firstLine="488"/>
              <w:jc w:val="both"/>
              <w:rPr>
                <w:lang w:val="uk-UA" w:eastAsia="uk-UA"/>
              </w:rPr>
            </w:pPr>
          </w:p>
          <w:p w14:paraId="4EABE8A7" w14:textId="77777777" w:rsidR="00DC5F66" w:rsidRPr="00D159D0" w:rsidRDefault="00DC5F66" w:rsidP="004976F9">
            <w:pPr>
              <w:shd w:val="clear" w:color="auto" w:fill="FFFFFF"/>
              <w:ind w:firstLine="488"/>
              <w:jc w:val="both"/>
              <w:rPr>
                <w:lang w:val="uk-UA" w:eastAsia="uk-UA"/>
              </w:rPr>
            </w:pPr>
          </w:p>
          <w:p w14:paraId="34092F2D" w14:textId="77777777" w:rsidR="00DC5F66" w:rsidRPr="00D159D0" w:rsidRDefault="00DC5F66" w:rsidP="004976F9">
            <w:pPr>
              <w:shd w:val="clear" w:color="auto" w:fill="FFFFFF"/>
              <w:ind w:firstLine="488"/>
              <w:jc w:val="both"/>
              <w:rPr>
                <w:lang w:val="uk-UA" w:eastAsia="uk-UA"/>
              </w:rPr>
            </w:pPr>
          </w:p>
          <w:p w14:paraId="5F63A963" w14:textId="77777777" w:rsidR="00DC5F66" w:rsidRPr="00D159D0" w:rsidRDefault="00DC5F66" w:rsidP="004976F9">
            <w:pPr>
              <w:shd w:val="clear" w:color="auto" w:fill="FFFFFF"/>
              <w:ind w:firstLine="488"/>
              <w:jc w:val="both"/>
              <w:rPr>
                <w:lang w:val="uk-UA" w:eastAsia="uk-UA"/>
              </w:rPr>
            </w:pPr>
          </w:p>
          <w:p w14:paraId="0D662537" w14:textId="77777777" w:rsidR="00DC5F66" w:rsidRPr="00D159D0" w:rsidRDefault="00DC5F66" w:rsidP="004976F9">
            <w:pPr>
              <w:shd w:val="clear" w:color="auto" w:fill="FFFFFF"/>
              <w:ind w:firstLine="488"/>
              <w:jc w:val="both"/>
              <w:rPr>
                <w:lang w:val="uk-UA" w:eastAsia="uk-UA"/>
              </w:rPr>
            </w:pPr>
          </w:p>
          <w:p w14:paraId="22AE7830" w14:textId="77777777" w:rsidR="00DC5F66" w:rsidRPr="00D159D0" w:rsidRDefault="00DC5F66" w:rsidP="004976F9">
            <w:pPr>
              <w:shd w:val="clear" w:color="auto" w:fill="FFFFFF"/>
              <w:ind w:firstLine="488"/>
              <w:jc w:val="both"/>
              <w:rPr>
                <w:lang w:val="uk-UA" w:eastAsia="uk-UA"/>
              </w:rPr>
            </w:pPr>
          </w:p>
          <w:p w14:paraId="1A458EAD" w14:textId="77777777" w:rsidR="00DC5F66" w:rsidRPr="00D159D0" w:rsidRDefault="00DC5F66" w:rsidP="004976F9">
            <w:pPr>
              <w:shd w:val="clear" w:color="auto" w:fill="FFFFFF"/>
              <w:ind w:firstLine="488"/>
              <w:jc w:val="both"/>
              <w:rPr>
                <w:lang w:val="uk-UA" w:eastAsia="uk-UA"/>
              </w:rPr>
            </w:pPr>
          </w:p>
          <w:p w14:paraId="797F3007" w14:textId="77777777" w:rsidR="00DC5F66" w:rsidRPr="00D159D0" w:rsidRDefault="00DC5F66" w:rsidP="004976F9">
            <w:pPr>
              <w:shd w:val="clear" w:color="auto" w:fill="FFFFFF"/>
              <w:ind w:firstLine="488"/>
              <w:jc w:val="both"/>
              <w:rPr>
                <w:lang w:val="uk-UA" w:eastAsia="uk-UA"/>
              </w:rPr>
            </w:pPr>
          </w:p>
          <w:p w14:paraId="1F626AB1" w14:textId="77777777" w:rsidR="00DC5F66" w:rsidRPr="00D159D0" w:rsidRDefault="00DC5F66" w:rsidP="004976F9">
            <w:pPr>
              <w:shd w:val="clear" w:color="auto" w:fill="FFFFFF"/>
              <w:ind w:firstLine="488"/>
              <w:jc w:val="both"/>
              <w:rPr>
                <w:lang w:val="uk-UA" w:eastAsia="uk-UA"/>
              </w:rPr>
            </w:pPr>
          </w:p>
          <w:p w14:paraId="1DA3BC61" w14:textId="77777777" w:rsidR="00DC5F66" w:rsidRPr="00D159D0" w:rsidRDefault="00DC5F66" w:rsidP="004976F9">
            <w:pPr>
              <w:shd w:val="clear" w:color="auto" w:fill="FFFFFF"/>
              <w:ind w:firstLine="488"/>
              <w:jc w:val="both"/>
              <w:rPr>
                <w:lang w:val="uk-UA" w:eastAsia="uk-UA"/>
              </w:rPr>
            </w:pPr>
          </w:p>
          <w:p w14:paraId="2D7E91EF" w14:textId="77777777" w:rsidR="00DC5F66" w:rsidRPr="00D159D0" w:rsidRDefault="00DC5F66" w:rsidP="004976F9">
            <w:pPr>
              <w:shd w:val="clear" w:color="auto" w:fill="FFFFFF"/>
              <w:ind w:firstLine="488"/>
              <w:jc w:val="both"/>
              <w:rPr>
                <w:lang w:val="uk-UA" w:eastAsia="uk-UA"/>
              </w:rPr>
            </w:pPr>
          </w:p>
          <w:p w14:paraId="6BB1363E" w14:textId="77777777" w:rsidR="00DC5F66" w:rsidRPr="00D159D0" w:rsidRDefault="00DC5F66" w:rsidP="004976F9">
            <w:pPr>
              <w:shd w:val="clear" w:color="auto" w:fill="FFFFFF"/>
              <w:ind w:firstLine="488"/>
              <w:jc w:val="both"/>
              <w:rPr>
                <w:lang w:val="uk-UA" w:eastAsia="uk-UA"/>
              </w:rPr>
            </w:pPr>
          </w:p>
          <w:p w14:paraId="087AE01D" w14:textId="77777777" w:rsidR="00DC5F66" w:rsidRPr="00D159D0" w:rsidRDefault="00DC5F66" w:rsidP="004976F9">
            <w:pPr>
              <w:shd w:val="clear" w:color="auto" w:fill="FFFFFF"/>
              <w:ind w:firstLine="488"/>
              <w:jc w:val="both"/>
              <w:rPr>
                <w:lang w:val="uk-UA" w:eastAsia="uk-UA"/>
              </w:rPr>
            </w:pPr>
          </w:p>
          <w:p w14:paraId="6CF4681D" w14:textId="77777777" w:rsidR="00DC5F66" w:rsidRPr="00D159D0" w:rsidRDefault="00DC5F66" w:rsidP="004976F9">
            <w:pPr>
              <w:shd w:val="clear" w:color="auto" w:fill="FFFFFF"/>
              <w:ind w:firstLine="488"/>
              <w:jc w:val="both"/>
              <w:rPr>
                <w:lang w:val="uk-UA" w:eastAsia="uk-UA"/>
              </w:rPr>
            </w:pPr>
          </w:p>
          <w:p w14:paraId="774B077C" w14:textId="77777777" w:rsidR="00DC5F66" w:rsidRPr="00D159D0" w:rsidRDefault="00DC5F66" w:rsidP="004976F9">
            <w:pPr>
              <w:shd w:val="clear" w:color="auto" w:fill="FFFFFF"/>
              <w:ind w:firstLine="488"/>
              <w:jc w:val="both"/>
              <w:rPr>
                <w:lang w:val="uk-UA" w:eastAsia="uk-UA"/>
              </w:rPr>
            </w:pPr>
          </w:p>
          <w:p w14:paraId="146B1011" w14:textId="77777777" w:rsidR="00DC5F66" w:rsidRPr="00D159D0" w:rsidRDefault="00DC5F66" w:rsidP="004976F9">
            <w:pPr>
              <w:shd w:val="clear" w:color="auto" w:fill="FFFFFF"/>
              <w:ind w:firstLine="488"/>
              <w:jc w:val="both"/>
              <w:rPr>
                <w:lang w:val="uk-UA" w:eastAsia="uk-UA"/>
              </w:rPr>
            </w:pPr>
          </w:p>
          <w:p w14:paraId="6A5424EE" w14:textId="77777777" w:rsidR="00DC5F66" w:rsidRPr="00D159D0" w:rsidRDefault="00DC5F66" w:rsidP="004976F9">
            <w:pPr>
              <w:shd w:val="clear" w:color="auto" w:fill="FFFFFF"/>
              <w:ind w:firstLine="488"/>
              <w:jc w:val="both"/>
              <w:rPr>
                <w:lang w:val="uk-UA" w:eastAsia="uk-UA"/>
              </w:rPr>
            </w:pPr>
          </w:p>
          <w:p w14:paraId="3919A69D" w14:textId="77777777" w:rsidR="00DC5F66" w:rsidRPr="00D159D0" w:rsidRDefault="00DC5F66" w:rsidP="004976F9">
            <w:pPr>
              <w:shd w:val="clear" w:color="auto" w:fill="FFFFFF"/>
              <w:ind w:firstLine="488"/>
              <w:jc w:val="both"/>
              <w:rPr>
                <w:lang w:val="uk-UA" w:eastAsia="uk-UA"/>
              </w:rPr>
            </w:pPr>
          </w:p>
          <w:p w14:paraId="28199AF2" w14:textId="77777777" w:rsidR="00DC5F66" w:rsidRPr="00D159D0" w:rsidRDefault="00DC5F66" w:rsidP="004976F9">
            <w:pPr>
              <w:shd w:val="clear" w:color="auto" w:fill="FFFFFF"/>
              <w:ind w:firstLine="488"/>
              <w:jc w:val="both"/>
              <w:rPr>
                <w:lang w:val="uk-UA" w:eastAsia="uk-UA"/>
              </w:rPr>
            </w:pPr>
          </w:p>
          <w:p w14:paraId="7959FB72" w14:textId="77777777" w:rsidR="00DC5F66" w:rsidRPr="00D159D0" w:rsidRDefault="00DC5F66" w:rsidP="004976F9">
            <w:pPr>
              <w:shd w:val="clear" w:color="auto" w:fill="FFFFFF"/>
              <w:ind w:firstLine="488"/>
              <w:jc w:val="both"/>
              <w:rPr>
                <w:lang w:val="uk-UA" w:eastAsia="uk-UA"/>
              </w:rPr>
            </w:pPr>
          </w:p>
          <w:p w14:paraId="0C1033D6" w14:textId="77777777" w:rsidR="00DC5F66" w:rsidRPr="00D159D0" w:rsidRDefault="00DC5F66" w:rsidP="004976F9">
            <w:pPr>
              <w:shd w:val="clear" w:color="auto" w:fill="FFFFFF"/>
              <w:ind w:firstLine="488"/>
              <w:jc w:val="both"/>
              <w:rPr>
                <w:lang w:val="uk-UA" w:eastAsia="uk-UA"/>
              </w:rPr>
            </w:pPr>
          </w:p>
          <w:p w14:paraId="64A1501D" w14:textId="77777777" w:rsidR="00DC5F66" w:rsidRPr="00D159D0" w:rsidRDefault="00DC5F66" w:rsidP="004976F9">
            <w:pPr>
              <w:shd w:val="clear" w:color="auto" w:fill="FFFFFF"/>
              <w:ind w:firstLine="488"/>
              <w:jc w:val="both"/>
              <w:rPr>
                <w:lang w:val="uk-UA" w:eastAsia="uk-UA"/>
              </w:rPr>
            </w:pPr>
          </w:p>
          <w:p w14:paraId="1B8B4B4B" w14:textId="77777777" w:rsidR="00DC5F66" w:rsidRPr="00D159D0" w:rsidRDefault="00DC5F66" w:rsidP="004976F9">
            <w:pPr>
              <w:shd w:val="clear" w:color="auto" w:fill="FFFFFF"/>
              <w:ind w:firstLine="488"/>
              <w:jc w:val="both"/>
              <w:rPr>
                <w:lang w:val="uk-UA" w:eastAsia="uk-UA"/>
              </w:rPr>
            </w:pPr>
          </w:p>
          <w:p w14:paraId="49D43F28" w14:textId="77777777" w:rsidR="00DC5F66" w:rsidRPr="00D159D0" w:rsidRDefault="00DC5F66" w:rsidP="004976F9">
            <w:pPr>
              <w:shd w:val="clear" w:color="auto" w:fill="FFFFFF"/>
              <w:ind w:firstLine="488"/>
              <w:jc w:val="both"/>
              <w:rPr>
                <w:lang w:val="uk-UA" w:eastAsia="uk-UA"/>
              </w:rPr>
            </w:pPr>
          </w:p>
          <w:p w14:paraId="6E87C33C" w14:textId="77777777" w:rsidR="00DC5F66" w:rsidRPr="00D159D0" w:rsidRDefault="00DC5F66" w:rsidP="004976F9">
            <w:pPr>
              <w:shd w:val="clear" w:color="auto" w:fill="FFFFFF"/>
              <w:ind w:firstLine="488"/>
              <w:jc w:val="both"/>
              <w:rPr>
                <w:lang w:val="uk-UA" w:eastAsia="uk-UA"/>
              </w:rPr>
            </w:pPr>
          </w:p>
          <w:p w14:paraId="6959CF9A" w14:textId="77777777" w:rsidR="00DC5F66" w:rsidRPr="00D159D0" w:rsidRDefault="00DC5F66" w:rsidP="004976F9">
            <w:pPr>
              <w:shd w:val="clear" w:color="auto" w:fill="FFFFFF"/>
              <w:ind w:firstLine="488"/>
              <w:jc w:val="both"/>
              <w:rPr>
                <w:lang w:val="uk-UA" w:eastAsia="uk-UA"/>
              </w:rPr>
            </w:pPr>
          </w:p>
          <w:p w14:paraId="357E3C0F" w14:textId="77777777" w:rsidR="00DC5F66" w:rsidRPr="00D159D0" w:rsidRDefault="00DC5F66" w:rsidP="004976F9">
            <w:pPr>
              <w:shd w:val="clear" w:color="auto" w:fill="FFFFFF"/>
              <w:ind w:firstLine="488"/>
              <w:jc w:val="both"/>
              <w:rPr>
                <w:lang w:val="uk-UA" w:eastAsia="uk-UA"/>
              </w:rPr>
            </w:pPr>
          </w:p>
          <w:p w14:paraId="46D2E19E" w14:textId="77777777" w:rsidR="00DC5F66" w:rsidRPr="00D159D0" w:rsidRDefault="00DC5F66" w:rsidP="004976F9">
            <w:pPr>
              <w:shd w:val="clear" w:color="auto" w:fill="FFFFFF"/>
              <w:ind w:firstLine="488"/>
              <w:jc w:val="both"/>
              <w:rPr>
                <w:lang w:val="uk-UA" w:eastAsia="uk-UA"/>
              </w:rPr>
            </w:pPr>
          </w:p>
          <w:p w14:paraId="23263FE5" w14:textId="77777777" w:rsidR="00DC5F66" w:rsidRPr="00D159D0" w:rsidRDefault="00DC5F66" w:rsidP="004976F9">
            <w:pPr>
              <w:shd w:val="clear" w:color="auto" w:fill="FFFFFF"/>
              <w:ind w:firstLine="488"/>
              <w:jc w:val="both"/>
              <w:rPr>
                <w:lang w:val="uk-UA" w:eastAsia="uk-UA"/>
              </w:rPr>
            </w:pPr>
          </w:p>
          <w:p w14:paraId="0D6DF156" w14:textId="77777777" w:rsidR="00DC5F66" w:rsidRPr="00D159D0" w:rsidRDefault="00DC5F66" w:rsidP="004976F9">
            <w:pPr>
              <w:shd w:val="clear" w:color="auto" w:fill="FFFFFF"/>
              <w:ind w:firstLine="488"/>
              <w:jc w:val="both"/>
              <w:rPr>
                <w:lang w:val="uk-UA" w:eastAsia="uk-UA"/>
              </w:rPr>
            </w:pPr>
          </w:p>
          <w:p w14:paraId="4DD02C1C" w14:textId="77777777" w:rsidR="00DC5F66" w:rsidRPr="00D159D0" w:rsidRDefault="00DC5F66" w:rsidP="004976F9">
            <w:pPr>
              <w:shd w:val="clear" w:color="auto" w:fill="FFFFFF"/>
              <w:ind w:firstLine="488"/>
              <w:jc w:val="both"/>
              <w:rPr>
                <w:lang w:val="uk-UA" w:eastAsia="uk-UA"/>
              </w:rPr>
            </w:pPr>
          </w:p>
          <w:p w14:paraId="46390D08" w14:textId="77777777" w:rsidR="00DC5F66" w:rsidRPr="00D159D0" w:rsidRDefault="00DC5F66" w:rsidP="004976F9">
            <w:pPr>
              <w:shd w:val="clear" w:color="auto" w:fill="FFFFFF"/>
              <w:ind w:firstLine="488"/>
              <w:jc w:val="both"/>
              <w:rPr>
                <w:lang w:val="uk-UA" w:eastAsia="uk-UA"/>
              </w:rPr>
            </w:pPr>
          </w:p>
          <w:p w14:paraId="15B5C41A" w14:textId="77777777" w:rsidR="00DC5F66" w:rsidRPr="00D159D0" w:rsidRDefault="00DC5F66" w:rsidP="004976F9">
            <w:pPr>
              <w:shd w:val="clear" w:color="auto" w:fill="FFFFFF"/>
              <w:ind w:firstLine="488"/>
              <w:jc w:val="both"/>
              <w:rPr>
                <w:lang w:val="uk-UA" w:eastAsia="uk-UA"/>
              </w:rPr>
            </w:pPr>
          </w:p>
          <w:p w14:paraId="7930C4E7" w14:textId="77777777" w:rsidR="00DC5F66" w:rsidRPr="00D159D0" w:rsidRDefault="00DC5F66" w:rsidP="004976F9">
            <w:pPr>
              <w:shd w:val="clear" w:color="auto" w:fill="FFFFFF"/>
              <w:ind w:firstLine="488"/>
              <w:jc w:val="both"/>
              <w:rPr>
                <w:lang w:val="uk-UA" w:eastAsia="uk-UA"/>
              </w:rPr>
            </w:pPr>
          </w:p>
          <w:p w14:paraId="5EFEB93E" w14:textId="77777777" w:rsidR="00DC5F66" w:rsidRPr="00D159D0" w:rsidRDefault="00DC5F66" w:rsidP="004976F9">
            <w:pPr>
              <w:shd w:val="clear" w:color="auto" w:fill="FFFFFF"/>
              <w:ind w:firstLine="488"/>
              <w:jc w:val="both"/>
              <w:rPr>
                <w:lang w:val="uk-UA" w:eastAsia="uk-UA"/>
              </w:rPr>
            </w:pPr>
          </w:p>
          <w:p w14:paraId="6D156BF1" w14:textId="77777777" w:rsidR="00DC5F66" w:rsidRPr="00D159D0" w:rsidRDefault="00DC5F66" w:rsidP="004976F9">
            <w:pPr>
              <w:shd w:val="clear" w:color="auto" w:fill="FFFFFF"/>
              <w:ind w:firstLine="488"/>
              <w:jc w:val="both"/>
              <w:rPr>
                <w:lang w:val="uk-UA" w:eastAsia="uk-UA"/>
              </w:rPr>
            </w:pPr>
          </w:p>
          <w:p w14:paraId="69DAF662" w14:textId="77777777" w:rsidR="00DC5F66" w:rsidRPr="00D159D0" w:rsidRDefault="00DC5F66" w:rsidP="004976F9">
            <w:pPr>
              <w:shd w:val="clear" w:color="auto" w:fill="FFFFFF"/>
              <w:ind w:firstLine="488"/>
              <w:jc w:val="both"/>
              <w:rPr>
                <w:lang w:val="uk-UA" w:eastAsia="uk-UA"/>
              </w:rPr>
            </w:pPr>
          </w:p>
          <w:p w14:paraId="102AF4EE" w14:textId="77777777" w:rsidR="00F22144" w:rsidRPr="00D159D0" w:rsidRDefault="00F22144" w:rsidP="004976F9">
            <w:pPr>
              <w:shd w:val="clear" w:color="auto" w:fill="FFFFFF"/>
              <w:ind w:firstLine="488"/>
              <w:jc w:val="both"/>
              <w:rPr>
                <w:lang w:val="uk-UA" w:eastAsia="uk-UA"/>
              </w:rPr>
            </w:pPr>
          </w:p>
          <w:p w14:paraId="5B031471" w14:textId="77777777" w:rsidR="00F22144" w:rsidRPr="00D159D0" w:rsidRDefault="00F22144" w:rsidP="004976F9">
            <w:pPr>
              <w:shd w:val="clear" w:color="auto" w:fill="FFFFFF"/>
              <w:ind w:firstLine="488"/>
              <w:jc w:val="both"/>
              <w:rPr>
                <w:lang w:val="uk-UA" w:eastAsia="uk-UA"/>
              </w:rPr>
            </w:pPr>
          </w:p>
          <w:p w14:paraId="203425EB" w14:textId="77777777" w:rsidR="00F22144" w:rsidRPr="00D159D0" w:rsidRDefault="00F22144" w:rsidP="004976F9">
            <w:pPr>
              <w:shd w:val="clear" w:color="auto" w:fill="FFFFFF"/>
              <w:ind w:firstLine="488"/>
              <w:jc w:val="both"/>
              <w:rPr>
                <w:lang w:val="uk-UA" w:eastAsia="uk-UA"/>
              </w:rPr>
            </w:pPr>
          </w:p>
          <w:p w14:paraId="0B9F6D4F" w14:textId="77777777" w:rsidR="00F22144" w:rsidRPr="00D159D0" w:rsidRDefault="00F22144" w:rsidP="004976F9">
            <w:pPr>
              <w:shd w:val="clear" w:color="auto" w:fill="FFFFFF"/>
              <w:ind w:firstLine="488"/>
              <w:jc w:val="both"/>
              <w:rPr>
                <w:lang w:val="uk-UA" w:eastAsia="uk-UA"/>
              </w:rPr>
            </w:pPr>
          </w:p>
          <w:p w14:paraId="7E31275E" w14:textId="77777777" w:rsidR="00F22144" w:rsidRPr="00D159D0" w:rsidRDefault="00F22144" w:rsidP="004976F9">
            <w:pPr>
              <w:shd w:val="clear" w:color="auto" w:fill="FFFFFF"/>
              <w:ind w:firstLine="488"/>
              <w:jc w:val="both"/>
              <w:rPr>
                <w:lang w:val="uk-UA" w:eastAsia="uk-UA"/>
              </w:rPr>
            </w:pPr>
          </w:p>
          <w:p w14:paraId="3EC03FC7" w14:textId="77777777" w:rsidR="00F22144" w:rsidRPr="00D159D0" w:rsidRDefault="00F22144" w:rsidP="004976F9">
            <w:pPr>
              <w:shd w:val="clear" w:color="auto" w:fill="FFFFFF"/>
              <w:ind w:firstLine="488"/>
              <w:jc w:val="both"/>
              <w:rPr>
                <w:lang w:val="uk-UA" w:eastAsia="uk-UA"/>
              </w:rPr>
            </w:pPr>
          </w:p>
          <w:p w14:paraId="705B8E3B" w14:textId="77777777" w:rsidR="00F22144" w:rsidRPr="00D159D0" w:rsidRDefault="00F22144" w:rsidP="004976F9">
            <w:pPr>
              <w:shd w:val="clear" w:color="auto" w:fill="FFFFFF"/>
              <w:ind w:firstLine="488"/>
              <w:jc w:val="both"/>
              <w:rPr>
                <w:lang w:val="uk-UA" w:eastAsia="uk-UA"/>
              </w:rPr>
            </w:pPr>
          </w:p>
          <w:p w14:paraId="036C5E94" w14:textId="77777777" w:rsidR="00F22144" w:rsidRPr="00D159D0" w:rsidRDefault="00F22144" w:rsidP="004976F9">
            <w:pPr>
              <w:shd w:val="clear" w:color="auto" w:fill="FFFFFF"/>
              <w:ind w:firstLine="488"/>
              <w:jc w:val="both"/>
              <w:rPr>
                <w:lang w:val="uk-UA" w:eastAsia="uk-UA"/>
              </w:rPr>
            </w:pPr>
          </w:p>
          <w:p w14:paraId="6F751207" w14:textId="77777777" w:rsidR="00F22144" w:rsidRPr="00D159D0" w:rsidRDefault="00F22144" w:rsidP="004976F9">
            <w:pPr>
              <w:shd w:val="clear" w:color="auto" w:fill="FFFFFF"/>
              <w:ind w:firstLine="488"/>
              <w:jc w:val="both"/>
              <w:rPr>
                <w:lang w:val="uk-UA" w:eastAsia="uk-UA"/>
              </w:rPr>
            </w:pPr>
          </w:p>
          <w:p w14:paraId="79419492" w14:textId="77777777" w:rsidR="00F22144" w:rsidRPr="00D159D0" w:rsidRDefault="00F22144" w:rsidP="004976F9">
            <w:pPr>
              <w:shd w:val="clear" w:color="auto" w:fill="FFFFFF"/>
              <w:ind w:firstLine="488"/>
              <w:jc w:val="both"/>
              <w:rPr>
                <w:lang w:val="uk-UA" w:eastAsia="uk-UA"/>
              </w:rPr>
            </w:pPr>
          </w:p>
          <w:p w14:paraId="63ED92F5" w14:textId="77777777" w:rsidR="00F22144" w:rsidRPr="00D159D0" w:rsidRDefault="00F22144" w:rsidP="004976F9">
            <w:pPr>
              <w:shd w:val="clear" w:color="auto" w:fill="FFFFFF"/>
              <w:ind w:firstLine="488"/>
              <w:jc w:val="both"/>
              <w:rPr>
                <w:lang w:val="uk-UA" w:eastAsia="uk-UA"/>
              </w:rPr>
            </w:pPr>
          </w:p>
          <w:p w14:paraId="2C2BACD4" w14:textId="77777777" w:rsidR="00F22144" w:rsidRPr="00D159D0" w:rsidRDefault="00F22144" w:rsidP="004976F9">
            <w:pPr>
              <w:shd w:val="clear" w:color="auto" w:fill="FFFFFF"/>
              <w:ind w:firstLine="488"/>
              <w:jc w:val="both"/>
              <w:rPr>
                <w:lang w:val="uk-UA" w:eastAsia="uk-UA"/>
              </w:rPr>
            </w:pPr>
          </w:p>
          <w:p w14:paraId="2292031B" w14:textId="77777777" w:rsidR="00F22144" w:rsidRPr="00D159D0" w:rsidRDefault="00F22144" w:rsidP="004976F9">
            <w:pPr>
              <w:shd w:val="clear" w:color="auto" w:fill="FFFFFF"/>
              <w:ind w:firstLine="488"/>
              <w:jc w:val="both"/>
              <w:rPr>
                <w:lang w:val="uk-UA" w:eastAsia="uk-UA"/>
              </w:rPr>
            </w:pPr>
          </w:p>
          <w:p w14:paraId="568DDE3A" w14:textId="77777777" w:rsidR="00F22144" w:rsidRPr="00D159D0" w:rsidRDefault="00F22144" w:rsidP="004976F9">
            <w:pPr>
              <w:shd w:val="clear" w:color="auto" w:fill="FFFFFF"/>
              <w:ind w:firstLine="488"/>
              <w:jc w:val="both"/>
              <w:rPr>
                <w:lang w:val="uk-UA" w:eastAsia="uk-UA"/>
              </w:rPr>
            </w:pPr>
          </w:p>
          <w:p w14:paraId="1B93327C" w14:textId="77777777" w:rsidR="00F22144" w:rsidRPr="00D159D0" w:rsidRDefault="00F22144" w:rsidP="004976F9">
            <w:pPr>
              <w:shd w:val="clear" w:color="auto" w:fill="FFFFFF"/>
              <w:ind w:firstLine="488"/>
              <w:jc w:val="both"/>
              <w:rPr>
                <w:lang w:val="uk-UA" w:eastAsia="uk-UA"/>
              </w:rPr>
            </w:pPr>
          </w:p>
          <w:p w14:paraId="79048999" w14:textId="77777777" w:rsidR="00F22144" w:rsidRPr="00D159D0" w:rsidRDefault="00F22144" w:rsidP="004976F9">
            <w:pPr>
              <w:shd w:val="clear" w:color="auto" w:fill="FFFFFF"/>
              <w:ind w:firstLine="488"/>
              <w:jc w:val="both"/>
              <w:rPr>
                <w:lang w:val="uk-UA" w:eastAsia="uk-UA"/>
              </w:rPr>
            </w:pPr>
          </w:p>
          <w:p w14:paraId="3E1FA885" w14:textId="77777777" w:rsidR="00F22144" w:rsidRPr="00D159D0" w:rsidRDefault="00F22144" w:rsidP="004976F9">
            <w:pPr>
              <w:shd w:val="clear" w:color="auto" w:fill="FFFFFF"/>
              <w:ind w:firstLine="488"/>
              <w:jc w:val="both"/>
              <w:rPr>
                <w:lang w:val="uk-UA" w:eastAsia="uk-UA"/>
              </w:rPr>
            </w:pPr>
          </w:p>
          <w:p w14:paraId="5F90CC8F" w14:textId="77777777" w:rsidR="00F22144" w:rsidRPr="00D159D0" w:rsidRDefault="00F22144" w:rsidP="004976F9">
            <w:pPr>
              <w:shd w:val="clear" w:color="auto" w:fill="FFFFFF"/>
              <w:ind w:firstLine="488"/>
              <w:jc w:val="both"/>
              <w:rPr>
                <w:lang w:val="uk-UA" w:eastAsia="uk-UA"/>
              </w:rPr>
            </w:pPr>
          </w:p>
          <w:p w14:paraId="51046669" w14:textId="77777777" w:rsidR="00F22144" w:rsidRPr="00D159D0" w:rsidRDefault="00F22144" w:rsidP="004976F9">
            <w:pPr>
              <w:shd w:val="clear" w:color="auto" w:fill="FFFFFF"/>
              <w:ind w:firstLine="488"/>
              <w:jc w:val="both"/>
              <w:rPr>
                <w:lang w:val="uk-UA" w:eastAsia="uk-UA"/>
              </w:rPr>
            </w:pPr>
          </w:p>
          <w:p w14:paraId="30D9A988" w14:textId="77777777" w:rsidR="00F22144" w:rsidRPr="00D159D0" w:rsidRDefault="00F22144" w:rsidP="004976F9">
            <w:pPr>
              <w:shd w:val="clear" w:color="auto" w:fill="FFFFFF"/>
              <w:ind w:firstLine="488"/>
              <w:jc w:val="both"/>
              <w:rPr>
                <w:lang w:val="uk-UA" w:eastAsia="uk-UA"/>
              </w:rPr>
            </w:pPr>
          </w:p>
          <w:p w14:paraId="294982A6" w14:textId="77777777" w:rsidR="00F22144" w:rsidRPr="00D159D0" w:rsidRDefault="00F22144" w:rsidP="004976F9">
            <w:pPr>
              <w:shd w:val="clear" w:color="auto" w:fill="FFFFFF"/>
              <w:ind w:firstLine="488"/>
              <w:jc w:val="both"/>
              <w:rPr>
                <w:lang w:val="uk-UA" w:eastAsia="uk-UA"/>
              </w:rPr>
            </w:pPr>
          </w:p>
          <w:p w14:paraId="0425F5A5" w14:textId="77777777" w:rsidR="00F22144" w:rsidRPr="00D159D0" w:rsidRDefault="00F22144" w:rsidP="004976F9">
            <w:pPr>
              <w:shd w:val="clear" w:color="auto" w:fill="FFFFFF"/>
              <w:ind w:firstLine="488"/>
              <w:jc w:val="both"/>
              <w:rPr>
                <w:lang w:val="uk-UA" w:eastAsia="uk-UA"/>
              </w:rPr>
            </w:pPr>
          </w:p>
          <w:p w14:paraId="3F4D7E87" w14:textId="77777777" w:rsidR="00F22144" w:rsidRPr="00D159D0" w:rsidRDefault="00F22144" w:rsidP="004976F9">
            <w:pPr>
              <w:shd w:val="clear" w:color="auto" w:fill="FFFFFF"/>
              <w:ind w:firstLine="488"/>
              <w:jc w:val="both"/>
              <w:rPr>
                <w:lang w:val="uk-UA" w:eastAsia="uk-UA"/>
              </w:rPr>
            </w:pPr>
          </w:p>
          <w:p w14:paraId="1AFBD4BE" w14:textId="77777777" w:rsidR="00F22144" w:rsidRPr="00D159D0" w:rsidRDefault="00F22144" w:rsidP="004976F9">
            <w:pPr>
              <w:shd w:val="clear" w:color="auto" w:fill="FFFFFF"/>
              <w:ind w:firstLine="488"/>
              <w:jc w:val="both"/>
              <w:rPr>
                <w:lang w:val="uk-UA" w:eastAsia="uk-UA"/>
              </w:rPr>
            </w:pPr>
          </w:p>
          <w:p w14:paraId="4A1D2C61" w14:textId="77777777" w:rsidR="00F22144" w:rsidRPr="00D159D0" w:rsidRDefault="00F22144" w:rsidP="004976F9">
            <w:pPr>
              <w:shd w:val="clear" w:color="auto" w:fill="FFFFFF"/>
              <w:ind w:firstLine="488"/>
              <w:jc w:val="both"/>
              <w:rPr>
                <w:lang w:val="uk-UA" w:eastAsia="uk-UA"/>
              </w:rPr>
            </w:pPr>
          </w:p>
          <w:p w14:paraId="5C3C5749" w14:textId="77777777" w:rsidR="00F22144" w:rsidRPr="00D159D0" w:rsidRDefault="00F22144" w:rsidP="004976F9">
            <w:pPr>
              <w:shd w:val="clear" w:color="auto" w:fill="FFFFFF"/>
              <w:ind w:firstLine="488"/>
              <w:jc w:val="both"/>
              <w:rPr>
                <w:lang w:val="uk-UA" w:eastAsia="uk-UA"/>
              </w:rPr>
            </w:pPr>
          </w:p>
          <w:p w14:paraId="11ED6164" w14:textId="77777777" w:rsidR="00F22144" w:rsidRPr="00D159D0" w:rsidRDefault="00F22144" w:rsidP="004976F9">
            <w:pPr>
              <w:shd w:val="clear" w:color="auto" w:fill="FFFFFF"/>
              <w:ind w:firstLine="488"/>
              <w:jc w:val="both"/>
              <w:rPr>
                <w:lang w:val="uk-UA" w:eastAsia="uk-UA"/>
              </w:rPr>
            </w:pPr>
          </w:p>
          <w:p w14:paraId="5ABDF2F2" w14:textId="77777777" w:rsidR="00F22144" w:rsidRPr="00D159D0" w:rsidRDefault="00F22144" w:rsidP="004976F9">
            <w:pPr>
              <w:shd w:val="clear" w:color="auto" w:fill="FFFFFF"/>
              <w:ind w:firstLine="488"/>
              <w:jc w:val="both"/>
              <w:rPr>
                <w:lang w:val="uk-UA" w:eastAsia="uk-UA"/>
              </w:rPr>
            </w:pPr>
          </w:p>
          <w:p w14:paraId="441E21E7" w14:textId="77777777" w:rsidR="00F22144" w:rsidRPr="00D159D0" w:rsidRDefault="00F22144" w:rsidP="004976F9">
            <w:pPr>
              <w:shd w:val="clear" w:color="auto" w:fill="FFFFFF"/>
              <w:ind w:firstLine="488"/>
              <w:jc w:val="both"/>
              <w:rPr>
                <w:lang w:val="uk-UA" w:eastAsia="uk-UA"/>
              </w:rPr>
            </w:pPr>
          </w:p>
          <w:p w14:paraId="53077BA6" w14:textId="77777777" w:rsidR="00F22144" w:rsidRPr="00D159D0" w:rsidRDefault="00F22144" w:rsidP="004976F9">
            <w:pPr>
              <w:shd w:val="clear" w:color="auto" w:fill="FFFFFF"/>
              <w:ind w:firstLine="488"/>
              <w:jc w:val="both"/>
              <w:rPr>
                <w:lang w:val="uk-UA" w:eastAsia="uk-UA"/>
              </w:rPr>
            </w:pPr>
          </w:p>
          <w:p w14:paraId="611F7C40" w14:textId="77777777" w:rsidR="00F22144" w:rsidRPr="00D159D0" w:rsidRDefault="00F22144" w:rsidP="004976F9">
            <w:pPr>
              <w:shd w:val="clear" w:color="auto" w:fill="FFFFFF"/>
              <w:ind w:firstLine="488"/>
              <w:jc w:val="both"/>
              <w:rPr>
                <w:lang w:val="uk-UA" w:eastAsia="uk-UA"/>
              </w:rPr>
            </w:pPr>
          </w:p>
          <w:p w14:paraId="0FEE8123" w14:textId="77777777" w:rsidR="00F22144" w:rsidRPr="00D159D0" w:rsidRDefault="00F22144" w:rsidP="004976F9">
            <w:pPr>
              <w:shd w:val="clear" w:color="auto" w:fill="FFFFFF"/>
              <w:ind w:firstLine="488"/>
              <w:jc w:val="both"/>
              <w:rPr>
                <w:lang w:val="uk-UA" w:eastAsia="uk-UA"/>
              </w:rPr>
            </w:pPr>
          </w:p>
          <w:p w14:paraId="4BDCE60B" w14:textId="77777777" w:rsidR="00F22144" w:rsidRPr="00D159D0" w:rsidRDefault="00F22144" w:rsidP="004976F9">
            <w:pPr>
              <w:shd w:val="clear" w:color="auto" w:fill="FFFFFF"/>
              <w:ind w:firstLine="488"/>
              <w:jc w:val="both"/>
              <w:rPr>
                <w:lang w:val="uk-UA" w:eastAsia="uk-UA"/>
              </w:rPr>
            </w:pPr>
          </w:p>
          <w:p w14:paraId="74721506" w14:textId="77777777" w:rsidR="00F22144" w:rsidRPr="00D159D0" w:rsidRDefault="00F22144" w:rsidP="004976F9">
            <w:pPr>
              <w:shd w:val="clear" w:color="auto" w:fill="FFFFFF"/>
              <w:ind w:firstLine="488"/>
              <w:jc w:val="both"/>
              <w:rPr>
                <w:lang w:val="uk-UA" w:eastAsia="uk-UA"/>
              </w:rPr>
            </w:pPr>
          </w:p>
          <w:p w14:paraId="579D8FFF" w14:textId="77777777" w:rsidR="00F22144" w:rsidRPr="00D159D0" w:rsidRDefault="00F22144" w:rsidP="004976F9">
            <w:pPr>
              <w:shd w:val="clear" w:color="auto" w:fill="FFFFFF"/>
              <w:ind w:firstLine="488"/>
              <w:jc w:val="both"/>
              <w:rPr>
                <w:lang w:val="uk-UA" w:eastAsia="uk-UA"/>
              </w:rPr>
            </w:pPr>
          </w:p>
          <w:p w14:paraId="52AA1D8D" w14:textId="77777777" w:rsidR="00F22144" w:rsidRPr="00D159D0" w:rsidRDefault="00F22144" w:rsidP="004976F9">
            <w:pPr>
              <w:shd w:val="clear" w:color="auto" w:fill="FFFFFF"/>
              <w:ind w:firstLine="488"/>
              <w:jc w:val="both"/>
              <w:rPr>
                <w:lang w:val="uk-UA" w:eastAsia="uk-UA"/>
              </w:rPr>
            </w:pPr>
          </w:p>
          <w:p w14:paraId="633C83FC" w14:textId="77777777" w:rsidR="00F22144" w:rsidRPr="00D159D0" w:rsidRDefault="00F22144" w:rsidP="004976F9">
            <w:pPr>
              <w:shd w:val="clear" w:color="auto" w:fill="FFFFFF"/>
              <w:ind w:firstLine="488"/>
              <w:jc w:val="both"/>
              <w:rPr>
                <w:lang w:val="uk-UA" w:eastAsia="uk-UA"/>
              </w:rPr>
            </w:pPr>
          </w:p>
          <w:p w14:paraId="23A04B9E" w14:textId="77777777" w:rsidR="00F22144" w:rsidRPr="00D159D0" w:rsidRDefault="00F22144" w:rsidP="004976F9">
            <w:pPr>
              <w:shd w:val="clear" w:color="auto" w:fill="FFFFFF"/>
              <w:ind w:firstLine="488"/>
              <w:jc w:val="both"/>
              <w:rPr>
                <w:lang w:val="uk-UA" w:eastAsia="uk-UA"/>
              </w:rPr>
            </w:pPr>
          </w:p>
          <w:p w14:paraId="5781A38B" w14:textId="77777777" w:rsidR="00F22144" w:rsidRPr="00D159D0" w:rsidRDefault="00F22144" w:rsidP="004976F9">
            <w:pPr>
              <w:shd w:val="clear" w:color="auto" w:fill="FFFFFF"/>
              <w:ind w:firstLine="488"/>
              <w:jc w:val="both"/>
              <w:rPr>
                <w:lang w:val="uk-UA" w:eastAsia="uk-UA"/>
              </w:rPr>
            </w:pPr>
          </w:p>
          <w:p w14:paraId="236BFFB6" w14:textId="77777777" w:rsidR="00F22144" w:rsidRPr="00D159D0" w:rsidRDefault="00F22144" w:rsidP="004976F9">
            <w:pPr>
              <w:shd w:val="clear" w:color="auto" w:fill="FFFFFF"/>
              <w:ind w:firstLine="488"/>
              <w:jc w:val="both"/>
              <w:rPr>
                <w:lang w:val="uk-UA" w:eastAsia="uk-UA"/>
              </w:rPr>
            </w:pPr>
          </w:p>
          <w:p w14:paraId="013DB865" w14:textId="77777777" w:rsidR="00F22144" w:rsidRPr="00D159D0" w:rsidRDefault="00F22144" w:rsidP="004976F9">
            <w:pPr>
              <w:shd w:val="clear" w:color="auto" w:fill="FFFFFF"/>
              <w:ind w:firstLine="488"/>
              <w:jc w:val="both"/>
              <w:rPr>
                <w:lang w:val="uk-UA" w:eastAsia="uk-UA"/>
              </w:rPr>
            </w:pPr>
          </w:p>
          <w:p w14:paraId="37D7B4E9" w14:textId="77777777" w:rsidR="00F22144" w:rsidRPr="00D159D0" w:rsidRDefault="00F22144" w:rsidP="004976F9">
            <w:pPr>
              <w:shd w:val="clear" w:color="auto" w:fill="FFFFFF"/>
              <w:ind w:firstLine="488"/>
              <w:jc w:val="both"/>
              <w:rPr>
                <w:lang w:val="uk-UA" w:eastAsia="uk-UA"/>
              </w:rPr>
            </w:pPr>
          </w:p>
          <w:p w14:paraId="69442DA7" w14:textId="77777777" w:rsidR="00F22144" w:rsidRPr="00D159D0" w:rsidRDefault="00F22144" w:rsidP="004976F9">
            <w:pPr>
              <w:shd w:val="clear" w:color="auto" w:fill="FFFFFF"/>
              <w:ind w:firstLine="488"/>
              <w:jc w:val="both"/>
              <w:rPr>
                <w:lang w:val="uk-UA" w:eastAsia="uk-UA"/>
              </w:rPr>
            </w:pPr>
          </w:p>
          <w:p w14:paraId="77985142" w14:textId="77777777" w:rsidR="00F22144" w:rsidRPr="00D159D0" w:rsidRDefault="00F22144" w:rsidP="004976F9">
            <w:pPr>
              <w:shd w:val="clear" w:color="auto" w:fill="FFFFFF"/>
              <w:ind w:firstLine="488"/>
              <w:jc w:val="both"/>
              <w:rPr>
                <w:lang w:val="uk-UA" w:eastAsia="uk-UA"/>
              </w:rPr>
            </w:pPr>
          </w:p>
          <w:p w14:paraId="297238E7" w14:textId="77777777" w:rsidR="00F22144" w:rsidRPr="00D159D0" w:rsidRDefault="00F22144" w:rsidP="004976F9">
            <w:pPr>
              <w:shd w:val="clear" w:color="auto" w:fill="FFFFFF"/>
              <w:ind w:firstLine="488"/>
              <w:jc w:val="both"/>
              <w:rPr>
                <w:lang w:val="uk-UA" w:eastAsia="uk-UA"/>
              </w:rPr>
            </w:pPr>
          </w:p>
          <w:p w14:paraId="1DFDCD5D" w14:textId="77777777" w:rsidR="00F22144" w:rsidRPr="00D159D0" w:rsidRDefault="00F22144" w:rsidP="004976F9">
            <w:pPr>
              <w:shd w:val="clear" w:color="auto" w:fill="FFFFFF"/>
              <w:ind w:firstLine="488"/>
              <w:jc w:val="both"/>
              <w:rPr>
                <w:lang w:val="uk-UA" w:eastAsia="uk-UA"/>
              </w:rPr>
            </w:pPr>
          </w:p>
          <w:p w14:paraId="2CBC1B4A" w14:textId="77777777" w:rsidR="00F22144" w:rsidRPr="00D159D0" w:rsidRDefault="00F22144" w:rsidP="004976F9">
            <w:pPr>
              <w:shd w:val="clear" w:color="auto" w:fill="FFFFFF"/>
              <w:ind w:firstLine="488"/>
              <w:jc w:val="both"/>
              <w:rPr>
                <w:lang w:val="uk-UA" w:eastAsia="uk-UA"/>
              </w:rPr>
            </w:pPr>
          </w:p>
          <w:p w14:paraId="476FA9B1" w14:textId="77777777" w:rsidR="00F22144" w:rsidRPr="00D159D0" w:rsidRDefault="00F22144" w:rsidP="004976F9">
            <w:pPr>
              <w:shd w:val="clear" w:color="auto" w:fill="FFFFFF"/>
              <w:ind w:firstLine="488"/>
              <w:jc w:val="both"/>
              <w:rPr>
                <w:lang w:val="uk-UA" w:eastAsia="uk-UA"/>
              </w:rPr>
            </w:pPr>
          </w:p>
          <w:p w14:paraId="21CDD3E7" w14:textId="77777777" w:rsidR="00F22144" w:rsidRPr="00D159D0" w:rsidRDefault="00F22144" w:rsidP="004976F9">
            <w:pPr>
              <w:shd w:val="clear" w:color="auto" w:fill="FFFFFF"/>
              <w:ind w:firstLine="488"/>
              <w:jc w:val="both"/>
              <w:rPr>
                <w:lang w:val="uk-UA" w:eastAsia="uk-UA"/>
              </w:rPr>
            </w:pPr>
          </w:p>
          <w:p w14:paraId="70470E45" w14:textId="77777777" w:rsidR="00F22144" w:rsidRPr="00D159D0" w:rsidRDefault="00F22144" w:rsidP="004976F9">
            <w:pPr>
              <w:shd w:val="clear" w:color="auto" w:fill="FFFFFF"/>
              <w:ind w:firstLine="488"/>
              <w:jc w:val="both"/>
              <w:rPr>
                <w:lang w:val="uk-UA" w:eastAsia="uk-UA"/>
              </w:rPr>
            </w:pPr>
          </w:p>
          <w:p w14:paraId="70FB6699" w14:textId="77777777" w:rsidR="00DC5F66" w:rsidRPr="00D159D0" w:rsidRDefault="00DC5F66" w:rsidP="004976F9">
            <w:pPr>
              <w:shd w:val="clear" w:color="auto" w:fill="FFFFFF"/>
              <w:ind w:firstLine="488"/>
              <w:jc w:val="both"/>
              <w:rPr>
                <w:lang w:val="uk-UA" w:eastAsia="uk-UA"/>
              </w:rPr>
            </w:pPr>
          </w:p>
          <w:p w14:paraId="779BED65" w14:textId="77777777" w:rsidR="009B0218" w:rsidRPr="00D159D0" w:rsidRDefault="009B0218" w:rsidP="004976F9">
            <w:pPr>
              <w:shd w:val="clear" w:color="auto" w:fill="FFFFFF"/>
              <w:ind w:firstLine="488"/>
              <w:jc w:val="both"/>
              <w:rPr>
                <w:lang w:val="uk-UA" w:eastAsia="uk-UA"/>
              </w:rPr>
            </w:pPr>
          </w:p>
          <w:p w14:paraId="33EF3899" w14:textId="77777777" w:rsidR="009B0218" w:rsidRPr="00D159D0" w:rsidRDefault="009B0218" w:rsidP="004976F9">
            <w:pPr>
              <w:shd w:val="clear" w:color="auto" w:fill="FFFFFF"/>
              <w:ind w:firstLine="488"/>
              <w:jc w:val="both"/>
              <w:rPr>
                <w:lang w:val="uk-UA" w:eastAsia="uk-UA"/>
              </w:rPr>
            </w:pPr>
          </w:p>
          <w:p w14:paraId="7B5B17A0" w14:textId="77777777" w:rsidR="009B0218" w:rsidRPr="00D159D0" w:rsidRDefault="009B0218" w:rsidP="004976F9">
            <w:pPr>
              <w:shd w:val="clear" w:color="auto" w:fill="FFFFFF"/>
              <w:ind w:firstLine="488"/>
              <w:jc w:val="both"/>
              <w:rPr>
                <w:lang w:val="uk-UA" w:eastAsia="uk-UA"/>
              </w:rPr>
            </w:pPr>
          </w:p>
          <w:p w14:paraId="70A6515A" w14:textId="77777777" w:rsidR="009B0218" w:rsidRPr="00D159D0" w:rsidRDefault="009B0218" w:rsidP="004976F9">
            <w:pPr>
              <w:shd w:val="clear" w:color="auto" w:fill="FFFFFF"/>
              <w:ind w:firstLine="488"/>
              <w:jc w:val="both"/>
              <w:rPr>
                <w:lang w:val="uk-UA" w:eastAsia="uk-UA"/>
              </w:rPr>
            </w:pPr>
          </w:p>
          <w:p w14:paraId="378BF031" w14:textId="77777777" w:rsidR="009B0218" w:rsidRPr="00D159D0" w:rsidRDefault="009B0218" w:rsidP="004976F9">
            <w:pPr>
              <w:shd w:val="clear" w:color="auto" w:fill="FFFFFF"/>
              <w:ind w:firstLine="488"/>
              <w:jc w:val="both"/>
              <w:rPr>
                <w:lang w:val="uk-UA" w:eastAsia="uk-UA"/>
              </w:rPr>
            </w:pPr>
          </w:p>
          <w:p w14:paraId="0E8A6371" w14:textId="77777777" w:rsidR="009B0218" w:rsidRPr="00D159D0" w:rsidRDefault="009B0218" w:rsidP="004976F9">
            <w:pPr>
              <w:shd w:val="clear" w:color="auto" w:fill="FFFFFF"/>
              <w:ind w:firstLine="488"/>
              <w:jc w:val="both"/>
              <w:rPr>
                <w:lang w:val="uk-UA" w:eastAsia="uk-UA"/>
              </w:rPr>
            </w:pPr>
          </w:p>
          <w:p w14:paraId="6E159F25" w14:textId="77777777" w:rsidR="009B0218" w:rsidRPr="00D159D0" w:rsidRDefault="009B0218" w:rsidP="004976F9">
            <w:pPr>
              <w:shd w:val="clear" w:color="auto" w:fill="FFFFFF"/>
              <w:ind w:firstLine="488"/>
              <w:jc w:val="both"/>
              <w:rPr>
                <w:lang w:val="uk-UA" w:eastAsia="uk-UA"/>
              </w:rPr>
            </w:pPr>
          </w:p>
          <w:p w14:paraId="4E873804" w14:textId="77777777" w:rsidR="009B0218" w:rsidRPr="00D159D0" w:rsidRDefault="009B0218" w:rsidP="004976F9">
            <w:pPr>
              <w:shd w:val="clear" w:color="auto" w:fill="FFFFFF"/>
              <w:ind w:firstLine="488"/>
              <w:jc w:val="both"/>
              <w:rPr>
                <w:lang w:val="uk-UA" w:eastAsia="uk-UA"/>
              </w:rPr>
            </w:pPr>
          </w:p>
          <w:p w14:paraId="347CC8BF" w14:textId="77777777" w:rsidR="009B0218" w:rsidRPr="00D159D0" w:rsidRDefault="009B0218" w:rsidP="004976F9">
            <w:pPr>
              <w:shd w:val="clear" w:color="auto" w:fill="FFFFFF"/>
              <w:ind w:firstLine="488"/>
              <w:jc w:val="both"/>
              <w:rPr>
                <w:lang w:val="uk-UA" w:eastAsia="uk-UA"/>
              </w:rPr>
            </w:pPr>
          </w:p>
          <w:p w14:paraId="322E1251" w14:textId="77777777" w:rsidR="009B0218" w:rsidRPr="00D159D0" w:rsidRDefault="009B0218" w:rsidP="004976F9">
            <w:pPr>
              <w:shd w:val="clear" w:color="auto" w:fill="FFFFFF"/>
              <w:ind w:firstLine="488"/>
              <w:jc w:val="both"/>
              <w:rPr>
                <w:lang w:val="uk-UA" w:eastAsia="uk-UA"/>
              </w:rPr>
            </w:pPr>
          </w:p>
          <w:p w14:paraId="2C81797B" w14:textId="77777777" w:rsidR="009B0218" w:rsidRPr="00D159D0" w:rsidRDefault="009B0218" w:rsidP="004976F9">
            <w:pPr>
              <w:shd w:val="clear" w:color="auto" w:fill="FFFFFF"/>
              <w:ind w:firstLine="488"/>
              <w:jc w:val="both"/>
              <w:rPr>
                <w:lang w:val="uk-UA" w:eastAsia="uk-UA"/>
              </w:rPr>
            </w:pPr>
          </w:p>
          <w:p w14:paraId="7E1E252B" w14:textId="77777777" w:rsidR="009B0218" w:rsidRPr="00D159D0" w:rsidRDefault="009B0218" w:rsidP="004976F9">
            <w:pPr>
              <w:shd w:val="clear" w:color="auto" w:fill="FFFFFF"/>
              <w:ind w:firstLine="488"/>
              <w:jc w:val="both"/>
              <w:rPr>
                <w:lang w:val="uk-UA" w:eastAsia="uk-UA"/>
              </w:rPr>
            </w:pPr>
          </w:p>
          <w:p w14:paraId="6584D961" w14:textId="77777777" w:rsidR="009B0218" w:rsidRPr="00D159D0" w:rsidRDefault="009B0218" w:rsidP="004976F9">
            <w:pPr>
              <w:shd w:val="clear" w:color="auto" w:fill="FFFFFF"/>
              <w:ind w:firstLine="488"/>
              <w:jc w:val="both"/>
              <w:rPr>
                <w:lang w:val="uk-UA" w:eastAsia="uk-UA"/>
              </w:rPr>
            </w:pPr>
          </w:p>
          <w:p w14:paraId="34945AB2" w14:textId="77777777" w:rsidR="009B0218" w:rsidRPr="00D159D0" w:rsidRDefault="009B0218" w:rsidP="004976F9">
            <w:pPr>
              <w:shd w:val="clear" w:color="auto" w:fill="FFFFFF"/>
              <w:ind w:firstLine="488"/>
              <w:jc w:val="both"/>
              <w:rPr>
                <w:lang w:val="uk-UA" w:eastAsia="uk-UA"/>
              </w:rPr>
            </w:pPr>
          </w:p>
          <w:p w14:paraId="3A682D31" w14:textId="77777777" w:rsidR="009B0218" w:rsidRPr="00D159D0" w:rsidRDefault="009B0218" w:rsidP="004976F9">
            <w:pPr>
              <w:shd w:val="clear" w:color="auto" w:fill="FFFFFF"/>
              <w:ind w:firstLine="488"/>
              <w:jc w:val="both"/>
              <w:rPr>
                <w:lang w:val="uk-UA" w:eastAsia="uk-UA"/>
              </w:rPr>
            </w:pPr>
          </w:p>
          <w:p w14:paraId="729FD55F" w14:textId="77777777" w:rsidR="00B85FC5" w:rsidRPr="00D159D0" w:rsidRDefault="00B85FC5" w:rsidP="004976F9">
            <w:pPr>
              <w:shd w:val="clear" w:color="auto" w:fill="FFFFFF"/>
              <w:ind w:firstLine="488"/>
              <w:jc w:val="both"/>
              <w:rPr>
                <w:lang w:val="uk-UA" w:eastAsia="uk-UA"/>
              </w:rPr>
            </w:pPr>
          </w:p>
          <w:p w14:paraId="6A01E3CF" w14:textId="77777777" w:rsidR="00B85FC5" w:rsidRPr="00D159D0" w:rsidRDefault="00B85FC5" w:rsidP="004976F9">
            <w:pPr>
              <w:shd w:val="clear" w:color="auto" w:fill="FFFFFF"/>
              <w:ind w:firstLine="488"/>
              <w:jc w:val="both"/>
              <w:rPr>
                <w:lang w:val="uk-UA" w:eastAsia="uk-UA"/>
              </w:rPr>
            </w:pPr>
          </w:p>
          <w:p w14:paraId="4516B1AB" w14:textId="77777777" w:rsidR="009B0218" w:rsidRPr="00D159D0" w:rsidRDefault="009B0218" w:rsidP="004976F9">
            <w:pPr>
              <w:shd w:val="clear" w:color="auto" w:fill="FFFFFF"/>
              <w:ind w:firstLine="488"/>
              <w:jc w:val="both"/>
              <w:rPr>
                <w:lang w:val="uk-UA" w:eastAsia="uk-UA"/>
              </w:rPr>
            </w:pPr>
          </w:p>
          <w:p w14:paraId="7E5659D2" w14:textId="77777777" w:rsidR="009B0218" w:rsidRPr="00D159D0" w:rsidRDefault="009B0218" w:rsidP="009B0218">
            <w:pPr>
              <w:shd w:val="clear" w:color="auto" w:fill="FFFFFF"/>
              <w:ind w:firstLine="488"/>
              <w:jc w:val="both"/>
              <w:rPr>
                <w:lang w:val="uk-UA" w:eastAsia="uk-UA"/>
              </w:rPr>
            </w:pPr>
            <w:r w:rsidRPr="00D159D0">
              <w:rPr>
                <w:lang w:val="uk-UA" w:eastAsia="uk-UA"/>
              </w:rPr>
              <w:t xml:space="preserve">3) загальний показник ефективності - 1 % (для 2023 </w:t>
            </w:r>
            <w:r w:rsidRPr="00D159D0">
              <w:rPr>
                <w:b/>
                <w:lang w:val="uk-UA" w:eastAsia="uk-UA"/>
              </w:rPr>
              <w:t>– 2025</w:t>
            </w:r>
            <w:r w:rsidRPr="00D159D0">
              <w:rPr>
                <w:lang w:val="uk-UA" w:eastAsia="uk-UA"/>
              </w:rPr>
              <w:t xml:space="preserve"> років –</w:t>
            </w:r>
            <w:r w:rsidR="00F22144" w:rsidRPr="00D159D0">
              <w:rPr>
                <w:lang w:val="uk-UA" w:eastAsia="uk-UA"/>
              </w:rPr>
              <w:t xml:space="preserve"> </w:t>
            </w:r>
            <w:r w:rsidRPr="00D159D0">
              <w:rPr>
                <w:lang w:val="uk-UA" w:eastAsia="uk-UA"/>
              </w:rPr>
              <w:t>0 %);</w:t>
            </w:r>
          </w:p>
          <w:p w14:paraId="51C0BBCF" w14:textId="77777777" w:rsidR="009B0218" w:rsidRPr="00D159D0" w:rsidRDefault="009B0218" w:rsidP="009B0218">
            <w:pPr>
              <w:shd w:val="clear" w:color="auto" w:fill="FFFFFF"/>
              <w:ind w:firstLine="488"/>
              <w:jc w:val="both"/>
              <w:rPr>
                <w:lang w:val="uk-UA" w:eastAsia="uk-UA"/>
              </w:rPr>
            </w:pPr>
            <w:r w:rsidRPr="00D159D0">
              <w:rPr>
                <w:lang w:val="uk-UA" w:eastAsia="uk-UA"/>
              </w:rPr>
              <w:lastRenderedPageBreak/>
              <w:t>………………………</w:t>
            </w:r>
          </w:p>
          <w:p w14:paraId="69F1CB0A" w14:textId="77777777" w:rsidR="009B0218" w:rsidRPr="00D159D0" w:rsidRDefault="009B0218" w:rsidP="009B0218">
            <w:pPr>
              <w:pStyle w:val="rvps2"/>
              <w:shd w:val="clear" w:color="auto" w:fill="FFFFFF"/>
              <w:spacing w:before="0" w:beforeAutospacing="0" w:after="0" w:afterAutospacing="0"/>
              <w:ind w:firstLine="488"/>
              <w:jc w:val="both"/>
            </w:pPr>
            <w:r w:rsidRPr="00D159D0">
              <w:t xml:space="preserve">5) показник ефективності технологічних витрат електроенергії на 1 класі напруги - 0,01 відносних одиниць (для 2023 </w:t>
            </w:r>
            <w:r w:rsidRPr="00D159D0">
              <w:rPr>
                <w:b/>
              </w:rPr>
              <w:t>– 2025</w:t>
            </w:r>
            <w:r w:rsidRPr="00D159D0">
              <w:t xml:space="preserve"> років – 0 відносних одиниць);</w:t>
            </w:r>
          </w:p>
          <w:p w14:paraId="7C072C79" w14:textId="77777777" w:rsidR="009B0218" w:rsidRPr="00D159D0" w:rsidRDefault="009B0218" w:rsidP="009B0218">
            <w:pPr>
              <w:pStyle w:val="rvps2"/>
              <w:shd w:val="clear" w:color="auto" w:fill="FFFFFF"/>
              <w:spacing w:before="0" w:beforeAutospacing="0" w:after="0" w:afterAutospacing="0"/>
              <w:ind w:firstLine="488"/>
              <w:jc w:val="both"/>
            </w:pPr>
          </w:p>
          <w:p w14:paraId="3A422919" w14:textId="77777777" w:rsidR="009B0218" w:rsidRPr="00D159D0" w:rsidRDefault="009B0218" w:rsidP="009B0218">
            <w:pPr>
              <w:pStyle w:val="rvps2"/>
              <w:shd w:val="clear" w:color="auto" w:fill="FFFFFF"/>
              <w:spacing w:before="0" w:beforeAutospacing="0" w:after="0" w:afterAutospacing="0"/>
              <w:ind w:firstLine="488"/>
              <w:jc w:val="both"/>
            </w:pPr>
            <w:r w:rsidRPr="00D159D0">
              <w:t xml:space="preserve">6) показник ефективності технологічних витрат електроенергії на 2 класі напруги - 0,035 відносних одиниць (для 2023 </w:t>
            </w:r>
            <w:r w:rsidRPr="00D159D0">
              <w:rPr>
                <w:b/>
              </w:rPr>
              <w:t>– 2025</w:t>
            </w:r>
            <w:r w:rsidRPr="00D159D0">
              <w:t xml:space="preserve"> років – 0 відносних одиниць);</w:t>
            </w:r>
          </w:p>
          <w:p w14:paraId="172F89C3" w14:textId="77777777" w:rsidR="009B0218" w:rsidRPr="00D159D0" w:rsidRDefault="009B0218" w:rsidP="004976F9">
            <w:pPr>
              <w:shd w:val="clear" w:color="auto" w:fill="FFFFFF"/>
              <w:ind w:firstLine="488"/>
              <w:jc w:val="both"/>
              <w:rPr>
                <w:lang w:val="uk-UA" w:eastAsia="uk-UA"/>
              </w:rPr>
            </w:pPr>
          </w:p>
          <w:p w14:paraId="15C4C3FA" w14:textId="102C752F" w:rsidR="00C15EDC" w:rsidRPr="00D159D0" w:rsidRDefault="00C15EDC" w:rsidP="004976F9">
            <w:pPr>
              <w:shd w:val="clear" w:color="auto" w:fill="FFFFFF"/>
              <w:ind w:firstLine="488"/>
              <w:jc w:val="both"/>
              <w:rPr>
                <w:lang w:val="uk-UA" w:eastAsia="uk-UA"/>
              </w:rPr>
            </w:pPr>
            <w:r w:rsidRPr="00D159D0">
              <w:rPr>
                <w:lang w:val="uk-UA" w:eastAsia="uk-UA"/>
              </w:rPr>
              <w:t xml:space="preserve">11) рік з початку переходу на стимулююче регулювання, у якому має бути досягнуто встановлений цільовий показник якості послуг, - </w:t>
            </w:r>
            <w:r w:rsidRPr="00D159D0">
              <w:rPr>
                <w:b/>
                <w:lang w:val="uk-UA" w:eastAsia="uk-UA"/>
              </w:rPr>
              <w:t>1</w:t>
            </w:r>
            <w:r w:rsidR="00D1657F" w:rsidRPr="00D159D0">
              <w:rPr>
                <w:b/>
                <w:lang w:val="uk-UA" w:eastAsia="uk-UA"/>
              </w:rPr>
              <w:t>5</w:t>
            </w:r>
            <w:r w:rsidRPr="00D159D0">
              <w:rPr>
                <w:lang w:val="uk-UA" w:eastAsia="uk-UA"/>
              </w:rPr>
              <w:t>-й рік;</w:t>
            </w:r>
          </w:p>
          <w:p w14:paraId="389F01E5" w14:textId="77777777" w:rsidR="00AD2A16" w:rsidRPr="00D159D0" w:rsidRDefault="00AD2A16" w:rsidP="004976F9">
            <w:pPr>
              <w:jc w:val="both"/>
              <w:rPr>
                <w:b/>
                <w:bCs/>
                <w:lang w:val="uk-UA"/>
              </w:rPr>
            </w:pPr>
          </w:p>
          <w:p w14:paraId="4718913F" w14:textId="77777777" w:rsidR="00C15EDC" w:rsidRPr="00D159D0" w:rsidRDefault="00C15EDC" w:rsidP="004976F9">
            <w:pPr>
              <w:jc w:val="both"/>
              <w:rPr>
                <w:b/>
                <w:bCs/>
                <w:lang w:val="uk-UA"/>
              </w:rPr>
            </w:pPr>
          </w:p>
          <w:p w14:paraId="1488FCAD" w14:textId="77777777" w:rsidR="00C15EDC" w:rsidRPr="00D159D0" w:rsidRDefault="00C15EDC" w:rsidP="004976F9">
            <w:pPr>
              <w:jc w:val="both"/>
              <w:rPr>
                <w:b/>
                <w:bCs/>
                <w:lang w:val="uk-UA"/>
              </w:rPr>
            </w:pPr>
          </w:p>
          <w:p w14:paraId="665223B4" w14:textId="77777777" w:rsidR="00C15EDC" w:rsidRPr="00D159D0" w:rsidRDefault="00C15EDC" w:rsidP="004976F9">
            <w:pPr>
              <w:jc w:val="both"/>
              <w:rPr>
                <w:b/>
                <w:bCs/>
                <w:lang w:val="uk-UA"/>
              </w:rPr>
            </w:pPr>
          </w:p>
          <w:p w14:paraId="7830ACB2" w14:textId="77777777" w:rsidR="00C15EDC" w:rsidRPr="00D159D0" w:rsidRDefault="00C15EDC" w:rsidP="004976F9">
            <w:pPr>
              <w:jc w:val="both"/>
              <w:rPr>
                <w:b/>
                <w:bCs/>
                <w:lang w:val="uk-UA"/>
              </w:rPr>
            </w:pPr>
          </w:p>
          <w:p w14:paraId="7E5E0F9D" w14:textId="77777777" w:rsidR="00C15EDC" w:rsidRPr="00D159D0" w:rsidRDefault="00C15EDC" w:rsidP="004976F9">
            <w:pPr>
              <w:jc w:val="both"/>
              <w:rPr>
                <w:b/>
                <w:bCs/>
                <w:lang w:val="uk-UA"/>
              </w:rPr>
            </w:pPr>
          </w:p>
          <w:p w14:paraId="7989EA0D" w14:textId="77777777" w:rsidR="00C15EDC" w:rsidRPr="00D159D0" w:rsidRDefault="00C15EDC" w:rsidP="004976F9">
            <w:pPr>
              <w:jc w:val="both"/>
              <w:rPr>
                <w:b/>
                <w:bCs/>
                <w:lang w:val="uk-UA"/>
              </w:rPr>
            </w:pPr>
          </w:p>
          <w:p w14:paraId="3AE4E3D8" w14:textId="77777777" w:rsidR="000654DA" w:rsidRPr="00D159D0" w:rsidRDefault="000654DA" w:rsidP="004976F9">
            <w:pPr>
              <w:jc w:val="both"/>
              <w:rPr>
                <w:b/>
                <w:bCs/>
                <w:lang w:val="uk-UA"/>
              </w:rPr>
            </w:pPr>
          </w:p>
          <w:p w14:paraId="7A059754" w14:textId="77777777" w:rsidR="000654DA" w:rsidRPr="00D159D0" w:rsidRDefault="000654DA" w:rsidP="004976F9">
            <w:pPr>
              <w:jc w:val="both"/>
              <w:rPr>
                <w:b/>
                <w:bCs/>
                <w:lang w:val="uk-UA"/>
              </w:rPr>
            </w:pPr>
          </w:p>
          <w:p w14:paraId="438B64C1" w14:textId="77777777" w:rsidR="000654DA" w:rsidRPr="00D159D0" w:rsidRDefault="000654DA" w:rsidP="004976F9">
            <w:pPr>
              <w:jc w:val="both"/>
              <w:rPr>
                <w:b/>
                <w:bCs/>
                <w:lang w:val="uk-UA"/>
              </w:rPr>
            </w:pPr>
          </w:p>
          <w:p w14:paraId="55A5280A" w14:textId="77777777" w:rsidR="000654DA" w:rsidRPr="00D159D0" w:rsidRDefault="000654DA" w:rsidP="004976F9">
            <w:pPr>
              <w:jc w:val="both"/>
              <w:rPr>
                <w:b/>
                <w:bCs/>
                <w:lang w:val="uk-UA"/>
              </w:rPr>
            </w:pPr>
          </w:p>
          <w:p w14:paraId="3BFDDF00" w14:textId="77777777" w:rsidR="000654DA" w:rsidRPr="00D159D0" w:rsidRDefault="000654DA" w:rsidP="004976F9">
            <w:pPr>
              <w:jc w:val="both"/>
              <w:rPr>
                <w:b/>
                <w:bCs/>
                <w:lang w:val="uk-UA"/>
              </w:rPr>
            </w:pPr>
          </w:p>
          <w:p w14:paraId="1560D4E6" w14:textId="77777777" w:rsidR="000654DA" w:rsidRPr="00D159D0" w:rsidRDefault="000654DA" w:rsidP="004976F9">
            <w:pPr>
              <w:jc w:val="both"/>
              <w:rPr>
                <w:b/>
                <w:bCs/>
                <w:lang w:val="uk-UA"/>
              </w:rPr>
            </w:pPr>
          </w:p>
          <w:p w14:paraId="3ED4437C" w14:textId="77777777" w:rsidR="000654DA" w:rsidRPr="00D159D0" w:rsidRDefault="000654DA" w:rsidP="004976F9">
            <w:pPr>
              <w:jc w:val="both"/>
              <w:rPr>
                <w:b/>
                <w:bCs/>
                <w:lang w:val="uk-UA"/>
              </w:rPr>
            </w:pPr>
          </w:p>
          <w:p w14:paraId="702DD445" w14:textId="77777777" w:rsidR="000654DA" w:rsidRPr="00D159D0" w:rsidRDefault="000654DA" w:rsidP="004976F9">
            <w:pPr>
              <w:jc w:val="both"/>
              <w:rPr>
                <w:b/>
                <w:bCs/>
                <w:lang w:val="uk-UA"/>
              </w:rPr>
            </w:pPr>
          </w:p>
          <w:p w14:paraId="29354E4F" w14:textId="77777777" w:rsidR="000654DA" w:rsidRPr="00D159D0" w:rsidRDefault="000654DA" w:rsidP="004976F9">
            <w:pPr>
              <w:jc w:val="both"/>
              <w:rPr>
                <w:b/>
                <w:bCs/>
                <w:lang w:val="uk-UA"/>
              </w:rPr>
            </w:pPr>
          </w:p>
          <w:p w14:paraId="7D09EE42" w14:textId="77777777" w:rsidR="000654DA" w:rsidRPr="00D159D0" w:rsidRDefault="000654DA" w:rsidP="004976F9">
            <w:pPr>
              <w:jc w:val="both"/>
              <w:rPr>
                <w:b/>
                <w:bCs/>
                <w:lang w:val="uk-UA"/>
              </w:rPr>
            </w:pPr>
          </w:p>
          <w:p w14:paraId="010657B6" w14:textId="77777777" w:rsidR="000654DA" w:rsidRPr="00D159D0" w:rsidRDefault="000654DA" w:rsidP="004976F9">
            <w:pPr>
              <w:jc w:val="both"/>
              <w:rPr>
                <w:b/>
                <w:bCs/>
                <w:lang w:val="uk-UA"/>
              </w:rPr>
            </w:pPr>
          </w:p>
          <w:p w14:paraId="6B5F8CCC" w14:textId="77777777" w:rsidR="000654DA" w:rsidRPr="00D159D0" w:rsidRDefault="000654DA" w:rsidP="004976F9">
            <w:pPr>
              <w:jc w:val="both"/>
              <w:rPr>
                <w:b/>
                <w:bCs/>
                <w:lang w:val="uk-UA"/>
              </w:rPr>
            </w:pPr>
          </w:p>
          <w:p w14:paraId="4BA96A57" w14:textId="77777777" w:rsidR="00FA5A56" w:rsidRPr="00D159D0" w:rsidRDefault="00FA5A56" w:rsidP="004976F9">
            <w:pPr>
              <w:jc w:val="both"/>
              <w:rPr>
                <w:b/>
                <w:bCs/>
                <w:lang w:val="uk-UA"/>
              </w:rPr>
            </w:pPr>
          </w:p>
          <w:p w14:paraId="3D617721" w14:textId="77777777" w:rsidR="00FA5A56" w:rsidRPr="00D159D0" w:rsidRDefault="00FA5A56" w:rsidP="004976F9">
            <w:pPr>
              <w:jc w:val="both"/>
              <w:rPr>
                <w:b/>
                <w:bCs/>
                <w:lang w:val="uk-UA"/>
              </w:rPr>
            </w:pPr>
          </w:p>
          <w:p w14:paraId="5F23F990" w14:textId="77777777" w:rsidR="00FA5A56" w:rsidRPr="00D159D0" w:rsidRDefault="00FA5A56" w:rsidP="004976F9">
            <w:pPr>
              <w:jc w:val="both"/>
              <w:rPr>
                <w:b/>
                <w:bCs/>
                <w:lang w:val="uk-UA"/>
              </w:rPr>
            </w:pPr>
          </w:p>
          <w:p w14:paraId="0229FB95" w14:textId="77777777" w:rsidR="00FA5A56" w:rsidRPr="00D159D0" w:rsidRDefault="00FA5A56" w:rsidP="004976F9">
            <w:pPr>
              <w:jc w:val="both"/>
              <w:rPr>
                <w:b/>
                <w:bCs/>
                <w:lang w:val="uk-UA"/>
              </w:rPr>
            </w:pPr>
          </w:p>
          <w:p w14:paraId="1FA536AF" w14:textId="77777777" w:rsidR="00FA5A56" w:rsidRPr="00D159D0" w:rsidRDefault="00FA5A56" w:rsidP="004976F9">
            <w:pPr>
              <w:jc w:val="both"/>
              <w:rPr>
                <w:b/>
                <w:bCs/>
                <w:lang w:val="uk-UA"/>
              </w:rPr>
            </w:pPr>
          </w:p>
          <w:p w14:paraId="5D20140B" w14:textId="77777777" w:rsidR="00C15EDC" w:rsidRPr="00D159D0" w:rsidRDefault="00C15EDC" w:rsidP="004976F9">
            <w:pPr>
              <w:jc w:val="both"/>
              <w:rPr>
                <w:b/>
                <w:bCs/>
                <w:lang w:val="uk-UA"/>
              </w:rPr>
            </w:pPr>
            <w:r w:rsidRPr="00D159D0">
              <w:rPr>
                <w:b/>
                <w:bCs/>
                <w:lang w:val="uk-UA"/>
              </w:rPr>
              <w:t>Зміни не пропонувалис</w:t>
            </w:r>
            <w:r w:rsidR="00A26411" w:rsidRPr="00D159D0">
              <w:rPr>
                <w:b/>
                <w:bCs/>
                <w:lang w:val="uk-UA"/>
              </w:rPr>
              <w:t>ь</w:t>
            </w:r>
          </w:p>
          <w:p w14:paraId="32ADC7A8" w14:textId="77777777" w:rsidR="00C15EDC" w:rsidRPr="00D159D0" w:rsidRDefault="00C15EDC" w:rsidP="004976F9">
            <w:pPr>
              <w:shd w:val="clear" w:color="auto" w:fill="FFFFFF"/>
              <w:jc w:val="both"/>
              <w:rPr>
                <w:lang w:val="uk-UA" w:eastAsia="uk-UA"/>
              </w:rPr>
            </w:pPr>
            <w:r w:rsidRPr="00D159D0">
              <w:rPr>
                <w:b/>
                <w:bCs/>
                <w:lang w:val="uk-UA"/>
              </w:rPr>
              <w:t xml:space="preserve">12) </w:t>
            </w:r>
            <w:r w:rsidRPr="00D159D0">
              <w:rPr>
                <w:lang w:val="uk-UA" w:eastAsia="uk-UA"/>
              </w:rPr>
              <w:t>коефіцієнт поправки на зміну кількості умовних одиниць обладнання - 0,7.</w:t>
            </w:r>
          </w:p>
          <w:p w14:paraId="4FD153D1" w14:textId="77777777" w:rsidR="00C15EDC" w:rsidRPr="00D159D0" w:rsidRDefault="00C15EDC" w:rsidP="004976F9">
            <w:pPr>
              <w:jc w:val="both"/>
              <w:rPr>
                <w:b/>
                <w:bCs/>
                <w:lang w:val="uk-UA"/>
              </w:rPr>
            </w:pPr>
          </w:p>
        </w:tc>
        <w:tc>
          <w:tcPr>
            <w:tcW w:w="5954" w:type="dxa"/>
          </w:tcPr>
          <w:p w14:paraId="2C896653" w14:textId="77777777" w:rsidR="00C31D31" w:rsidRPr="00D159D0" w:rsidRDefault="00C31D31" w:rsidP="00C31D31">
            <w:pPr>
              <w:jc w:val="both"/>
              <w:rPr>
                <w:b/>
                <w:lang w:val="uk-UA"/>
              </w:rPr>
            </w:pPr>
            <w:r w:rsidRPr="00D159D0">
              <w:rPr>
                <w:b/>
                <w:lang w:val="uk-UA"/>
              </w:rPr>
              <w:lastRenderedPageBreak/>
              <w:t>USAID Проєкт енергетичної безпеки лист ESP-214-NEURC-2024-07-09</w:t>
            </w:r>
          </w:p>
          <w:p w14:paraId="2E27391F" w14:textId="77777777" w:rsidR="00024814" w:rsidRPr="00D159D0" w:rsidRDefault="00C31D31" w:rsidP="004976F9">
            <w:pPr>
              <w:jc w:val="both"/>
              <w:rPr>
                <w:lang w:val="uk-UA"/>
              </w:rPr>
            </w:pPr>
            <w:r w:rsidRPr="00D159D0">
              <w:rPr>
                <w:lang w:val="uk-UA"/>
              </w:rPr>
              <w:t xml:space="preserve">Підтримує застосування регуляторної норми доходу на </w:t>
            </w:r>
            <w:proofErr w:type="spellStart"/>
            <w:r w:rsidRPr="00D159D0">
              <w:rPr>
                <w:lang w:val="uk-UA"/>
              </w:rPr>
              <w:t>РБАнова</w:t>
            </w:r>
            <w:proofErr w:type="spellEnd"/>
            <w:r w:rsidRPr="00D159D0">
              <w:rPr>
                <w:lang w:val="uk-UA"/>
              </w:rPr>
              <w:t xml:space="preserve">  на рівні 0,03 відносних одиниць для 2025 року. </w:t>
            </w:r>
          </w:p>
          <w:p w14:paraId="31C7323B" w14:textId="77777777" w:rsidR="00C31D31" w:rsidRPr="00D159D0" w:rsidRDefault="00C31D31" w:rsidP="004976F9">
            <w:pPr>
              <w:jc w:val="both"/>
              <w:rPr>
                <w:b/>
                <w:lang w:val="uk-UA"/>
              </w:rPr>
            </w:pPr>
          </w:p>
          <w:p w14:paraId="41DEBE5A" w14:textId="77777777" w:rsidR="00C15EDC" w:rsidRPr="00D159D0" w:rsidRDefault="00C15EDC" w:rsidP="004976F9">
            <w:pPr>
              <w:jc w:val="both"/>
              <w:rPr>
                <w:b/>
                <w:lang w:val="uk-UA"/>
              </w:rPr>
            </w:pPr>
            <w:r w:rsidRPr="00D159D0">
              <w:rPr>
                <w:b/>
                <w:lang w:val="uk-UA"/>
              </w:rPr>
              <w:t>ТОВ «ДТЕК ВИСОКОВОЛЬТНІ МЕРЕЖІ» лист від 17.07.2024 № 08-61/935</w:t>
            </w:r>
          </w:p>
          <w:p w14:paraId="19395006" w14:textId="77777777" w:rsidR="00C15EDC" w:rsidRPr="00D159D0" w:rsidRDefault="00C15EDC" w:rsidP="004976F9">
            <w:pPr>
              <w:jc w:val="both"/>
              <w:rPr>
                <w:b/>
                <w:lang w:val="uk-UA"/>
              </w:rPr>
            </w:pPr>
            <w:r w:rsidRPr="00D159D0">
              <w:rPr>
                <w:b/>
                <w:lang w:val="uk-UA"/>
              </w:rPr>
              <w:t>АТ «ДТЕК ДОНЕЦЬКІ ЕЛЕКТРОМЕРЕЖІ» лист від 17.07.2024 № 06/9956</w:t>
            </w:r>
          </w:p>
          <w:p w14:paraId="46BFBB0A"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447745B3" w14:textId="77777777" w:rsidR="00C15EDC" w:rsidRPr="00D159D0" w:rsidRDefault="00C15EDC" w:rsidP="004976F9">
            <w:pPr>
              <w:shd w:val="clear" w:color="auto" w:fill="FFFFFF"/>
              <w:jc w:val="both"/>
              <w:rPr>
                <w:lang w:val="uk-UA" w:eastAsia="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2EB9C06A" w14:textId="77777777" w:rsidR="009B0218" w:rsidRPr="00D159D0" w:rsidRDefault="009B0218" w:rsidP="009B0218">
            <w:pPr>
              <w:shd w:val="clear" w:color="auto" w:fill="FFFFFF"/>
              <w:jc w:val="both"/>
              <w:rPr>
                <w:lang w:val="uk-UA" w:eastAsia="uk-UA"/>
              </w:rPr>
            </w:pPr>
          </w:p>
          <w:p w14:paraId="27177AED" w14:textId="77777777" w:rsidR="00C15EDC" w:rsidRPr="00D159D0" w:rsidRDefault="00C15EDC" w:rsidP="009B0218">
            <w:pPr>
              <w:shd w:val="clear" w:color="auto" w:fill="FFFFFF"/>
              <w:jc w:val="both"/>
              <w:rPr>
                <w:lang w:val="uk-UA" w:eastAsia="uk-UA"/>
              </w:rPr>
            </w:pPr>
            <w:r w:rsidRPr="00D159D0">
              <w:rPr>
                <w:lang w:val="uk-UA" w:eastAsia="uk-UA"/>
              </w:rPr>
              <w:lastRenderedPageBreak/>
              <w:t>1) регуляторна норма доходу на регуляторну базу активів, яка створена на дату переходу до стимулюючого регулювання, - 0,03 відносних одиниць, крім ліцензіатів:</w:t>
            </w:r>
          </w:p>
          <w:p w14:paraId="4AD39676" w14:textId="3FCBD557" w:rsidR="00C15EDC" w:rsidRPr="00D159D0" w:rsidRDefault="00C15EDC" w:rsidP="004976F9">
            <w:pPr>
              <w:shd w:val="clear" w:color="auto" w:fill="FFFFFF"/>
              <w:ind w:firstLine="488"/>
              <w:jc w:val="both"/>
              <w:rPr>
                <w:lang w:val="uk-UA" w:eastAsia="uk-UA"/>
              </w:rPr>
            </w:pPr>
            <w:r w:rsidRPr="00D159D0">
              <w:rPr>
                <w:lang w:val="uk-UA" w:eastAsia="uk-UA"/>
              </w:rPr>
              <w:t xml:space="preserve">перелік яких наведено в додатку 30 до постанови НКРЕКП від 05 жовтня 2018 року N 1175 "Про затвердження Порядку встановлення (формування) тарифів на послуги з розподілу електричної енергії" (далі - Порядок встановлення (формування) тарифів) та частина основних фондів яких знаходиться на територіях, на яких ведуться (велися) бойові дії або тимчасово окупованих Російською Федерацією,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 зареєстрованим в Міністерстві юстиції України 23 грудня 2022 року за </w:t>
            </w:r>
            <w:r w:rsidR="00A95B3A" w:rsidRPr="00D159D0">
              <w:rPr>
                <w:lang w:val="uk-UA" w:eastAsia="uk-UA"/>
              </w:rPr>
              <w:t>№</w:t>
            </w:r>
            <w:r w:rsidRPr="00D159D0">
              <w:rPr>
                <w:lang w:val="uk-UA" w:eastAsia="uk-UA"/>
              </w:rPr>
              <w:t xml:space="preserve"> 1668/39004 </w:t>
            </w:r>
            <w:r w:rsidRPr="00D159D0">
              <w:rPr>
                <w:b/>
                <w:bCs/>
                <w:lang w:val="uk-UA" w:eastAsia="uk-UA"/>
              </w:rPr>
              <w:t>для яких регуляторна норма доходу на регуляторну базу активів, яка створена на дату переходу до стимулюючого регулювання, у 2024 становить 0 відносних одиниць</w:t>
            </w:r>
            <w:r w:rsidRPr="00D159D0">
              <w:rPr>
                <w:lang w:val="uk-UA" w:eastAsia="uk-UA"/>
              </w:rPr>
              <w:t>;</w:t>
            </w:r>
          </w:p>
          <w:p w14:paraId="324007D5" w14:textId="77777777" w:rsidR="00FC35B1" w:rsidRPr="00D159D0" w:rsidRDefault="00FC35B1" w:rsidP="004976F9">
            <w:pPr>
              <w:pStyle w:val="rvps2"/>
              <w:shd w:val="clear" w:color="auto" w:fill="FFFFFF"/>
              <w:spacing w:before="0" w:beforeAutospacing="0" w:after="0" w:afterAutospacing="0"/>
              <w:ind w:firstLine="488"/>
              <w:jc w:val="both"/>
            </w:pPr>
          </w:p>
          <w:p w14:paraId="5D793D7C" w14:textId="77777777" w:rsidR="00DC5F66" w:rsidRPr="00D159D0" w:rsidRDefault="00DC5F66" w:rsidP="00DC5F66">
            <w:pPr>
              <w:jc w:val="both"/>
              <w:rPr>
                <w:b/>
                <w:bCs/>
                <w:lang w:val="uk-UA"/>
              </w:rPr>
            </w:pPr>
            <w:r w:rsidRPr="00D159D0">
              <w:rPr>
                <w:b/>
                <w:bCs/>
                <w:lang w:val="uk-UA"/>
              </w:rPr>
              <w:t>ПрАТ «КІРОВОГРАДОБЛЕНЕРГО» лист від 17.07.2024 № 3142/05/34</w:t>
            </w:r>
          </w:p>
          <w:p w14:paraId="0F38A65A" w14:textId="77777777" w:rsidR="00DC5F66" w:rsidRPr="00D159D0" w:rsidRDefault="00DC5F66" w:rsidP="00DC5F66">
            <w:pPr>
              <w:jc w:val="both"/>
              <w:rPr>
                <w:b/>
                <w:lang w:val="uk-UA"/>
              </w:rPr>
            </w:pPr>
            <w:r w:rsidRPr="00D159D0">
              <w:rPr>
                <w:b/>
                <w:bCs/>
                <w:lang w:val="uk-UA"/>
              </w:rPr>
              <w:t xml:space="preserve">АТ «ЖИТОМИРОБЛЕНЕРГО» лист від 17.07.2024 № </w:t>
            </w:r>
            <w:r w:rsidRPr="00D159D0">
              <w:rPr>
                <w:b/>
                <w:lang w:val="uk-UA"/>
              </w:rPr>
              <w:t>05/23984</w:t>
            </w:r>
          </w:p>
          <w:p w14:paraId="0B52782E" w14:textId="77777777" w:rsidR="00DC5F66" w:rsidRPr="00D159D0" w:rsidRDefault="00DC5F66" w:rsidP="00DC5F66">
            <w:pPr>
              <w:shd w:val="clear" w:color="auto" w:fill="FFFFFF"/>
              <w:jc w:val="both"/>
              <w:rPr>
                <w:b/>
                <w:lang w:val="uk-UA"/>
              </w:rPr>
            </w:pPr>
            <w:r w:rsidRPr="00D159D0">
              <w:rPr>
                <w:b/>
                <w:bCs/>
                <w:lang w:val="uk-UA"/>
              </w:rPr>
              <w:t xml:space="preserve">АТ «ЧЕРНІВЦІОБЛЕНЕРГО» ЛИСТ ВІД </w:t>
            </w:r>
            <w:r w:rsidRPr="00D159D0">
              <w:rPr>
                <w:b/>
                <w:lang w:val="uk-UA"/>
              </w:rPr>
              <w:t>17.07.2024 №19/1-02/1864</w:t>
            </w:r>
          </w:p>
          <w:p w14:paraId="75D93A00" w14:textId="77777777" w:rsidR="00DC5F66" w:rsidRPr="00D159D0" w:rsidRDefault="00DC5F66" w:rsidP="00DC5F66">
            <w:pPr>
              <w:jc w:val="both"/>
              <w:rPr>
                <w:b/>
                <w:lang w:val="uk-UA"/>
              </w:rPr>
            </w:pPr>
            <w:r w:rsidRPr="00D159D0">
              <w:rPr>
                <w:b/>
                <w:lang w:val="uk-UA"/>
              </w:rPr>
              <w:t>ГC «Розумні електромережі лист від 17.07.2024 № 17-07/1</w:t>
            </w:r>
          </w:p>
          <w:p w14:paraId="2993022B" w14:textId="77777777" w:rsidR="00DC5F66" w:rsidRPr="00D159D0" w:rsidRDefault="00DC5F66" w:rsidP="00DC5F66">
            <w:pPr>
              <w:shd w:val="clear" w:color="auto" w:fill="FFFFFF"/>
              <w:ind w:firstLine="488"/>
              <w:jc w:val="both"/>
              <w:rPr>
                <w:b/>
                <w:bCs/>
                <w:strike/>
                <w:lang w:val="uk-UA" w:eastAsia="uk-UA"/>
              </w:rPr>
            </w:pPr>
            <w:r w:rsidRPr="00D159D0">
              <w:rPr>
                <w:b/>
                <w:bCs/>
                <w:strike/>
                <w:lang w:val="uk-UA" w:eastAsia="uk-UA"/>
              </w:rPr>
              <w:t xml:space="preserve">контролером або кінцевим </w:t>
            </w:r>
            <w:proofErr w:type="spellStart"/>
            <w:r w:rsidRPr="00D159D0">
              <w:rPr>
                <w:b/>
                <w:bCs/>
                <w:strike/>
                <w:lang w:val="uk-UA" w:eastAsia="uk-UA"/>
              </w:rPr>
              <w:t>бенефіціарним</w:t>
            </w:r>
            <w:proofErr w:type="spellEnd"/>
            <w:r w:rsidRPr="00D159D0">
              <w:rPr>
                <w:b/>
                <w:bCs/>
                <w:strike/>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w:t>
            </w:r>
          </w:p>
          <w:p w14:paraId="07C70251" w14:textId="77777777" w:rsidR="00DC5F66" w:rsidRPr="00D159D0" w:rsidRDefault="00DC5F66" w:rsidP="00DC5F66">
            <w:pPr>
              <w:ind w:firstLine="314"/>
              <w:jc w:val="both"/>
              <w:rPr>
                <w:lang w:val="uk-UA" w:eastAsia="uk-UA"/>
              </w:rPr>
            </w:pPr>
            <w:r w:rsidRPr="00D159D0">
              <w:rPr>
                <w:lang w:val="uk-UA" w:eastAsia="uk-UA"/>
              </w:rPr>
              <w:lastRenderedPageBreak/>
              <w:t xml:space="preserve">Скасування норми доходу у 2025 році на РБА, яка створена на дату переходу до стимулюючого регулювання, призведе до </w:t>
            </w:r>
            <w:r w:rsidRPr="00D159D0">
              <w:rPr>
                <w:bCs/>
                <w:lang w:val="uk-UA" w:eastAsia="uk-UA"/>
              </w:rPr>
              <w:t>зменшення джерел фінансування інвестиційної програми</w:t>
            </w:r>
            <w:r w:rsidRPr="00D159D0">
              <w:rPr>
                <w:lang w:val="uk-UA" w:eastAsia="uk-UA"/>
              </w:rPr>
              <w:t xml:space="preserve"> компаній майже на третину (а саме, 117 млн. грн, що складає близько 30% інвестиційної програми)), що, в свою чергу, зумовить:</w:t>
            </w:r>
          </w:p>
          <w:p w14:paraId="78B096F8" w14:textId="77777777" w:rsidR="00DC5F66" w:rsidRPr="00D159D0" w:rsidRDefault="00DC5F66" w:rsidP="00DC5F66">
            <w:pPr>
              <w:jc w:val="both"/>
              <w:rPr>
                <w:lang w:val="uk-UA" w:eastAsia="uk-UA"/>
              </w:rPr>
            </w:pPr>
            <w:r w:rsidRPr="00D159D0">
              <w:rPr>
                <w:lang w:val="uk-UA" w:eastAsia="uk-UA"/>
              </w:rPr>
              <w:t>– зменшення обсягів реалізації заходів передбачених "Планом заходів із забезпечення достовірності даних для здійснення моніторингу якості послуг;</w:t>
            </w:r>
          </w:p>
          <w:p w14:paraId="299C951E" w14:textId="77777777" w:rsidR="00DC5F66" w:rsidRPr="00D159D0" w:rsidRDefault="00DC5F66" w:rsidP="00DC5F66">
            <w:pPr>
              <w:ind w:firstLine="31"/>
              <w:jc w:val="both"/>
              <w:rPr>
                <w:lang w:val="uk-UA" w:eastAsia="uk-UA"/>
              </w:rPr>
            </w:pPr>
            <w:r w:rsidRPr="00D159D0">
              <w:rPr>
                <w:lang w:val="uk-UA" w:eastAsia="uk-UA"/>
              </w:rPr>
              <w:t>– зменшення обсягів оновлення/нового будівництва елементів електричних мереж;</w:t>
            </w:r>
          </w:p>
          <w:p w14:paraId="77115E76" w14:textId="77777777" w:rsidR="00DC5F66" w:rsidRPr="00D159D0" w:rsidRDefault="00DC5F66" w:rsidP="00DC5F66">
            <w:pPr>
              <w:jc w:val="both"/>
              <w:rPr>
                <w:lang w:val="uk-UA" w:eastAsia="uk-UA"/>
              </w:rPr>
            </w:pPr>
            <w:r w:rsidRPr="00D159D0">
              <w:rPr>
                <w:lang w:val="uk-UA" w:eastAsia="uk-UA"/>
              </w:rPr>
              <w:t>– зменшення обсягів заходів, направлених на зменшення технологічних втрат електричної енергії;</w:t>
            </w:r>
          </w:p>
          <w:p w14:paraId="7061C867" w14:textId="77777777" w:rsidR="00DC5F66" w:rsidRPr="00D159D0" w:rsidRDefault="00DC5F66" w:rsidP="00DC5F66">
            <w:pPr>
              <w:jc w:val="both"/>
              <w:rPr>
                <w:lang w:val="uk-UA" w:eastAsia="uk-UA"/>
              </w:rPr>
            </w:pPr>
            <w:r w:rsidRPr="00D159D0">
              <w:rPr>
                <w:lang w:val="uk-UA" w:eastAsia="uk-UA"/>
              </w:rPr>
              <w:t>– невиконання заходів, передбачених програмою модернізації вузлів обліку електричної енергії;</w:t>
            </w:r>
          </w:p>
          <w:p w14:paraId="72521B37" w14:textId="77777777" w:rsidR="00DC5F66" w:rsidRPr="00D159D0" w:rsidRDefault="00DC5F66" w:rsidP="00DC5F66">
            <w:pPr>
              <w:jc w:val="both"/>
              <w:rPr>
                <w:lang w:val="uk-UA" w:eastAsia="uk-UA"/>
              </w:rPr>
            </w:pPr>
            <w:r w:rsidRPr="00D159D0">
              <w:rPr>
                <w:lang w:val="uk-UA" w:eastAsia="uk-UA"/>
              </w:rPr>
              <w:t>– неможливість відновлення/оновлення парку автотранспортної техніки.</w:t>
            </w:r>
          </w:p>
          <w:p w14:paraId="52EAFA4D" w14:textId="77777777" w:rsidR="00DC5F66" w:rsidRPr="00D159D0" w:rsidRDefault="00DC5F66" w:rsidP="004976F9">
            <w:pPr>
              <w:pStyle w:val="rvps2"/>
              <w:shd w:val="clear" w:color="auto" w:fill="FFFFFF"/>
              <w:spacing w:before="0" w:beforeAutospacing="0" w:after="0" w:afterAutospacing="0"/>
              <w:ind w:firstLine="488"/>
              <w:jc w:val="both"/>
            </w:pPr>
          </w:p>
          <w:p w14:paraId="1B91366A" w14:textId="77777777" w:rsidR="00DC5F66" w:rsidRPr="00D159D0" w:rsidRDefault="00DC5F66" w:rsidP="00DC5F66">
            <w:pPr>
              <w:jc w:val="both"/>
              <w:rPr>
                <w:b/>
                <w:lang w:val="uk-UA"/>
              </w:rPr>
            </w:pPr>
            <w:r w:rsidRPr="00D159D0">
              <w:rPr>
                <w:b/>
                <w:lang w:val="uk-UA"/>
              </w:rPr>
              <w:t>ПАТ «ЗАПОРІЖЖЯОБЛЕНЕРГО» лист від 12.07.2024 № 001-33/638</w:t>
            </w:r>
          </w:p>
          <w:p w14:paraId="2CE13D34" w14:textId="77777777" w:rsidR="00DC5F66" w:rsidRPr="00D159D0" w:rsidRDefault="00DC5F66" w:rsidP="00DC5F66">
            <w:pPr>
              <w:pStyle w:val="ab"/>
              <w:spacing w:after="0" w:line="240" w:lineRule="auto"/>
              <w:ind w:firstLine="305"/>
              <w:jc w:val="both"/>
              <w:rPr>
                <w:sz w:val="24"/>
                <w:szCs w:val="24"/>
              </w:rPr>
            </w:pPr>
            <w:r w:rsidRPr="00D159D0">
              <w:rPr>
                <w:sz w:val="24"/>
                <w:szCs w:val="24"/>
              </w:rPr>
              <w:t>Врахування у 2024 році регуляторної норми доходу на РБА «стару» на рівні 0 відносних одиниць</w:t>
            </w:r>
            <w:r w:rsidRPr="00D159D0">
              <w:rPr>
                <w:i/>
                <w:sz w:val="24"/>
                <w:szCs w:val="24"/>
              </w:rPr>
              <w:t xml:space="preserve"> </w:t>
            </w:r>
            <w:r w:rsidRPr="00D159D0">
              <w:rPr>
                <w:sz w:val="24"/>
                <w:szCs w:val="24"/>
              </w:rPr>
              <w:t xml:space="preserve">призвело до зменшення джерел фінансування затвердженої НКРЕКП Інвестиційної програми на суму прибутку (обов’язкових реінвестицій), який визначений на нульовому рівні. </w:t>
            </w:r>
          </w:p>
          <w:p w14:paraId="57F5AC4F" w14:textId="77777777" w:rsidR="00DC5F66" w:rsidRPr="00D159D0" w:rsidRDefault="00DC5F66" w:rsidP="00DC5F66">
            <w:pPr>
              <w:jc w:val="both"/>
              <w:rPr>
                <w:b/>
                <w:lang w:val="uk-UA"/>
              </w:rPr>
            </w:pPr>
          </w:p>
          <w:p w14:paraId="658EA876" w14:textId="77777777" w:rsidR="00FC35B1" w:rsidRPr="00D159D0" w:rsidRDefault="00FC35B1" w:rsidP="00FC35B1">
            <w:pPr>
              <w:jc w:val="both"/>
              <w:rPr>
                <w:b/>
                <w:lang w:val="uk-UA"/>
              </w:rPr>
            </w:pPr>
            <w:r w:rsidRPr="00D159D0">
              <w:rPr>
                <w:b/>
                <w:lang w:val="uk-UA"/>
              </w:rPr>
              <w:t>ТОВ «ДТЕК ВИСОКОВОЛЬТНІ МЕРЕЖІ» лист від 17.07.2024 № 08-61/935</w:t>
            </w:r>
          </w:p>
          <w:p w14:paraId="2CE19DD2" w14:textId="77777777" w:rsidR="00FC35B1" w:rsidRPr="00D159D0" w:rsidRDefault="00FC35B1" w:rsidP="00FC35B1">
            <w:pPr>
              <w:jc w:val="both"/>
              <w:rPr>
                <w:b/>
                <w:lang w:val="uk-UA"/>
              </w:rPr>
            </w:pPr>
            <w:r w:rsidRPr="00D159D0">
              <w:rPr>
                <w:b/>
                <w:lang w:val="uk-UA"/>
              </w:rPr>
              <w:t>АТ «ДТЕК ДОНЕЦЬКІ ЕЛЕКТРОМЕРЕЖІ» лист від 17.07.2024 № 06/9956</w:t>
            </w:r>
          </w:p>
          <w:p w14:paraId="66704ACB" w14:textId="77777777" w:rsidR="00FC35B1" w:rsidRPr="00D159D0" w:rsidRDefault="00FC35B1" w:rsidP="00FC35B1">
            <w:pPr>
              <w:jc w:val="both"/>
              <w:rPr>
                <w:b/>
                <w:lang w:val="uk-UA"/>
              </w:rPr>
            </w:pPr>
            <w:r w:rsidRPr="00D159D0">
              <w:rPr>
                <w:b/>
                <w:lang w:val="uk-UA"/>
              </w:rPr>
              <w:t>ГC «Розумні електромережі лист від 17.07.2024 № 17-07/1</w:t>
            </w:r>
          </w:p>
          <w:p w14:paraId="7CF22EDA" w14:textId="77777777" w:rsidR="00FC35B1" w:rsidRPr="00D159D0" w:rsidRDefault="00FC35B1" w:rsidP="00FC35B1">
            <w:pPr>
              <w:shd w:val="clear" w:color="auto" w:fill="FFFFFF"/>
              <w:jc w:val="both"/>
              <w:rPr>
                <w:lang w:val="uk-UA" w:eastAsia="uk-UA"/>
              </w:rPr>
            </w:pPr>
            <w:r w:rsidRPr="00D159D0">
              <w:rPr>
                <w:shd w:val="clear" w:color="auto" w:fill="FFFFFF"/>
                <w:lang w:val="uk-UA"/>
              </w:rPr>
              <w:lastRenderedPageBreak/>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71FC4A9E" w14:textId="77777777" w:rsidR="000B76BD" w:rsidRPr="00D159D0" w:rsidRDefault="000B76BD" w:rsidP="004976F9">
            <w:pPr>
              <w:pStyle w:val="rvps2"/>
              <w:shd w:val="clear" w:color="auto" w:fill="FFFFFF"/>
              <w:spacing w:before="0" w:beforeAutospacing="0" w:after="0" w:afterAutospacing="0"/>
              <w:ind w:firstLine="488"/>
              <w:jc w:val="both"/>
            </w:pPr>
            <w:r w:rsidRPr="00D159D0">
              <w:t xml:space="preserve">2) регуляторна норма доходу на регуляторну базу активів, яка створена після переходу на стимулююче регулювання, - 0,1674 відносних одиниць (для 2023 </w:t>
            </w:r>
            <w:r w:rsidRPr="00D159D0">
              <w:rPr>
                <w:b/>
              </w:rPr>
              <w:t>– 2025</w:t>
            </w:r>
            <w:r w:rsidRPr="00D159D0">
              <w:t xml:space="preserve"> років – 0,03 відносних одиниць), крім ліцензіатів:</w:t>
            </w:r>
          </w:p>
          <w:p w14:paraId="76C77F1D" w14:textId="77777777" w:rsidR="000B76BD" w:rsidRPr="00D159D0" w:rsidRDefault="000B76BD" w:rsidP="004976F9">
            <w:pPr>
              <w:shd w:val="clear" w:color="auto" w:fill="FFFFFF"/>
              <w:ind w:firstLine="488"/>
              <w:jc w:val="both"/>
              <w:rPr>
                <w:lang w:val="uk-UA" w:eastAsia="uk-UA"/>
              </w:rPr>
            </w:pPr>
            <w:r w:rsidRPr="00D159D0">
              <w:rPr>
                <w:lang w:val="uk-UA" w:eastAsia="uk-UA"/>
              </w:rPr>
              <w:t xml:space="preserve">перелік яких наведено в додатку 30 до постанови </w:t>
            </w:r>
            <w:r w:rsidRPr="00D159D0">
              <w:rPr>
                <w:b/>
                <w:bCs/>
                <w:lang w:val="uk-UA" w:eastAsia="uk-UA"/>
              </w:rPr>
              <w:t>НКРЕКП Порядку встановлення (формування) тарифів та частина основних фондів яких знаходиться на територіях яких тимчасово втрачено контроль, з урахуванням Переліку територій, на яких ведуться (велися) бойові дії або тимчасово окупованих Російською Федерацією, затвердженого наказом Міністерства з питань реінтеграції тимчасово окупованих територій України від 22 грудня 2022 року N 309,</w:t>
            </w:r>
            <w:r w:rsidRPr="00D159D0">
              <w:rPr>
                <w:lang w:val="uk-UA" w:eastAsia="uk-UA"/>
              </w:rPr>
              <w:t xml:space="preserve"> </w:t>
            </w:r>
            <w:r w:rsidRPr="00D159D0">
              <w:rPr>
                <w:b/>
                <w:bCs/>
                <w:lang w:val="uk-UA" w:eastAsia="uk-UA"/>
              </w:rPr>
              <w:t>для яких регуляторна норма доходу на регуляторну базу активів, яка створена на дату переходу до стимулюючого регулювання, у 2024 становить 0 відносних одиниць</w:t>
            </w:r>
            <w:r w:rsidRPr="00D159D0">
              <w:rPr>
                <w:lang w:val="uk-UA" w:eastAsia="uk-UA"/>
              </w:rPr>
              <w:t>;</w:t>
            </w:r>
          </w:p>
          <w:p w14:paraId="5E647524" w14:textId="77777777" w:rsidR="00FC35B1" w:rsidRPr="00D159D0" w:rsidRDefault="00FC35B1" w:rsidP="004976F9">
            <w:pPr>
              <w:jc w:val="both"/>
              <w:rPr>
                <w:lang w:val="uk-UA" w:eastAsia="uk-UA"/>
              </w:rPr>
            </w:pPr>
          </w:p>
          <w:p w14:paraId="4EEEDEC9" w14:textId="77777777" w:rsidR="00FC35B1" w:rsidRPr="00D159D0" w:rsidRDefault="00FC35B1" w:rsidP="00FC35B1">
            <w:pPr>
              <w:jc w:val="both"/>
              <w:rPr>
                <w:b/>
                <w:bCs/>
                <w:lang w:val="uk-UA"/>
              </w:rPr>
            </w:pPr>
            <w:r w:rsidRPr="00D159D0">
              <w:rPr>
                <w:b/>
                <w:bCs/>
                <w:lang w:val="uk-UA"/>
              </w:rPr>
              <w:t>ПрАТ «КІРОВОГРАДОБЛЕНЕРГО» лист від 17.07.2024 № 3142/05/34</w:t>
            </w:r>
          </w:p>
          <w:p w14:paraId="3CE5B6C3" w14:textId="77777777" w:rsidR="00FC35B1" w:rsidRPr="00D159D0" w:rsidRDefault="00FC35B1" w:rsidP="00FC35B1">
            <w:pPr>
              <w:jc w:val="both"/>
              <w:rPr>
                <w:b/>
                <w:lang w:val="uk-UA"/>
              </w:rPr>
            </w:pPr>
            <w:r w:rsidRPr="00D159D0">
              <w:rPr>
                <w:b/>
                <w:bCs/>
                <w:lang w:val="uk-UA"/>
              </w:rPr>
              <w:t xml:space="preserve">АТ «ЖИТОМИРОБЛЕНЕРГО» лист від 17.07.2024 № </w:t>
            </w:r>
            <w:r w:rsidRPr="00D159D0">
              <w:rPr>
                <w:b/>
                <w:lang w:val="uk-UA"/>
              </w:rPr>
              <w:t>05/23984</w:t>
            </w:r>
          </w:p>
          <w:p w14:paraId="53A12656" w14:textId="77777777" w:rsidR="00FC35B1" w:rsidRPr="00D159D0" w:rsidRDefault="00FC35B1" w:rsidP="00FC35B1">
            <w:pPr>
              <w:shd w:val="clear" w:color="auto" w:fill="FFFFFF"/>
              <w:jc w:val="both"/>
              <w:rPr>
                <w:b/>
                <w:lang w:val="uk-UA"/>
              </w:rPr>
            </w:pPr>
            <w:r w:rsidRPr="00D159D0">
              <w:rPr>
                <w:b/>
                <w:bCs/>
                <w:lang w:val="uk-UA"/>
              </w:rPr>
              <w:t xml:space="preserve">АТ «ЧЕРНІВЦІОБЛЕНЕРГО» ЛИСТ ВІД </w:t>
            </w:r>
            <w:r w:rsidRPr="00D159D0">
              <w:rPr>
                <w:b/>
                <w:lang w:val="uk-UA"/>
              </w:rPr>
              <w:t>17.07.2024 №19/1-02/1864</w:t>
            </w:r>
          </w:p>
          <w:p w14:paraId="6848A6BA" w14:textId="77777777" w:rsidR="00FC35B1" w:rsidRPr="00D159D0" w:rsidRDefault="00FC35B1" w:rsidP="00FC35B1">
            <w:pPr>
              <w:jc w:val="both"/>
              <w:rPr>
                <w:b/>
                <w:lang w:val="uk-UA"/>
              </w:rPr>
            </w:pPr>
            <w:r w:rsidRPr="00D159D0">
              <w:rPr>
                <w:b/>
                <w:lang w:val="uk-UA"/>
              </w:rPr>
              <w:t>ГC «Розумні електромережі лист від 17.07.2024 № 17-07/1</w:t>
            </w:r>
          </w:p>
          <w:p w14:paraId="46312694" w14:textId="77777777" w:rsidR="00326AC0" w:rsidRPr="00D159D0" w:rsidRDefault="00DC5F66" w:rsidP="004976F9">
            <w:pPr>
              <w:jc w:val="both"/>
              <w:rPr>
                <w:lang w:val="uk-UA" w:eastAsia="uk-UA"/>
              </w:rPr>
            </w:pPr>
            <w:r w:rsidRPr="00D159D0">
              <w:rPr>
                <w:lang w:val="uk-UA" w:eastAsia="uk-UA"/>
              </w:rPr>
              <w:t>Д</w:t>
            </w:r>
            <w:r w:rsidR="00326AC0" w:rsidRPr="00D159D0">
              <w:rPr>
                <w:lang w:val="uk-UA" w:eastAsia="uk-UA"/>
              </w:rPr>
              <w:t>ане рішення виключає можливість виконання вимоги підпункту 2 пункту 2 постанови НКРЕКП №1029 від 26.07.2013 року.</w:t>
            </w:r>
          </w:p>
          <w:p w14:paraId="66A1E304" w14:textId="77777777" w:rsidR="00326AC0" w:rsidRPr="00D159D0" w:rsidRDefault="00326AC0" w:rsidP="004976F9">
            <w:pPr>
              <w:ind w:firstLine="321"/>
              <w:jc w:val="both"/>
              <w:rPr>
                <w:shd w:val="clear" w:color="auto" w:fill="FFFFFF"/>
                <w:lang w:val="uk-UA"/>
              </w:rPr>
            </w:pPr>
            <w:r w:rsidRPr="00D159D0">
              <w:rPr>
                <w:shd w:val="clear" w:color="auto" w:fill="FFFFFF"/>
                <w:lang w:val="uk-UA"/>
              </w:rPr>
              <w:t xml:space="preserve">Скасування </w:t>
            </w:r>
            <w:r w:rsidRPr="00D159D0">
              <w:rPr>
                <w:lang w:val="uk-UA" w:eastAsia="uk-UA"/>
              </w:rPr>
              <w:t xml:space="preserve">норми доходу на РБА позбавляє </w:t>
            </w:r>
            <w:r w:rsidR="000B76BD" w:rsidRPr="00D159D0">
              <w:rPr>
                <w:lang w:val="uk-UA" w:eastAsia="uk-UA"/>
              </w:rPr>
              <w:t xml:space="preserve">компанії </w:t>
            </w:r>
            <w:r w:rsidRPr="00D159D0">
              <w:rPr>
                <w:lang w:val="uk-UA" w:eastAsia="uk-UA"/>
              </w:rPr>
              <w:t xml:space="preserve"> можливості вчасно та в повній мірі реагувати на виклики в надскладний період воєнного часу та </w:t>
            </w:r>
            <w:r w:rsidRPr="00D159D0">
              <w:rPr>
                <w:iCs/>
                <w:lang w:val="uk-UA" w:eastAsia="uk-UA"/>
              </w:rPr>
              <w:t xml:space="preserve">унеможливить фінансування за рахунок вільної частини </w:t>
            </w:r>
            <w:r w:rsidRPr="00D159D0">
              <w:rPr>
                <w:iCs/>
                <w:lang w:val="uk-UA" w:eastAsia="uk-UA"/>
              </w:rPr>
              <w:lastRenderedPageBreak/>
              <w:t>прибутку операційних витрат, що не покриваються структурою тарифу, таких як купівля ТВЕ, витрати на господарські потреби, витрати на ПММ та ін.</w:t>
            </w:r>
          </w:p>
          <w:p w14:paraId="6B8EF5D4" w14:textId="77777777" w:rsidR="00326AC0" w:rsidRPr="00D159D0" w:rsidRDefault="00326AC0" w:rsidP="004976F9">
            <w:pPr>
              <w:ind w:firstLine="321"/>
              <w:jc w:val="both"/>
              <w:rPr>
                <w:lang w:val="uk-UA"/>
              </w:rPr>
            </w:pPr>
            <w:r w:rsidRPr="00D159D0">
              <w:rPr>
                <w:shd w:val="clear" w:color="auto" w:fill="FFFFFF"/>
                <w:lang w:val="uk-UA"/>
              </w:rPr>
              <w:t xml:space="preserve">Таке рішення </w:t>
            </w:r>
            <w:r w:rsidRPr="00D159D0">
              <w:rPr>
                <w:lang w:val="uk-UA"/>
              </w:rPr>
              <w:t xml:space="preserve">неминуче ставить компанію у становище банкрута, що призведе до неможливості забезпечити виробничу діяльність з розподілу електричної енергії на території </w:t>
            </w:r>
            <w:r w:rsidR="000B76BD" w:rsidRPr="00D159D0">
              <w:rPr>
                <w:lang w:val="uk-UA"/>
              </w:rPr>
              <w:t>її діяльності</w:t>
            </w:r>
            <w:r w:rsidRPr="00D159D0">
              <w:rPr>
                <w:lang w:val="uk-UA"/>
              </w:rPr>
              <w:t>.</w:t>
            </w:r>
          </w:p>
          <w:p w14:paraId="6679BD00" w14:textId="77777777" w:rsidR="00DC5F66" w:rsidRPr="00D159D0" w:rsidRDefault="00DC5F66" w:rsidP="00DC5F66">
            <w:pPr>
              <w:jc w:val="both"/>
              <w:rPr>
                <w:b/>
                <w:lang w:val="uk-UA"/>
              </w:rPr>
            </w:pPr>
          </w:p>
          <w:p w14:paraId="675493EC" w14:textId="77777777" w:rsidR="00DC5F66" w:rsidRPr="00D159D0" w:rsidRDefault="00DC5F66" w:rsidP="00DC5F66">
            <w:pPr>
              <w:jc w:val="both"/>
              <w:rPr>
                <w:b/>
                <w:lang w:val="uk-UA"/>
              </w:rPr>
            </w:pPr>
            <w:r w:rsidRPr="00D159D0">
              <w:rPr>
                <w:b/>
                <w:lang w:val="uk-UA"/>
              </w:rPr>
              <w:t>ПАТ «ЗАПОРІЖЖЯОБЛЕНЕРГО» лист від 12.07.2024 № 001-33/638</w:t>
            </w:r>
          </w:p>
          <w:p w14:paraId="32BBA64B" w14:textId="77777777" w:rsidR="00DC5F66" w:rsidRPr="00D159D0" w:rsidRDefault="00DC5F66" w:rsidP="00DC5F66">
            <w:pPr>
              <w:pStyle w:val="ab"/>
              <w:spacing w:after="0" w:line="240" w:lineRule="auto"/>
              <w:ind w:firstLine="305"/>
              <w:jc w:val="both"/>
              <w:rPr>
                <w:sz w:val="24"/>
                <w:szCs w:val="24"/>
              </w:rPr>
            </w:pPr>
            <w:r w:rsidRPr="00D159D0">
              <w:rPr>
                <w:sz w:val="24"/>
                <w:szCs w:val="24"/>
              </w:rPr>
              <w:t>Врахування регуляторної норми доходу на РБА, зокрема «нову» на рівні 0 відносних одиниць позбавляє товариство можливості фінансувати визначені пріоритетні напрямки господарської та інвестиційної діяльності.</w:t>
            </w:r>
          </w:p>
          <w:p w14:paraId="63E751C0" w14:textId="77777777" w:rsidR="00DC5F66" w:rsidRPr="00D159D0" w:rsidRDefault="00DC5F66" w:rsidP="00DC5F66">
            <w:pPr>
              <w:ind w:firstLine="322"/>
              <w:jc w:val="both"/>
              <w:rPr>
                <w:lang w:val="uk-UA"/>
              </w:rPr>
            </w:pPr>
            <w:r w:rsidRPr="00D159D0">
              <w:rPr>
                <w:lang w:val="uk-UA"/>
              </w:rPr>
              <w:t xml:space="preserve">Застосування нульового прибутку не дає можливості ліцензіату оновлювати обладнання, електричні мережі, автотранспорт, спецтехніку, та призведе до того, що оператор системи розподілу не буде мати жодних резервів для фінансування витрат, які неможливо передбачити в умовах воєнних дій внаслідок ракетних ударів та обстрілів, тим паче на прифронтовій території, та проведення заходів по відновленню електропостачання при </w:t>
            </w:r>
            <w:proofErr w:type="spellStart"/>
            <w:r w:rsidRPr="00D159D0">
              <w:rPr>
                <w:lang w:val="uk-UA"/>
              </w:rPr>
              <w:t>деокупації</w:t>
            </w:r>
            <w:proofErr w:type="spellEnd"/>
            <w:r w:rsidRPr="00D159D0">
              <w:rPr>
                <w:lang w:val="uk-UA"/>
              </w:rPr>
              <w:t xml:space="preserve"> територій. </w:t>
            </w:r>
          </w:p>
          <w:p w14:paraId="3C383008" w14:textId="77777777" w:rsidR="00DC5F66" w:rsidRPr="00D159D0" w:rsidRDefault="00DC5F66" w:rsidP="00DC5F66">
            <w:pPr>
              <w:jc w:val="both"/>
              <w:rPr>
                <w:b/>
                <w:bCs/>
                <w:lang w:val="uk-UA"/>
              </w:rPr>
            </w:pPr>
          </w:p>
          <w:p w14:paraId="5297715B" w14:textId="77777777" w:rsidR="00C31D31" w:rsidRPr="00D159D0" w:rsidRDefault="00C31D31" w:rsidP="00C31D31">
            <w:pPr>
              <w:jc w:val="both"/>
              <w:rPr>
                <w:b/>
                <w:lang w:val="uk-UA"/>
              </w:rPr>
            </w:pPr>
            <w:r w:rsidRPr="00D159D0">
              <w:rPr>
                <w:b/>
                <w:lang w:val="uk-UA"/>
              </w:rPr>
              <w:t>USAID Проєкт енергетичної безпеки лист ESP-214-NEURC-2024-07-09</w:t>
            </w:r>
          </w:p>
          <w:p w14:paraId="16E490B8" w14:textId="77777777" w:rsidR="00C31D31" w:rsidRPr="00D159D0" w:rsidRDefault="00C31D31" w:rsidP="00C31D31">
            <w:pPr>
              <w:ind w:firstLine="306"/>
              <w:jc w:val="both"/>
              <w:rPr>
                <w:lang w:val="uk-UA"/>
              </w:rPr>
            </w:pPr>
            <w:r w:rsidRPr="00D159D0">
              <w:rPr>
                <w:lang w:val="uk-UA"/>
              </w:rPr>
              <w:t xml:space="preserve">Щодо встановлення норми доходу на РБА «стару» та РБА «нову» для </w:t>
            </w:r>
            <w:proofErr w:type="spellStart"/>
            <w:r w:rsidRPr="00D159D0">
              <w:rPr>
                <w:lang w:val="uk-UA"/>
              </w:rPr>
              <w:t>підсанкційних</w:t>
            </w:r>
            <w:proofErr w:type="spellEnd"/>
            <w:r w:rsidRPr="00D159D0">
              <w:rPr>
                <w:lang w:val="uk-UA"/>
              </w:rPr>
              <w:t xml:space="preserve"> ОСР на рівні 0 відносних одиниць, ПЕБ звертає Вашу увагу, що це призведе до значного скорочення необхідного доходу, який має бути спрямований на інвестиції відповідно до законодавства. Виключення даного обсягу інвестицій з структури тарифу негативно вплине на виконання інвестиційних програм та може призвести до погіршення якості надання послуг від чого, насамперед, постраждають </w:t>
            </w:r>
            <w:r w:rsidRPr="00D159D0">
              <w:rPr>
                <w:lang w:val="uk-UA"/>
              </w:rPr>
              <w:lastRenderedPageBreak/>
              <w:t xml:space="preserve">споживачі. ПЕБ пропонує застосовувати єдиний підхід для </w:t>
            </w:r>
            <w:proofErr w:type="spellStart"/>
            <w:r w:rsidRPr="00D159D0">
              <w:rPr>
                <w:lang w:val="uk-UA"/>
              </w:rPr>
              <w:t>підсанкційних</w:t>
            </w:r>
            <w:proofErr w:type="spellEnd"/>
            <w:r w:rsidRPr="00D159D0">
              <w:rPr>
                <w:lang w:val="uk-UA"/>
              </w:rPr>
              <w:t xml:space="preserve"> ОСР та інших ліцензіатів, які є на стимулюючому регулюванні, оскільки споживачі повинні отримувати якісні послуги з розподілу електроенергії, вартість яких визначається структурою тарифу ОСР. </w:t>
            </w:r>
          </w:p>
          <w:p w14:paraId="5990A275" w14:textId="77777777" w:rsidR="00C31D31" w:rsidRPr="00D159D0" w:rsidRDefault="00C31D31" w:rsidP="00C31D31">
            <w:pPr>
              <w:ind w:firstLine="306"/>
              <w:jc w:val="both"/>
              <w:rPr>
                <w:lang w:val="uk-UA"/>
              </w:rPr>
            </w:pPr>
            <w:r w:rsidRPr="00D159D0">
              <w:rPr>
                <w:lang w:val="uk-UA"/>
              </w:rPr>
              <w:t xml:space="preserve">Слід зазначити, що Кабінет Міністрів створив АТ «Українські розподільчі мережі», 100% акцій якого належить державі. Відповідно до постанови Кабінету Міністрів України від 29 листопада 2022 р. № 1336 про утворення акціонерного товариства «Українські розподільні мережі» метою його утворення є створення умов для надійного та ефективного функціонування і розвитку операторів систем розподілу для забезпечення економічної та енергетичної безпеки держави, залучення інвестицій та отримання прибутку. </w:t>
            </w:r>
          </w:p>
          <w:p w14:paraId="1CB54483" w14:textId="77777777" w:rsidR="00C31D31" w:rsidRPr="00D159D0" w:rsidRDefault="00C31D31" w:rsidP="00C31D31">
            <w:pPr>
              <w:ind w:firstLine="306"/>
              <w:jc w:val="both"/>
              <w:rPr>
                <w:lang w:val="uk-UA"/>
              </w:rPr>
            </w:pPr>
            <w:r w:rsidRPr="00D159D0">
              <w:rPr>
                <w:lang w:val="uk-UA"/>
              </w:rPr>
              <w:t xml:space="preserve">Тому ПЕБ рекомендує звернутися до Національного агентства України з питань виявлення, розшуку та управління активами, одержаними від корупційних та інших злочинів щодо можливості передачі корпоративних прав </w:t>
            </w:r>
            <w:proofErr w:type="spellStart"/>
            <w:r w:rsidRPr="00D159D0">
              <w:rPr>
                <w:lang w:val="uk-UA"/>
              </w:rPr>
              <w:t>підсанкційних</w:t>
            </w:r>
            <w:proofErr w:type="spellEnd"/>
            <w:r w:rsidRPr="00D159D0">
              <w:rPr>
                <w:lang w:val="uk-UA"/>
              </w:rPr>
              <w:t xml:space="preserve"> ОСР в управління АТ «Українські розподільчі мережі» для подальшої реалізації реформи стимулюючого регулювання, забезпечення контролю виконання інвестиційних програм та підтримки платоспроможності даних ОСР. </w:t>
            </w:r>
          </w:p>
          <w:p w14:paraId="71121F8B" w14:textId="77777777" w:rsidR="00C31D31" w:rsidRPr="00D159D0" w:rsidRDefault="00C31D31" w:rsidP="00C31D31">
            <w:pPr>
              <w:jc w:val="both"/>
              <w:rPr>
                <w:b/>
                <w:bCs/>
                <w:lang w:val="uk-UA"/>
              </w:rPr>
            </w:pPr>
            <w:r w:rsidRPr="00D159D0">
              <w:rPr>
                <w:lang w:val="uk-UA"/>
              </w:rPr>
              <w:t xml:space="preserve">Починаючи з наступного регуляторного періоду в 2026 році, ПЕБ рекомендує провести моніторинг виконання інвестиційних програм та всіх показників ефективності під час війни з метою запровадження цільових показників, враховуючи ступінь пошкодження активів, зниження обсягів розподілу, та застосовувати регуляторну норму доходу на </w:t>
            </w:r>
            <w:proofErr w:type="spellStart"/>
            <w:r w:rsidRPr="00D159D0">
              <w:rPr>
                <w:lang w:val="uk-UA"/>
              </w:rPr>
              <w:t>РБАнова</w:t>
            </w:r>
            <w:proofErr w:type="spellEnd"/>
            <w:r w:rsidRPr="00D159D0">
              <w:rPr>
                <w:lang w:val="uk-UA"/>
              </w:rPr>
              <w:t xml:space="preserve"> відповідно до середніх показників вартості боргу та вартості власного капіталу, яка може відрізнятися для кожного ОСР</w:t>
            </w:r>
          </w:p>
          <w:p w14:paraId="5F50FC0C" w14:textId="77777777" w:rsidR="00082A9A" w:rsidRPr="00D159D0" w:rsidRDefault="00082A9A" w:rsidP="004976F9">
            <w:pPr>
              <w:jc w:val="both"/>
              <w:rPr>
                <w:b/>
                <w:lang w:val="uk-UA"/>
              </w:rPr>
            </w:pPr>
          </w:p>
          <w:p w14:paraId="4B08B307" w14:textId="77777777" w:rsidR="005E55F6" w:rsidRPr="00D159D0" w:rsidRDefault="005E55F6" w:rsidP="004976F9">
            <w:pPr>
              <w:jc w:val="both"/>
              <w:rPr>
                <w:b/>
                <w:lang w:val="uk-UA"/>
              </w:rPr>
            </w:pPr>
          </w:p>
          <w:p w14:paraId="40E24F92" w14:textId="77777777" w:rsidR="009B0218" w:rsidRPr="00D159D0" w:rsidRDefault="009B0218" w:rsidP="009B0218">
            <w:pPr>
              <w:jc w:val="both"/>
              <w:rPr>
                <w:b/>
                <w:lang w:val="uk-UA"/>
              </w:rPr>
            </w:pPr>
            <w:r w:rsidRPr="00D159D0">
              <w:rPr>
                <w:b/>
                <w:lang w:val="uk-UA"/>
              </w:rPr>
              <w:lastRenderedPageBreak/>
              <w:t xml:space="preserve">USAID </w:t>
            </w:r>
            <w:proofErr w:type="spellStart"/>
            <w:r w:rsidRPr="00D159D0">
              <w:rPr>
                <w:b/>
                <w:lang w:val="uk-UA"/>
              </w:rPr>
              <w:t>Проєкт</w:t>
            </w:r>
            <w:proofErr w:type="spellEnd"/>
            <w:r w:rsidRPr="00D159D0">
              <w:rPr>
                <w:b/>
                <w:lang w:val="uk-UA"/>
              </w:rPr>
              <w:t xml:space="preserve"> енергетичної безпеки лист ESP-214-NEURC-2024-07-09</w:t>
            </w:r>
          </w:p>
          <w:p w14:paraId="155CC30F" w14:textId="77777777" w:rsidR="009B0218" w:rsidRPr="00D159D0" w:rsidRDefault="009B0218" w:rsidP="009B0218">
            <w:pPr>
              <w:jc w:val="both"/>
              <w:rPr>
                <w:lang w:val="uk-UA"/>
              </w:rPr>
            </w:pPr>
            <w:r w:rsidRPr="00D159D0">
              <w:rPr>
                <w:lang w:val="uk-UA"/>
              </w:rPr>
              <w:t xml:space="preserve">Підтримує відміну застосування показників ефективності для операційних контрольованих витрат та технологічних витрат для першого та другого класу напруги у зв’язку з тривалим воєнним станом, низьким показником виконання інвестиційної програми, пошкодженнями об’єктів критичної інфраструктури та високим ризиком  даних пошкоджень в майбутньому. </w:t>
            </w:r>
          </w:p>
          <w:p w14:paraId="22B3DE15" w14:textId="77777777" w:rsidR="009B0218" w:rsidRPr="00D159D0" w:rsidRDefault="009B0218" w:rsidP="004976F9">
            <w:pPr>
              <w:jc w:val="both"/>
              <w:rPr>
                <w:b/>
                <w:bCs/>
                <w:lang w:val="uk-UA"/>
              </w:rPr>
            </w:pPr>
          </w:p>
          <w:p w14:paraId="695B97FB" w14:textId="77777777" w:rsidR="009B0218" w:rsidRPr="00D159D0" w:rsidRDefault="009B0218" w:rsidP="004976F9">
            <w:pPr>
              <w:jc w:val="both"/>
              <w:rPr>
                <w:b/>
                <w:bCs/>
                <w:lang w:val="uk-UA"/>
              </w:rPr>
            </w:pPr>
          </w:p>
          <w:p w14:paraId="79E2558B" w14:textId="77777777" w:rsidR="009B0218" w:rsidRPr="00D159D0" w:rsidRDefault="009B0218" w:rsidP="004976F9">
            <w:pPr>
              <w:jc w:val="both"/>
              <w:rPr>
                <w:b/>
                <w:bCs/>
                <w:lang w:val="uk-UA"/>
              </w:rPr>
            </w:pPr>
          </w:p>
          <w:p w14:paraId="7AF89BC5" w14:textId="77777777" w:rsidR="004158F0" w:rsidRPr="00D159D0" w:rsidRDefault="004158F0" w:rsidP="004976F9">
            <w:pPr>
              <w:jc w:val="both"/>
              <w:rPr>
                <w:b/>
                <w:bCs/>
                <w:lang w:val="uk-UA"/>
              </w:rPr>
            </w:pPr>
            <w:r w:rsidRPr="00D159D0">
              <w:rPr>
                <w:b/>
                <w:bCs/>
                <w:lang w:val="uk-UA"/>
              </w:rPr>
              <w:t>ПрАТ «КІРОВОГРАДОБЛЕНЕРГО» лист від 17.07.2024 № 3142/05/34</w:t>
            </w:r>
          </w:p>
          <w:p w14:paraId="2E7CD286" w14:textId="77777777" w:rsidR="000654DA" w:rsidRPr="00D159D0" w:rsidRDefault="000654DA" w:rsidP="005E55F6">
            <w:pPr>
              <w:pStyle w:val="rvps2"/>
              <w:shd w:val="clear" w:color="auto" w:fill="FFFFFF"/>
              <w:spacing w:before="0" w:beforeAutospacing="0" w:after="0" w:afterAutospacing="0"/>
              <w:jc w:val="both"/>
              <w:rPr>
                <w:u w:val="single"/>
              </w:rPr>
            </w:pPr>
            <w:r w:rsidRPr="00D159D0">
              <w:t xml:space="preserve">11) рік з початку переходу на стимулююче регулювання, у якому має бути досягнуто встановлений цільовий показник якості послуг, - </w:t>
            </w:r>
            <w:r w:rsidRPr="00D159D0">
              <w:rPr>
                <w:b/>
              </w:rPr>
              <w:t>15</w:t>
            </w:r>
            <w:r w:rsidRPr="00D159D0">
              <w:t xml:space="preserve">-й рік, </w:t>
            </w:r>
            <w:r w:rsidRPr="00D159D0">
              <w:rPr>
                <w:b/>
                <w:bCs/>
              </w:rPr>
              <w:t xml:space="preserve">крім ліцензіатів – перелік яких наведено в додатку 30 до Порядку встановлення (формування) тарифів та ліцензіатів, контролером або кінцевим </w:t>
            </w:r>
            <w:proofErr w:type="spellStart"/>
            <w:r w:rsidRPr="00D159D0">
              <w:rPr>
                <w:b/>
                <w:bCs/>
              </w:rPr>
              <w:t>бенефіціарним</w:t>
            </w:r>
            <w:proofErr w:type="spellEnd"/>
            <w:r w:rsidRPr="00D159D0">
              <w:rPr>
                <w:b/>
                <w:bCs/>
              </w:rPr>
              <w:t xml:space="preserve"> власником контрольного пакету акцій яких є фізичні або юридичні особи, щодо яких застосовано економічні та обмежувальні заходи (санкції), для яких рік з початку переходу на стимулююче регулювання, у якому має бути досягнуто встановлений цільовий показник якості послуг, - </w:t>
            </w:r>
            <w:r w:rsidRPr="00D159D0">
              <w:rPr>
                <w:b/>
                <w:bCs/>
                <w:u w:val="single"/>
              </w:rPr>
              <w:t>17 рік;</w:t>
            </w:r>
          </w:p>
          <w:p w14:paraId="05A51F32" w14:textId="77777777" w:rsidR="000654DA" w:rsidRPr="00D159D0" w:rsidRDefault="000654DA" w:rsidP="004976F9">
            <w:pPr>
              <w:shd w:val="clear" w:color="auto" w:fill="FFFFFF"/>
              <w:ind w:firstLine="488"/>
              <w:jc w:val="both"/>
              <w:rPr>
                <w:lang w:val="uk-UA" w:eastAsia="uk-UA"/>
              </w:rPr>
            </w:pPr>
          </w:p>
          <w:p w14:paraId="2AAA83B4" w14:textId="77777777" w:rsidR="00C15EDC" w:rsidRPr="00D159D0" w:rsidRDefault="00A26411" w:rsidP="004976F9">
            <w:pPr>
              <w:jc w:val="both"/>
              <w:rPr>
                <w:i/>
                <w:iCs/>
                <w:lang w:val="uk-UA"/>
              </w:rPr>
            </w:pPr>
            <w:r w:rsidRPr="00D159D0">
              <w:rPr>
                <w:i/>
                <w:iCs/>
                <w:lang w:val="uk-UA" w:eastAsia="uk-UA"/>
              </w:rPr>
              <w:t>Вважаємо</w:t>
            </w:r>
            <w:r w:rsidR="00FA5A56" w:rsidRPr="00D159D0">
              <w:rPr>
                <w:i/>
                <w:iCs/>
                <w:lang w:val="uk-UA" w:eastAsia="uk-UA"/>
              </w:rPr>
              <w:t xml:space="preserve"> за доцільне для ліцензіатів, перелік яких наведено в додатку 30 до Порядку встановлення (формування) тарифів та для ліцензіатів, контролером або кінцевим </w:t>
            </w:r>
            <w:proofErr w:type="spellStart"/>
            <w:r w:rsidR="00FA5A56" w:rsidRPr="00D159D0">
              <w:rPr>
                <w:i/>
                <w:iCs/>
                <w:lang w:val="uk-UA" w:eastAsia="uk-UA"/>
              </w:rPr>
              <w:t>бенефіціарним</w:t>
            </w:r>
            <w:proofErr w:type="spellEnd"/>
            <w:r w:rsidR="00FA5A56" w:rsidRPr="00D159D0">
              <w:rPr>
                <w:i/>
                <w:iCs/>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 подовжити регуляторний період до 7 років та встановити рік з початку переходу на стимулююче </w:t>
            </w:r>
            <w:r w:rsidR="00FA5A56" w:rsidRPr="00D159D0">
              <w:rPr>
                <w:i/>
                <w:iCs/>
                <w:lang w:val="uk-UA" w:eastAsia="uk-UA"/>
              </w:rPr>
              <w:lastRenderedPageBreak/>
              <w:t>регулювання, у якому має бути досягнуто встановлений цільовий показник якості послуг –  17-й.</w:t>
            </w:r>
          </w:p>
          <w:p w14:paraId="6A8B4F41" w14:textId="77777777" w:rsidR="00C15EDC" w:rsidRPr="00D159D0" w:rsidRDefault="00C15EDC" w:rsidP="004976F9">
            <w:pPr>
              <w:jc w:val="both"/>
              <w:rPr>
                <w:b/>
                <w:bCs/>
                <w:lang w:val="uk-UA"/>
              </w:rPr>
            </w:pPr>
          </w:p>
          <w:p w14:paraId="77EADFC1" w14:textId="77777777" w:rsidR="00B85FC5" w:rsidRPr="00D159D0" w:rsidRDefault="00B85FC5" w:rsidP="004976F9">
            <w:pPr>
              <w:jc w:val="both"/>
              <w:rPr>
                <w:b/>
                <w:bCs/>
                <w:lang w:val="uk-UA"/>
              </w:rPr>
            </w:pPr>
          </w:p>
          <w:p w14:paraId="1D6B5603" w14:textId="77777777" w:rsidR="00B85FC5" w:rsidRPr="00D159D0" w:rsidRDefault="00B85FC5" w:rsidP="004976F9">
            <w:pPr>
              <w:jc w:val="both"/>
              <w:rPr>
                <w:b/>
                <w:bCs/>
                <w:lang w:val="uk-UA"/>
              </w:rPr>
            </w:pPr>
          </w:p>
          <w:p w14:paraId="7D6C59A9" w14:textId="77777777" w:rsidR="00C15EDC" w:rsidRPr="00D159D0" w:rsidRDefault="00C15EDC" w:rsidP="004976F9">
            <w:pPr>
              <w:jc w:val="both"/>
              <w:rPr>
                <w:b/>
                <w:lang w:val="uk-UA"/>
              </w:rPr>
            </w:pPr>
            <w:r w:rsidRPr="00D159D0">
              <w:rPr>
                <w:b/>
                <w:lang w:val="uk-UA"/>
              </w:rPr>
              <w:t>ТОВ «ДТЕК ВИСОКОВОЛЬТНІ МЕРЕЖІ» лист від 17.07.2024 № 08-61/935</w:t>
            </w:r>
          </w:p>
          <w:p w14:paraId="40B89B8F" w14:textId="77777777" w:rsidR="00C15EDC" w:rsidRPr="00D159D0" w:rsidRDefault="00C15EDC" w:rsidP="004976F9">
            <w:pPr>
              <w:jc w:val="both"/>
              <w:rPr>
                <w:b/>
                <w:lang w:val="uk-UA"/>
              </w:rPr>
            </w:pPr>
            <w:r w:rsidRPr="00D159D0">
              <w:rPr>
                <w:b/>
                <w:lang w:val="uk-UA"/>
              </w:rPr>
              <w:t>АТ «ДТЕК ДОНЕЦЬКІ ЕЛЕКТРОМЕРЕЖІ» лист від 17.07.2024 № 06/9956</w:t>
            </w:r>
          </w:p>
          <w:p w14:paraId="05349DD6"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4E97C8E6" w14:textId="77777777" w:rsidR="00C15EDC" w:rsidRPr="00D159D0" w:rsidRDefault="00C15EDC" w:rsidP="004976F9">
            <w:pPr>
              <w:shd w:val="clear" w:color="auto" w:fill="FFFFFF"/>
              <w:ind w:firstLine="488"/>
              <w:jc w:val="both"/>
              <w:rPr>
                <w:lang w:val="uk-UA" w:eastAsia="uk-UA"/>
              </w:rPr>
            </w:pPr>
            <w:r w:rsidRPr="00D159D0">
              <w:rPr>
                <w:lang w:val="uk-UA" w:eastAsia="uk-UA"/>
              </w:rPr>
              <w:t>12) коефіцієнт поправки на зміну кількості умовних одиниць обладнання - 0,7.</w:t>
            </w:r>
          </w:p>
          <w:p w14:paraId="3002F533" w14:textId="77777777" w:rsidR="00C15EDC" w:rsidRPr="00D159D0" w:rsidRDefault="00C15EDC" w:rsidP="004976F9">
            <w:pPr>
              <w:shd w:val="clear" w:color="auto" w:fill="FFFFFF"/>
              <w:ind w:firstLine="488"/>
              <w:jc w:val="both"/>
              <w:outlineLvl w:val="2"/>
              <w:rPr>
                <w:b/>
                <w:bCs/>
                <w:lang w:val="uk-UA" w:eastAsia="uk-UA"/>
              </w:rPr>
            </w:pPr>
          </w:p>
          <w:p w14:paraId="7C85709A" w14:textId="77777777" w:rsidR="00C15EDC" w:rsidRPr="00D159D0" w:rsidRDefault="00C15EDC" w:rsidP="004976F9">
            <w:pPr>
              <w:jc w:val="both"/>
              <w:rPr>
                <w:i/>
                <w:iCs/>
                <w:lang w:val="uk-UA"/>
              </w:rPr>
            </w:pPr>
            <w:r w:rsidRPr="00D159D0">
              <w:rPr>
                <w:i/>
                <w:iCs/>
                <w:lang w:val="uk-UA"/>
              </w:rPr>
              <w:t xml:space="preserve">За 2022 - 2024 роки для ліцензіатів, перелік яких наведено в додатку 30 до Порядку встановлення (формування) тарифів, при визначенні </w:t>
            </w:r>
            <w:proofErr w:type="spellStart"/>
            <w:r w:rsidRPr="00D159D0">
              <w:rPr>
                <w:i/>
                <w:iCs/>
                <w:lang w:val="uk-UA"/>
              </w:rPr>
              <w:t>ОКВу</w:t>
            </w:r>
            <w:proofErr w:type="spellEnd"/>
            <w:r w:rsidRPr="00D159D0">
              <w:rPr>
                <w:i/>
                <w:iCs/>
                <w:lang w:val="uk-UA"/>
              </w:rPr>
              <w:t xml:space="preserve"> показник КУ (коефіцієнт поправки на зміну кількості умовних одиниць обладнання) приймається на рівні нуля.</w:t>
            </w:r>
          </w:p>
        </w:tc>
        <w:tc>
          <w:tcPr>
            <w:tcW w:w="3544" w:type="dxa"/>
          </w:tcPr>
          <w:p w14:paraId="38772FEE" w14:textId="56976ED0" w:rsidR="00A95B3A" w:rsidRPr="00D159D0" w:rsidRDefault="005E55F6" w:rsidP="00FC35B1">
            <w:pPr>
              <w:widowControl w:val="0"/>
              <w:suppressAutoHyphens/>
              <w:ind w:firstLine="34"/>
              <w:contextualSpacing/>
              <w:jc w:val="both"/>
              <w:rPr>
                <w:b/>
                <w:bCs/>
                <w:lang w:val="uk-UA"/>
              </w:rPr>
            </w:pPr>
            <w:r w:rsidRPr="00D159D0">
              <w:rPr>
                <w:b/>
                <w:bCs/>
                <w:lang w:val="uk-UA"/>
              </w:rPr>
              <w:lastRenderedPageBreak/>
              <w:t>Прийнято до відома</w:t>
            </w:r>
          </w:p>
          <w:p w14:paraId="12A5C183" w14:textId="77777777" w:rsidR="00A95B3A" w:rsidRPr="00D159D0" w:rsidRDefault="00A95B3A" w:rsidP="00FC35B1">
            <w:pPr>
              <w:widowControl w:val="0"/>
              <w:suppressAutoHyphens/>
              <w:ind w:firstLine="34"/>
              <w:contextualSpacing/>
              <w:jc w:val="both"/>
              <w:rPr>
                <w:b/>
                <w:bCs/>
                <w:lang w:val="uk-UA"/>
              </w:rPr>
            </w:pPr>
          </w:p>
          <w:p w14:paraId="451F0712" w14:textId="77777777" w:rsidR="00A95B3A" w:rsidRPr="00D159D0" w:rsidRDefault="00A95B3A" w:rsidP="00FC35B1">
            <w:pPr>
              <w:widowControl w:val="0"/>
              <w:suppressAutoHyphens/>
              <w:ind w:firstLine="34"/>
              <w:contextualSpacing/>
              <w:jc w:val="both"/>
              <w:rPr>
                <w:b/>
                <w:bCs/>
                <w:lang w:val="uk-UA"/>
              </w:rPr>
            </w:pPr>
          </w:p>
          <w:p w14:paraId="270A9F27" w14:textId="77777777" w:rsidR="00A95B3A" w:rsidRPr="00D159D0" w:rsidRDefault="00A95B3A" w:rsidP="00FC35B1">
            <w:pPr>
              <w:widowControl w:val="0"/>
              <w:suppressAutoHyphens/>
              <w:ind w:firstLine="34"/>
              <w:contextualSpacing/>
              <w:jc w:val="both"/>
              <w:rPr>
                <w:b/>
                <w:bCs/>
                <w:lang w:val="uk-UA"/>
              </w:rPr>
            </w:pPr>
          </w:p>
          <w:p w14:paraId="51B69C2E" w14:textId="77777777" w:rsidR="00A95B3A" w:rsidRPr="00D159D0" w:rsidRDefault="00A95B3A" w:rsidP="00FC35B1">
            <w:pPr>
              <w:widowControl w:val="0"/>
              <w:suppressAutoHyphens/>
              <w:ind w:firstLine="34"/>
              <w:contextualSpacing/>
              <w:jc w:val="both"/>
              <w:rPr>
                <w:b/>
                <w:bCs/>
                <w:lang w:val="uk-UA"/>
              </w:rPr>
            </w:pPr>
          </w:p>
          <w:p w14:paraId="263DC44D" w14:textId="7A21EB2A" w:rsidR="00DC5F66" w:rsidRPr="00D159D0" w:rsidRDefault="00DC5F66" w:rsidP="00FC35B1">
            <w:pPr>
              <w:widowControl w:val="0"/>
              <w:suppressAutoHyphens/>
              <w:ind w:firstLine="34"/>
              <w:contextualSpacing/>
              <w:jc w:val="both"/>
              <w:rPr>
                <w:b/>
                <w:bCs/>
                <w:lang w:val="uk-UA"/>
              </w:rPr>
            </w:pPr>
            <w:r w:rsidRPr="00D159D0">
              <w:rPr>
                <w:b/>
                <w:bCs/>
                <w:lang w:val="uk-UA"/>
              </w:rPr>
              <w:t>Загальна позиція</w:t>
            </w:r>
            <w:r w:rsidR="000604B1" w:rsidRPr="00D159D0">
              <w:rPr>
                <w:b/>
                <w:bCs/>
                <w:lang w:val="uk-UA"/>
              </w:rPr>
              <w:t xml:space="preserve"> щодо підпунктів 1 та 2</w:t>
            </w:r>
          </w:p>
          <w:p w14:paraId="2AA0774B" w14:textId="77777777" w:rsidR="00FC35B1" w:rsidRPr="00D159D0" w:rsidRDefault="00FC35B1" w:rsidP="00FC35B1">
            <w:pPr>
              <w:widowControl w:val="0"/>
              <w:suppressAutoHyphens/>
              <w:ind w:firstLine="34"/>
              <w:contextualSpacing/>
              <w:jc w:val="both"/>
              <w:rPr>
                <w:b/>
                <w:bCs/>
                <w:lang w:val="uk-UA"/>
              </w:rPr>
            </w:pPr>
            <w:r w:rsidRPr="00D159D0">
              <w:rPr>
                <w:b/>
                <w:bCs/>
                <w:lang w:val="uk-UA"/>
              </w:rPr>
              <w:t>Не враховано</w:t>
            </w:r>
          </w:p>
          <w:p w14:paraId="690D505C" w14:textId="77777777" w:rsidR="00FC35B1" w:rsidRPr="00D159D0" w:rsidRDefault="00FC35B1" w:rsidP="00FC35B1">
            <w:pPr>
              <w:widowControl w:val="0"/>
              <w:suppressAutoHyphens/>
              <w:ind w:firstLine="34"/>
              <w:contextualSpacing/>
              <w:jc w:val="both"/>
              <w:rPr>
                <w:lang w:val="uk-UA"/>
              </w:rPr>
            </w:pPr>
            <w:r w:rsidRPr="00D159D0">
              <w:rPr>
                <w:b/>
                <w:bCs/>
                <w:lang w:val="uk-UA"/>
              </w:rPr>
              <w:t>Недостатньо обґрунтована пропозиція</w:t>
            </w:r>
            <w:r w:rsidRPr="00D159D0">
              <w:rPr>
                <w:lang w:val="uk-UA"/>
              </w:rPr>
              <w:t>.</w:t>
            </w:r>
          </w:p>
          <w:p w14:paraId="3ED0CAA4" w14:textId="77777777" w:rsidR="00FC35B1" w:rsidRPr="00D159D0" w:rsidRDefault="00FC35B1" w:rsidP="00FC35B1">
            <w:pPr>
              <w:ind w:firstLine="34"/>
              <w:jc w:val="both"/>
              <w:rPr>
                <w:lang w:val="uk-UA"/>
              </w:rPr>
            </w:pPr>
            <w:r w:rsidRPr="00D159D0">
              <w:rPr>
                <w:lang w:val="uk-UA"/>
              </w:rPr>
              <w:t>Змінами до Проєкту рішення враховано те, що:</w:t>
            </w:r>
          </w:p>
          <w:p w14:paraId="6AFABAA9" w14:textId="77777777" w:rsidR="00FC35B1" w:rsidRPr="00D159D0" w:rsidRDefault="00FC35B1" w:rsidP="00FC35B1">
            <w:pPr>
              <w:ind w:firstLine="34"/>
              <w:jc w:val="both"/>
              <w:rPr>
                <w:lang w:val="uk-UA"/>
              </w:rPr>
            </w:pPr>
            <w:r w:rsidRPr="00D159D0">
              <w:rPr>
                <w:lang w:val="uk-UA"/>
              </w:rPr>
              <w:t xml:space="preserve">певна частина активів ОСР, які здійснюють свою діяльність на територіях, на яких ведуться (велися) бойові дії або </w:t>
            </w:r>
            <w:r w:rsidRPr="00D159D0">
              <w:rPr>
                <w:lang w:val="uk-UA"/>
              </w:rPr>
              <w:lastRenderedPageBreak/>
              <w:t xml:space="preserve">тимчасово окупованих </w:t>
            </w:r>
            <w:proofErr w:type="spellStart"/>
            <w:r w:rsidRPr="00D159D0">
              <w:rPr>
                <w:lang w:val="uk-UA"/>
              </w:rPr>
              <w:t>рф</w:t>
            </w:r>
            <w:proofErr w:type="spellEnd"/>
            <w:r w:rsidRPr="00D159D0">
              <w:rPr>
                <w:lang w:val="uk-UA"/>
              </w:rPr>
              <w:t xml:space="preserve"> (далі – прифронтові ОСР), залишається на тимчасово окупованій території, у зв’язку з чим неможливо визначити наявність та належність значної кількості активів РБА «старої» та РБА «нової»;</w:t>
            </w:r>
          </w:p>
          <w:p w14:paraId="2FD7D15E" w14:textId="77777777" w:rsidR="00DC5F66" w:rsidRPr="00D159D0" w:rsidRDefault="00FC35B1" w:rsidP="00FC35B1">
            <w:pPr>
              <w:pStyle w:val="a3"/>
              <w:ind w:left="0" w:firstLine="34"/>
              <w:jc w:val="both"/>
              <w:rPr>
                <w:lang w:val="uk-UA"/>
              </w:rPr>
            </w:pPr>
            <w:r w:rsidRPr="00D159D0">
              <w:rPr>
                <w:lang w:val="uk-UA"/>
              </w:rPr>
              <w:t>рішення РНБО, введене в дію Указом Президента від 12.05.2023 № 279/2023 «</w:t>
            </w:r>
            <w:r w:rsidRPr="00D159D0">
              <w:rPr>
                <w:i/>
                <w:iCs/>
                <w:lang w:val="uk-UA"/>
              </w:rPr>
              <w:t>Про рішення Ради національної безпеки і оборони України від 12 травня 2023 року «Про застосування персональних спеціальних економічних та інших обмежувальних заходів (санкцій)»</w:t>
            </w:r>
            <w:r w:rsidR="00DC5F66" w:rsidRPr="00D159D0">
              <w:rPr>
                <w:i/>
                <w:iCs/>
                <w:lang w:val="uk-UA"/>
              </w:rPr>
              <w:t>»</w:t>
            </w:r>
            <w:r w:rsidRPr="00D159D0">
              <w:rPr>
                <w:i/>
                <w:iCs/>
                <w:lang w:val="uk-UA"/>
              </w:rPr>
              <w:t xml:space="preserve">, </w:t>
            </w:r>
            <w:r w:rsidRPr="00D159D0">
              <w:rPr>
                <w:lang w:val="uk-UA"/>
              </w:rPr>
              <w:t xml:space="preserve">є чинним. Також, на сьогодні відсутня позиція Уряду та РНБО стосовно достатності підстав для застосування обмежувальних заходів. </w:t>
            </w:r>
            <w:r w:rsidR="00DC5F66" w:rsidRPr="00D159D0">
              <w:rPr>
                <w:lang w:val="uk-UA"/>
              </w:rPr>
              <w:t>Крім того,</w:t>
            </w:r>
            <w:r w:rsidRPr="00D159D0">
              <w:rPr>
                <w:lang w:val="uk-UA"/>
              </w:rPr>
              <w:t xml:space="preserve"> судові розгляди тривають і остаточного рішення не винесено</w:t>
            </w:r>
            <w:r w:rsidR="00DC5F66" w:rsidRPr="00D159D0">
              <w:rPr>
                <w:lang w:val="uk-UA"/>
              </w:rPr>
              <w:t>.</w:t>
            </w:r>
          </w:p>
          <w:p w14:paraId="0587D340" w14:textId="77777777" w:rsidR="00FC35B1" w:rsidRPr="00D159D0" w:rsidRDefault="00FC35B1" w:rsidP="00DC5F66">
            <w:pPr>
              <w:jc w:val="both"/>
              <w:rPr>
                <w:highlight w:val="yellow"/>
                <w:lang w:val="uk-UA"/>
              </w:rPr>
            </w:pPr>
          </w:p>
          <w:p w14:paraId="46BFF865" w14:textId="77777777" w:rsidR="00456F55" w:rsidRPr="00D159D0" w:rsidRDefault="00DC5F66" w:rsidP="00456F55">
            <w:pPr>
              <w:tabs>
                <w:tab w:val="left" w:pos="0"/>
              </w:tabs>
              <w:jc w:val="both"/>
              <w:rPr>
                <w:lang w:val="uk-UA"/>
              </w:rPr>
            </w:pPr>
            <w:r w:rsidRPr="00D159D0">
              <w:rPr>
                <w:lang w:val="uk-UA"/>
              </w:rPr>
              <w:t>Також, з</w:t>
            </w:r>
            <w:r w:rsidR="00456F55" w:rsidRPr="00D159D0">
              <w:rPr>
                <w:lang w:val="uk-UA"/>
              </w:rPr>
              <w:t>апропонован</w:t>
            </w:r>
            <w:r w:rsidRPr="00D159D0">
              <w:rPr>
                <w:lang w:val="uk-UA"/>
              </w:rPr>
              <w:t>і</w:t>
            </w:r>
            <w:r w:rsidR="00456F55" w:rsidRPr="00D159D0">
              <w:rPr>
                <w:lang w:val="uk-UA"/>
              </w:rPr>
              <w:t xml:space="preserve"> пропозиці</w:t>
            </w:r>
            <w:r w:rsidRPr="00D159D0">
              <w:rPr>
                <w:lang w:val="uk-UA"/>
              </w:rPr>
              <w:t>ї</w:t>
            </w:r>
            <w:r w:rsidR="00456F55" w:rsidRPr="00D159D0">
              <w:rPr>
                <w:lang w:val="uk-UA"/>
              </w:rPr>
              <w:t xml:space="preserve"> ма</w:t>
            </w:r>
            <w:r w:rsidRPr="00D159D0">
              <w:rPr>
                <w:lang w:val="uk-UA"/>
              </w:rPr>
              <w:t>ють</w:t>
            </w:r>
            <w:r w:rsidR="00456F55" w:rsidRPr="00D159D0">
              <w:rPr>
                <w:lang w:val="uk-UA"/>
              </w:rPr>
              <w:t xml:space="preserve"> розглядатися</w:t>
            </w:r>
            <w:r w:rsidR="00FC35B1" w:rsidRPr="00D159D0">
              <w:rPr>
                <w:lang w:val="uk-UA"/>
              </w:rPr>
              <w:t xml:space="preserve"> </w:t>
            </w:r>
            <w:r w:rsidR="00456F55" w:rsidRPr="00D159D0">
              <w:rPr>
                <w:lang w:val="uk-UA"/>
              </w:rPr>
              <w:t>з урахуванням балансу інтересів учасників ринку та споживачів, особливо в умовах воєнного часу.</w:t>
            </w:r>
          </w:p>
          <w:p w14:paraId="2675EAB7" w14:textId="668CBE8E" w:rsidR="00A95B3A" w:rsidRPr="00D159D0" w:rsidRDefault="00A95B3A" w:rsidP="00A95B3A">
            <w:pPr>
              <w:jc w:val="both"/>
              <w:rPr>
                <w:b/>
                <w:bCs/>
                <w:lang w:val="uk-UA"/>
              </w:rPr>
            </w:pPr>
            <w:r w:rsidRPr="00D159D0">
              <w:rPr>
                <w:b/>
                <w:lang w:val="uk-UA"/>
              </w:rPr>
              <w:t xml:space="preserve">Пропонується </w:t>
            </w:r>
            <w:r w:rsidRPr="00D159D0">
              <w:rPr>
                <w:b/>
                <w:bCs/>
                <w:lang w:val="uk-UA"/>
              </w:rPr>
              <w:t xml:space="preserve">запропоновані пропозиції стосовно діяльності прифронтових ОСР розглянути під </w:t>
            </w:r>
          </w:p>
          <w:p w14:paraId="4DA912BB" w14:textId="0979CD2B" w:rsidR="00A26411" w:rsidRPr="00D159D0" w:rsidRDefault="00A95B3A" w:rsidP="00A95B3A">
            <w:pPr>
              <w:jc w:val="both"/>
              <w:rPr>
                <w:b/>
                <w:bCs/>
                <w:lang w:val="uk-UA"/>
              </w:rPr>
            </w:pPr>
            <w:r w:rsidRPr="00D159D0">
              <w:rPr>
                <w:b/>
                <w:bCs/>
                <w:lang w:val="uk-UA"/>
              </w:rPr>
              <w:lastRenderedPageBreak/>
              <w:t>час формування окремого блоку чергових змін до Порядку.</w:t>
            </w:r>
          </w:p>
          <w:p w14:paraId="6A407A2E" w14:textId="77777777" w:rsidR="00A26411" w:rsidRPr="00D159D0" w:rsidRDefault="00A26411" w:rsidP="004976F9">
            <w:pPr>
              <w:jc w:val="both"/>
              <w:rPr>
                <w:b/>
                <w:bCs/>
                <w:lang w:val="uk-UA"/>
              </w:rPr>
            </w:pPr>
          </w:p>
          <w:p w14:paraId="469C2647" w14:textId="77777777" w:rsidR="00A26411" w:rsidRPr="00D159D0" w:rsidRDefault="00A26411" w:rsidP="004976F9">
            <w:pPr>
              <w:jc w:val="both"/>
              <w:rPr>
                <w:b/>
                <w:bCs/>
                <w:lang w:val="uk-UA"/>
              </w:rPr>
            </w:pPr>
          </w:p>
          <w:p w14:paraId="6F755D63" w14:textId="77777777" w:rsidR="00A26411" w:rsidRPr="00D159D0" w:rsidRDefault="00A26411" w:rsidP="004976F9">
            <w:pPr>
              <w:jc w:val="both"/>
              <w:rPr>
                <w:b/>
                <w:bCs/>
                <w:lang w:val="uk-UA"/>
              </w:rPr>
            </w:pPr>
          </w:p>
          <w:p w14:paraId="048C98E1" w14:textId="77777777" w:rsidR="00A26411" w:rsidRPr="00D159D0" w:rsidRDefault="00A26411" w:rsidP="004976F9">
            <w:pPr>
              <w:jc w:val="both"/>
              <w:rPr>
                <w:b/>
                <w:bCs/>
                <w:lang w:val="uk-UA"/>
              </w:rPr>
            </w:pPr>
          </w:p>
          <w:p w14:paraId="20D1913C" w14:textId="77777777" w:rsidR="00A26411" w:rsidRPr="00D159D0" w:rsidRDefault="00A26411" w:rsidP="004976F9">
            <w:pPr>
              <w:jc w:val="both"/>
              <w:rPr>
                <w:b/>
                <w:bCs/>
                <w:lang w:val="uk-UA"/>
              </w:rPr>
            </w:pPr>
          </w:p>
          <w:p w14:paraId="22BD65B1" w14:textId="77777777" w:rsidR="00A26411" w:rsidRPr="00D159D0" w:rsidRDefault="00A26411" w:rsidP="004976F9">
            <w:pPr>
              <w:jc w:val="both"/>
              <w:rPr>
                <w:b/>
                <w:bCs/>
                <w:lang w:val="uk-UA"/>
              </w:rPr>
            </w:pPr>
          </w:p>
          <w:p w14:paraId="56F3084C" w14:textId="77777777" w:rsidR="00A26411" w:rsidRPr="00D159D0" w:rsidRDefault="00A26411" w:rsidP="004976F9">
            <w:pPr>
              <w:jc w:val="both"/>
              <w:rPr>
                <w:b/>
                <w:bCs/>
                <w:lang w:val="uk-UA"/>
              </w:rPr>
            </w:pPr>
          </w:p>
          <w:p w14:paraId="44923303" w14:textId="77777777" w:rsidR="00A26411" w:rsidRPr="00D159D0" w:rsidRDefault="00A26411" w:rsidP="004976F9">
            <w:pPr>
              <w:jc w:val="both"/>
              <w:rPr>
                <w:b/>
                <w:bCs/>
                <w:lang w:val="uk-UA"/>
              </w:rPr>
            </w:pPr>
          </w:p>
          <w:p w14:paraId="37BBC70B" w14:textId="77777777" w:rsidR="00A26411" w:rsidRPr="00D159D0" w:rsidRDefault="00A26411" w:rsidP="004976F9">
            <w:pPr>
              <w:jc w:val="both"/>
              <w:rPr>
                <w:b/>
                <w:bCs/>
                <w:lang w:val="uk-UA"/>
              </w:rPr>
            </w:pPr>
          </w:p>
          <w:p w14:paraId="39CFB961" w14:textId="77777777" w:rsidR="00A26411" w:rsidRPr="00D159D0" w:rsidRDefault="00A26411" w:rsidP="004976F9">
            <w:pPr>
              <w:jc w:val="both"/>
              <w:rPr>
                <w:b/>
                <w:bCs/>
                <w:lang w:val="uk-UA"/>
              </w:rPr>
            </w:pPr>
          </w:p>
          <w:p w14:paraId="7107838B" w14:textId="77777777" w:rsidR="00A26411" w:rsidRPr="00D159D0" w:rsidRDefault="00A26411" w:rsidP="004976F9">
            <w:pPr>
              <w:jc w:val="both"/>
              <w:rPr>
                <w:b/>
                <w:bCs/>
                <w:lang w:val="uk-UA"/>
              </w:rPr>
            </w:pPr>
          </w:p>
          <w:p w14:paraId="484E6C5F" w14:textId="77777777" w:rsidR="00A26411" w:rsidRPr="00D159D0" w:rsidRDefault="00A26411" w:rsidP="004976F9">
            <w:pPr>
              <w:jc w:val="both"/>
              <w:rPr>
                <w:b/>
                <w:bCs/>
                <w:lang w:val="uk-UA"/>
              </w:rPr>
            </w:pPr>
          </w:p>
          <w:p w14:paraId="03A0628A" w14:textId="77777777" w:rsidR="00A26411" w:rsidRPr="00D159D0" w:rsidRDefault="00A26411" w:rsidP="004976F9">
            <w:pPr>
              <w:jc w:val="both"/>
              <w:rPr>
                <w:b/>
                <w:bCs/>
                <w:lang w:val="uk-UA"/>
              </w:rPr>
            </w:pPr>
          </w:p>
          <w:p w14:paraId="3AF0FC6F" w14:textId="77777777" w:rsidR="00A26411" w:rsidRPr="00D159D0" w:rsidRDefault="00A26411" w:rsidP="004976F9">
            <w:pPr>
              <w:jc w:val="both"/>
              <w:rPr>
                <w:b/>
                <w:bCs/>
                <w:lang w:val="uk-UA"/>
              </w:rPr>
            </w:pPr>
          </w:p>
          <w:p w14:paraId="4A10FFEC" w14:textId="77777777" w:rsidR="00A26411" w:rsidRPr="00D159D0" w:rsidRDefault="00A26411" w:rsidP="004976F9">
            <w:pPr>
              <w:jc w:val="both"/>
              <w:rPr>
                <w:b/>
                <w:bCs/>
                <w:lang w:val="uk-UA"/>
              </w:rPr>
            </w:pPr>
          </w:p>
          <w:p w14:paraId="0936D329" w14:textId="77777777" w:rsidR="00A26411" w:rsidRPr="00D159D0" w:rsidRDefault="00A26411" w:rsidP="004976F9">
            <w:pPr>
              <w:jc w:val="both"/>
              <w:rPr>
                <w:b/>
                <w:bCs/>
                <w:lang w:val="uk-UA"/>
              </w:rPr>
            </w:pPr>
          </w:p>
          <w:p w14:paraId="174F77E1" w14:textId="77777777" w:rsidR="00A26411" w:rsidRPr="00D159D0" w:rsidRDefault="00A26411" w:rsidP="004976F9">
            <w:pPr>
              <w:jc w:val="both"/>
              <w:rPr>
                <w:b/>
                <w:bCs/>
                <w:lang w:val="uk-UA"/>
              </w:rPr>
            </w:pPr>
          </w:p>
          <w:p w14:paraId="5EB6BE1D" w14:textId="77777777" w:rsidR="00A26411" w:rsidRPr="00D159D0" w:rsidRDefault="00A26411" w:rsidP="004976F9">
            <w:pPr>
              <w:jc w:val="both"/>
              <w:rPr>
                <w:b/>
                <w:bCs/>
                <w:lang w:val="uk-UA"/>
              </w:rPr>
            </w:pPr>
          </w:p>
          <w:p w14:paraId="23A85466" w14:textId="77777777" w:rsidR="00A26411" w:rsidRPr="00D159D0" w:rsidRDefault="00A26411" w:rsidP="004976F9">
            <w:pPr>
              <w:jc w:val="both"/>
              <w:rPr>
                <w:b/>
                <w:bCs/>
                <w:lang w:val="uk-UA"/>
              </w:rPr>
            </w:pPr>
          </w:p>
          <w:p w14:paraId="0BBA9C2F" w14:textId="77777777" w:rsidR="00A26411" w:rsidRPr="00D159D0" w:rsidRDefault="00A26411" w:rsidP="004976F9">
            <w:pPr>
              <w:jc w:val="both"/>
              <w:rPr>
                <w:b/>
                <w:bCs/>
                <w:lang w:val="uk-UA"/>
              </w:rPr>
            </w:pPr>
          </w:p>
          <w:p w14:paraId="1106635C" w14:textId="77777777" w:rsidR="00A26411" w:rsidRPr="00D159D0" w:rsidRDefault="00A26411" w:rsidP="004976F9">
            <w:pPr>
              <w:jc w:val="both"/>
              <w:rPr>
                <w:b/>
                <w:bCs/>
                <w:lang w:val="uk-UA"/>
              </w:rPr>
            </w:pPr>
          </w:p>
          <w:p w14:paraId="3D1E814F" w14:textId="77777777" w:rsidR="00A26411" w:rsidRPr="00D159D0" w:rsidRDefault="00A26411" w:rsidP="004976F9">
            <w:pPr>
              <w:jc w:val="both"/>
              <w:rPr>
                <w:b/>
                <w:bCs/>
                <w:lang w:val="uk-UA"/>
              </w:rPr>
            </w:pPr>
          </w:p>
          <w:p w14:paraId="56539913" w14:textId="77777777" w:rsidR="00A26411" w:rsidRPr="00D159D0" w:rsidRDefault="00A26411" w:rsidP="004976F9">
            <w:pPr>
              <w:jc w:val="both"/>
              <w:rPr>
                <w:b/>
                <w:bCs/>
                <w:lang w:val="uk-UA"/>
              </w:rPr>
            </w:pPr>
          </w:p>
          <w:p w14:paraId="602464E3" w14:textId="77777777" w:rsidR="00A26411" w:rsidRPr="00D159D0" w:rsidRDefault="00A26411" w:rsidP="004976F9">
            <w:pPr>
              <w:jc w:val="both"/>
              <w:rPr>
                <w:b/>
                <w:bCs/>
                <w:lang w:val="uk-UA"/>
              </w:rPr>
            </w:pPr>
          </w:p>
          <w:p w14:paraId="6F3F4363" w14:textId="77777777" w:rsidR="00A26411" w:rsidRPr="00D159D0" w:rsidRDefault="00A26411" w:rsidP="004976F9">
            <w:pPr>
              <w:jc w:val="both"/>
              <w:rPr>
                <w:b/>
                <w:bCs/>
                <w:lang w:val="uk-UA"/>
              </w:rPr>
            </w:pPr>
          </w:p>
          <w:p w14:paraId="69090E85" w14:textId="77777777" w:rsidR="00A26411" w:rsidRPr="00D159D0" w:rsidRDefault="00A26411" w:rsidP="004976F9">
            <w:pPr>
              <w:jc w:val="both"/>
              <w:rPr>
                <w:b/>
                <w:bCs/>
                <w:lang w:val="uk-UA"/>
              </w:rPr>
            </w:pPr>
          </w:p>
          <w:p w14:paraId="1B7EF157" w14:textId="77777777" w:rsidR="00A26411" w:rsidRPr="00D159D0" w:rsidRDefault="00A26411" w:rsidP="004976F9">
            <w:pPr>
              <w:jc w:val="both"/>
              <w:rPr>
                <w:b/>
                <w:bCs/>
                <w:lang w:val="uk-UA"/>
              </w:rPr>
            </w:pPr>
          </w:p>
          <w:p w14:paraId="6FFD5518" w14:textId="77777777" w:rsidR="00A26411" w:rsidRPr="00D159D0" w:rsidRDefault="00A26411" w:rsidP="004976F9">
            <w:pPr>
              <w:jc w:val="both"/>
              <w:rPr>
                <w:b/>
                <w:bCs/>
                <w:lang w:val="uk-UA"/>
              </w:rPr>
            </w:pPr>
          </w:p>
          <w:p w14:paraId="64B6664A" w14:textId="77777777" w:rsidR="00A26411" w:rsidRPr="00D159D0" w:rsidRDefault="00A26411" w:rsidP="004976F9">
            <w:pPr>
              <w:jc w:val="both"/>
              <w:rPr>
                <w:b/>
                <w:bCs/>
                <w:lang w:val="uk-UA"/>
              </w:rPr>
            </w:pPr>
          </w:p>
          <w:p w14:paraId="447F065D" w14:textId="77777777" w:rsidR="00A26411" w:rsidRPr="00D159D0" w:rsidRDefault="00A26411" w:rsidP="004976F9">
            <w:pPr>
              <w:jc w:val="both"/>
              <w:rPr>
                <w:b/>
                <w:bCs/>
                <w:lang w:val="uk-UA"/>
              </w:rPr>
            </w:pPr>
          </w:p>
          <w:p w14:paraId="582403B0" w14:textId="77777777" w:rsidR="00A26411" w:rsidRPr="00D159D0" w:rsidRDefault="00A26411" w:rsidP="004976F9">
            <w:pPr>
              <w:jc w:val="both"/>
              <w:rPr>
                <w:b/>
                <w:bCs/>
                <w:lang w:val="uk-UA"/>
              </w:rPr>
            </w:pPr>
          </w:p>
          <w:p w14:paraId="78AE51F9" w14:textId="77777777" w:rsidR="00A26411" w:rsidRPr="00D159D0" w:rsidRDefault="00A26411" w:rsidP="004976F9">
            <w:pPr>
              <w:jc w:val="both"/>
              <w:rPr>
                <w:b/>
                <w:bCs/>
                <w:lang w:val="uk-UA"/>
              </w:rPr>
            </w:pPr>
          </w:p>
          <w:p w14:paraId="528BB1E5" w14:textId="77777777" w:rsidR="00A26411" w:rsidRPr="00D159D0" w:rsidRDefault="00A26411" w:rsidP="004976F9">
            <w:pPr>
              <w:jc w:val="both"/>
              <w:rPr>
                <w:b/>
                <w:bCs/>
                <w:lang w:val="uk-UA"/>
              </w:rPr>
            </w:pPr>
          </w:p>
          <w:p w14:paraId="54348285" w14:textId="77777777" w:rsidR="00A26411" w:rsidRPr="00D159D0" w:rsidRDefault="00A26411" w:rsidP="004976F9">
            <w:pPr>
              <w:jc w:val="both"/>
              <w:rPr>
                <w:b/>
                <w:bCs/>
                <w:lang w:val="uk-UA"/>
              </w:rPr>
            </w:pPr>
          </w:p>
          <w:p w14:paraId="7D800A78" w14:textId="77777777" w:rsidR="00A26411" w:rsidRPr="00D159D0" w:rsidRDefault="00A26411" w:rsidP="004976F9">
            <w:pPr>
              <w:jc w:val="both"/>
              <w:rPr>
                <w:b/>
                <w:bCs/>
                <w:lang w:val="uk-UA"/>
              </w:rPr>
            </w:pPr>
          </w:p>
          <w:p w14:paraId="341E9BD9" w14:textId="77777777" w:rsidR="00A26411" w:rsidRPr="00D159D0" w:rsidRDefault="00A26411" w:rsidP="004976F9">
            <w:pPr>
              <w:jc w:val="both"/>
              <w:rPr>
                <w:b/>
                <w:bCs/>
                <w:lang w:val="uk-UA"/>
              </w:rPr>
            </w:pPr>
          </w:p>
          <w:p w14:paraId="154DB039" w14:textId="77777777" w:rsidR="00A26411" w:rsidRPr="00D159D0" w:rsidRDefault="00A26411" w:rsidP="004976F9">
            <w:pPr>
              <w:jc w:val="both"/>
              <w:rPr>
                <w:b/>
                <w:bCs/>
                <w:lang w:val="uk-UA"/>
              </w:rPr>
            </w:pPr>
          </w:p>
          <w:p w14:paraId="606E2CC2" w14:textId="77777777" w:rsidR="00A26411" w:rsidRPr="00D159D0" w:rsidRDefault="00A26411" w:rsidP="004976F9">
            <w:pPr>
              <w:jc w:val="both"/>
              <w:rPr>
                <w:b/>
                <w:bCs/>
                <w:lang w:val="uk-UA"/>
              </w:rPr>
            </w:pPr>
          </w:p>
          <w:p w14:paraId="7DB7F533" w14:textId="77777777" w:rsidR="00A26411" w:rsidRPr="00D159D0" w:rsidRDefault="00A26411" w:rsidP="004976F9">
            <w:pPr>
              <w:jc w:val="both"/>
              <w:rPr>
                <w:b/>
                <w:bCs/>
                <w:lang w:val="uk-UA"/>
              </w:rPr>
            </w:pPr>
          </w:p>
          <w:p w14:paraId="1546A6DB" w14:textId="77777777" w:rsidR="00A26411" w:rsidRPr="00D159D0" w:rsidRDefault="00A26411" w:rsidP="004976F9">
            <w:pPr>
              <w:jc w:val="both"/>
              <w:rPr>
                <w:b/>
                <w:bCs/>
                <w:lang w:val="uk-UA"/>
              </w:rPr>
            </w:pPr>
          </w:p>
          <w:p w14:paraId="527BE6D1" w14:textId="77777777" w:rsidR="00A26411" w:rsidRPr="00D159D0" w:rsidRDefault="00A26411" w:rsidP="004976F9">
            <w:pPr>
              <w:jc w:val="both"/>
              <w:rPr>
                <w:b/>
                <w:bCs/>
                <w:lang w:val="uk-UA"/>
              </w:rPr>
            </w:pPr>
          </w:p>
          <w:p w14:paraId="7652AFCC" w14:textId="77777777" w:rsidR="00A26411" w:rsidRPr="00D159D0" w:rsidRDefault="00A26411" w:rsidP="004976F9">
            <w:pPr>
              <w:jc w:val="both"/>
              <w:rPr>
                <w:b/>
                <w:bCs/>
                <w:lang w:val="uk-UA"/>
              </w:rPr>
            </w:pPr>
          </w:p>
          <w:p w14:paraId="5D2F1713" w14:textId="77777777" w:rsidR="00A26411" w:rsidRPr="00D159D0" w:rsidRDefault="00A26411" w:rsidP="004976F9">
            <w:pPr>
              <w:jc w:val="both"/>
              <w:rPr>
                <w:b/>
                <w:bCs/>
                <w:lang w:val="uk-UA"/>
              </w:rPr>
            </w:pPr>
          </w:p>
          <w:p w14:paraId="72951861" w14:textId="77777777" w:rsidR="00A26411" w:rsidRPr="00D159D0" w:rsidRDefault="00A26411" w:rsidP="004976F9">
            <w:pPr>
              <w:jc w:val="both"/>
              <w:rPr>
                <w:b/>
                <w:bCs/>
                <w:lang w:val="uk-UA"/>
              </w:rPr>
            </w:pPr>
          </w:p>
          <w:p w14:paraId="5CD53154" w14:textId="77777777" w:rsidR="00A26411" w:rsidRPr="00D159D0" w:rsidRDefault="00A26411" w:rsidP="004976F9">
            <w:pPr>
              <w:jc w:val="both"/>
              <w:rPr>
                <w:b/>
                <w:bCs/>
                <w:lang w:val="uk-UA"/>
              </w:rPr>
            </w:pPr>
          </w:p>
          <w:p w14:paraId="79D25986" w14:textId="77777777" w:rsidR="00A26411" w:rsidRPr="00D159D0" w:rsidRDefault="00A26411" w:rsidP="004976F9">
            <w:pPr>
              <w:jc w:val="both"/>
              <w:rPr>
                <w:b/>
                <w:bCs/>
                <w:lang w:val="uk-UA"/>
              </w:rPr>
            </w:pPr>
          </w:p>
          <w:p w14:paraId="15C16D1B" w14:textId="77777777" w:rsidR="00A26411" w:rsidRPr="00D159D0" w:rsidRDefault="00A26411" w:rsidP="004976F9">
            <w:pPr>
              <w:jc w:val="both"/>
              <w:rPr>
                <w:b/>
                <w:bCs/>
                <w:lang w:val="uk-UA"/>
              </w:rPr>
            </w:pPr>
          </w:p>
          <w:p w14:paraId="38836F5D" w14:textId="77777777" w:rsidR="00A26411" w:rsidRPr="00D159D0" w:rsidRDefault="00A26411" w:rsidP="004976F9">
            <w:pPr>
              <w:jc w:val="both"/>
              <w:rPr>
                <w:b/>
                <w:bCs/>
                <w:lang w:val="uk-UA"/>
              </w:rPr>
            </w:pPr>
          </w:p>
          <w:p w14:paraId="2554125C" w14:textId="77777777" w:rsidR="00A26411" w:rsidRPr="00D159D0" w:rsidRDefault="00A26411" w:rsidP="004976F9">
            <w:pPr>
              <w:jc w:val="both"/>
              <w:rPr>
                <w:b/>
                <w:bCs/>
                <w:lang w:val="uk-UA"/>
              </w:rPr>
            </w:pPr>
          </w:p>
          <w:p w14:paraId="25512984" w14:textId="77777777" w:rsidR="00A26411" w:rsidRPr="00D159D0" w:rsidRDefault="00A26411" w:rsidP="004976F9">
            <w:pPr>
              <w:jc w:val="both"/>
              <w:rPr>
                <w:b/>
                <w:bCs/>
                <w:lang w:val="uk-UA"/>
              </w:rPr>
            </w:pPr>
          </w:p>
          <w:p w14:paraId="35B27B7B" w14:textId="77777777" w:rsidR="00A26411" w:rsidRPr="00D159D0" w:rsidRDefault="00A26411" w:rsidP="004976F9">
            <w:pPr>
              <w:jc w:val="both"/>
              <w:rPr>
                <w:b/>
                <w:bCs/>
                <w:lang w:val="uk-UA"/>
              </w:rPr>
            </w:pPr>
          </w:p>
          <w:p w14:paraId="1B37DEF3" w14:textId="77777777" w:rsidR="00A26411" w:rsidRPr="00D159D0" w:rsidRDefault="00A26411" w:rsidP="004976F9">
            <w:pPr>
              <w:jc w:val="both"/>
              <w:rPr>
                <w:b/>
                <w:bCs/>
                <w:lang w:val="uk-UA"/>
              </w:rPr>
            </w:pPr>
          </w:p>
          <w:p w14:paraId="4970CBC5" w14:textId="77777777" w:rsidR="00A26411" w:rsidRPr="00D159D0" w:rsidRDefault="00A26411" w:rsidP="004976F9">
            <w:pPr>
              <w:jc w:val="both"/>
              <w:rPr>
                <w:b/>
                <w:bCs/>
                <w:lang w:val="uk-UA"/>
              </w:rPr>
            </w:pPr>
          </w:p>
          <w:p w14:paraId="074626F3" w14:textId="77777777" w:rsidR="00A26411" w:rsidRPr="00D159D0" w:rsidRDefault="00A26411" w:rsidP="004976F9">
            <w:pPr>
              <w:jc w:val="both"/>
              <w:rPr>
                <w:b/>
                <w:bCs/>
                <w:lang w:val="uk-UA"/>
              </w:rPr>
            </w:pPr>
          </w:p>
          <w:p w14:paraId="2950FEB6" w14:textId="77777777" w:rsidR="00A26411" w:rsidRPr="00D159D0" w:rsidRDefault="00A26411" w:rsidP="004976F9">
            <w:pPr>
              <w:jc w:val="both"/>
              <w:rPr>
                <w:b/>
                <w:bCs/>
                <w:lang w:val="uk-UA"/>
              </w:rPr>
            </w:pPr>
          </w:p>
          <w:p w14:paraId="23485C11" w14:textId="77777777" w:rsidR="00A26411" w:rsidRPr="00D159D0" w:rsidRDefault="00A26411" w:rsidP="004976F9">
            <w:pPr>
              <w:jc w:val="both"/>
              <w:rPr>
                <w:b/>
                <w:bCs/>
                <w:lang w:val="uk-UA"/>
              </w:rPr>
            </w:pPr>
          </w:p>
          <w:p w14:paraId="2A00CAC0" w14:textId="77777777" w:rsidR="00A26411" w:rsidRPr="00D159D0" w:rsidRDefault="00A26411" w:rsidP="004976F9">
            <w:pPr>
              <w:jc w:val="both"/>
              <w:rPr>
                <w:b/>
                <w:bCs/>
                <w:lang w:val="uk-UA"/>
              </w:rPr>
            </w:pPr>
          </w:p>
          <w:p w14:paraId="7B6EE1AB" w14:textId="77777777" w:rsidR="00A26411" w:rsidRPr="00D159D0" w:rsidRDefault="00A26411" w:rsidP="004976F9">
            <w:pPr>
              <w:jc w:val="both"/>
              <w:rPr>
                <w:b/>
                <w:bCs/>
                <w:lang w:val="uk-UA"/>
              </w:rPr>
            </w:pPr>
          </w:p>
          <w:p w14:paraId="67D4469E" w14:textId="77777777" w:rsidR="00A26411" w:rsidRPr="00D159D0" w:rsidRDefault="00A26411" w:rsidP="004976F9">
            <w:pPr>
              <w:jc w:val="both"/>
              <w:rPr>
                <w:b/>
                <w:bCs/>
                <w:lang w:val="uk-UA"/>
              </w:rPr>
            </w:pPr>
          </w:p>
          <w:p w14:paraId="55A61202" w14:textId="77777777" w:rsidR="00A26411" w:rsidRPr="00D159D0" w:rsidRDefault="00A26411" w:rsidP="004976F9">
            <w:pPr>
              <w:jc w:val="both"/>
              <w:rPr>
                <w:b/>
                <w:bCs/>
                <w:lang w:val="uk-UA"/>
              </w:rPr>
            </w:pPr>
          </w:p>
          <w:p w14:paraId="5F0DC52B" w14:textId="77777777" w:rsidR="00A26411" w:rsidRPr="00D159D0" w:rsidRDefault="00A26411" w:rsidP="004976F9">
            <w:pPr>
              <w:jc w:val="both"/>
              <w:rPr>
                <w:b/>
                <w:bCs/>
                <w:lang w:val="uk-UA"/>
              </w:rPr>
            </w:pPr>
          </w:p>
          <w:p w14:paraId="2E51F8C9" w14:textId="77777777" w:rsidR="00A26411" w:rsidRPr="00D159D0" w:rsidRDefault="00A26411" w:rsidP="004976F9">
            <w:pPr>
              <w:jc w:val="both"/>
              <w:rPr>
                <w:b/>
                <w:bCs/>
                <w:lang w:val="uk-UA"/>
              </w:rPr>
            </w:pPr>
          </w:p>
          <w:p w14:paraId="19C1FBA8" w14:textId="77777777" w:rsidR="00A26411" w:rsidRPr="00D159D0" w:rsidRDefault="00A26411" w:rsidP="004976F9">
            <w:pPr>
              <w:jc w:val="both"/>
              <w:rPr>
                <w:b/>
                <w:bCs/>
                <w:lang w:val="uk-UA"/>
              </w:rPr>
            </w:pPr>
          </w:p>
          <w:p w14:paraId="41E01E31" w14:textId="77777777" w:rsidR="00A26411" w:rsidRPr="00D159D0" w:rsidRDefault="00A26411" w:rsidP="004976F9">
            <w:pPr>
              <w:jc w:val="both"/>
              <w:rPr>
                <w:b/>
                <w:bCs/>
                <w:lang w:val="uk-UA"/>
              </w:rPr>
            </w:pPr>
          </w:p>
          <w:p w14:paraId="4DF3268D" w14:textId="77777777" w:rsidR="00A26411" w:rsidRPr="00D159D0" w:rsidRDefault="00A26411" w:rsidP="004976F9">
            <w:pPr>
              <w:jc w:val="both"/>
              <w:rPr>
                <w:b/>
                <w:bCs/>
                <w:lang w:val="uk-UA"/>
              </w:rPr>
            </w:pPr>
          </w:p>
          <w:p w14:paraId="041AC685" w14:textId="77777777" w:rsidR="00A26411" w:rsidRPr="00D159D0" w:rsidRDefault="00A26411" w:rsidP="004976F9">
            <w:pPr>
              <w:jc w:val="both"/>
              <w:rPr>
                <w:b/>
                <w:bCs/>
                <w:lang w:val="uk-UA"/>
              </w:rPr>
            </w:pPr>
          </w:p>
          <w:p w14:paraId="123E80E2" w14:textId="77777777" w:rsidR="00A26411" w:rsidRPr="00D159D0" w:rsidRDefault="00A26411" w:rsidP="004976F9">
            <w:pPr>
              <w:jc w:val="both"/>
              <w:rPr>
                <w:b/>
                <w:bCs/>
                <w:lang w:val="uk-UA"/>
              </w:rPr>
            </w:pPr>
          </w:p>
          <w:p w14:paraId="02E32A28" w14:textId="77777777" w:rsidR="00A26411" w:rsidRPr="00D159D0" w:rsidRDefault="00A26411" w:rsidP="004976F9">
            <w:pPr>
              <w:jc w:val="both"/>
              <w:rPr>
                <w:b/>
                <w:bCs/>
                <w:lang w:val="uk-UA"/>
              </w:rPr>
            </w:pPr>
          </w:p>
          <w:p w14:paraId="5FD50204" w14:textId="77777777" w:rsidR="00A26411" w:rsidRPr="00D159D0" w:rsidRDefault="00A26411" w:rsidP="004976F9">
            <w:pPr>
              <w:jc w:val="both"/>
              <w:rPr>
                <w:b/>
                <w:bCs/>
                <w:lang w:val="uk-UA"/>
              </w:rPr>
            </w:pPr>
          </w:p>
          <w:p w14:paraId="09BB4A38" w14:textId="77777777" w:rsidR="00A26411" w:rsidRPr="00D159D0" w:rsidRDefault="00A26411" w:rsidP="004976F9">
            <w:pPr>
              <w:jc w:val="both"/>
              <w:rPr>
                <w:b/>
                <w:bCs/>
                <w:lang w:val="uk-UA"/>
              </w:rPr>
            </w:pPr>
          </w:p>
          <w:p w14:paraId="711B0D00" w14:textId="77777777" w:rsidR="00A26411" w:rsidRPr="00D159D0" w:rsidRDefault="00A26411" w:rsidP="004976F9">
            <w:pPr>
              <w:jc w:val="both"/>
              <w:rPr>
                <w:b/>
                <w:bCs/>
                <w:lang w:val="uk-UA"/>
              </w:rPr>
            </w:pPr>
          </w:p>
          <w:p w14:paraId="35CE9DDB" w14:textId="77777777" w:rsidR="00A26411" w:rsidRPr="00D159D0" w:rsidRDefault="00A26411" w:rsidP="004976F9">
            <w:pPr>
              <w:jc w:val="both"/>
              <w:rPr>
                <w:b/>
                <w:bCs/>
                <w:lang w:val="uk-UA"/>
              </w:rPr>
            </w:pPr>
          </w:p>
          <w:p w14:paraId="528AA0EA" w14:textId="77777777" w:rsidR="00A26411" w:rsidRPr="00D159D0" w:rsidRDefault="00A26411" w:rsidP="004976F9">
            <w:pPr>
              <w:jc w:val="both"/>
              <w:rPr>
                <w:b/>
                <w:bCs/>
                <w:lang w:val="uk-UA"/>
              </w:rPr>
            </w:pPr>
          </w:p>
          <w:p w14:paraId="2B4C205A" w14:textId="77777777" w:rsidR="00A26411" w:rsidRPr="00D159D0" w:rsidRDefault="00A26411" w:rsidP="004976F9">
            <w:pPr>
              <w:jc w:val="both"/>
              <w:rPr>
                <w:b/>
                <w:bCs/>
                <w:lang w:val="uk-UA"/>
              </w:rPr>
            </w:pPr>
          </w:p>
          <w:p w14:paraId="2281F364" w14:textId="77777777" w:rsidR="00A26411" w:rsidRPr="00D159D0" w:rsidRDefault="00A26411" w:rsidP="004976F9">
            <w:pPr>
              <w:jc w:val="both"/>
              <w:rPr>
                <w:b/>
                <w:bCs/>
                <w:lang w:val="uk-UA"/>
              </w:rPr>
            </w:pPr>
          </w:p>
          <w:p w14:paraId="6E62FCDF" w14:textId="77777777" w:rsidR="00A26411" w:rsidRPr="00D159D0" w:rsidRDefault="00A26411" w:rsidP="004976F9">
            <w:pPr>
              <w:jc w:val="both"/>
              <w:rPr>
                <w:b/>
                <w:bCs/>
                <w:lang w:val="uk-UA"/>
              </w:rPr>
            </w:pPr>
          </w:p>
          <w:p w14:paraId="668BE408" w14:textId="77777777" w:rsidR="00A26411" w:rsidRPr="00D159D0" w:rsidRDefault="00A26411" w:rsidP="004976F9">
            <w:pPr>
              <w:jc w:val="both"/>
              <w:rPr>
                <w:b/>
                <w:bCs/>
                <w:lang w:val="uk-UA"/>
              </w:rPr>
            </w:pPr>
          </w:p>
          <w:p w14:paraId="1FB7EBD6" w14:textId="77777777" w:rsidR="00A26411" w:rsidRPr="00D159D0" w:rsidRDefault="00A26411" w:rsidP="004976F9">
            <w:pPr>
              <w:jc w:val="both"/>
              <w:rPr>
                <w:b/>
                <w:bCs/>
                <w:lang w:val="uk-UA"/>
              </w:rPr>
            </w:pPr>
          </w:p>
          <w:p w14:paraId="6DDF3DEA" w14:textId="77777777" w:rsidR="00A26411" w:rsidRPr="00D159D0" w:rsidRDefault="00A26411" w:rsidP="004976F9">
            <w:pPr>
              <w:jc w:val="both"/>
              <w:rPr>
                <w:b/>
                <w:bCs/>
                <w:lang w:val="uk-UA"/>
              </w:rPr>
            </w:pPr>
          </w:p>
          <w:p w14:paraId="28573DA9" w14:textId="77777777" w:rsidR="00A26411" w:rsidRPr="00D159D0" w:rsidRDefault="00A26411" w:rsidP="004976F9">
            <w:pPr>
              <w:jc w:val="both"/>
              <w:rPr>
                <w:b/>
                <w:bCs/>
                <w:lang w:val="uk-UA"/>
              </w:rPr>
            </w:pPr>
          </w:p>
          <w:p w14:paraId="35E5356A" w14:textId="77777777" w:rsidR="00A26411" w:rsidRPr="00D159D0" w:rsidRDefault="00A26411" w:rsidP="004976F9">
            <w:pPr>
              <w:jc w:val="both"/>
              <w:rPr>
                <w:b/>
                <w:bCs/>
                <w:lang w:val="uk-UA"/>
              </w:rPr>
            </w:pPr>
          </w:p>
          <w:p w14:paraId="353F061D" w14:textId="77777777" w:rsidR="00A26411" w:rsidRPr="00D159D0" w:rsidRDefault="00A26411" w:rsidP="004976F9">
            <w:pPr>
              <w:jc w:val="both"/>
              <w:rPr>
                <w:b/>
                <w:bCs/>
                <w:lang w:val="uk-UA"/>
              </w:rPr>
            </w:pPr>
          </w:p>
          <w:p w14:paraId="4DDA61DF" w14:textId="77777777" w:rsidR="00A26411" w:rsidRPr="00D159D0" w:rsidRDefault="00A26411" w:rsidP="004976F9">
            <w:pPr>
              <w:jc w:val="both"/>
              <w:rPr>
                <w:b/>
                <w:bCs/>
                <w:lang w:val="uk-UA"/>
              </w:rPr>
            </w:pPr>
          </w:p>
          <w:p w14:paraId="4DE991F6" w14:textId="77777777" w:rsidR="00A26411" w:rsidRPr="00D159D0" w:rsidRDefault="00A26411" w:rsidP="004976F9">
            <w:pPr>
              <w:jc w:val="both"/>
              <w:rPr>
                <w:b/>
                <w:bCs/>
                <w:lang w:val="uk-UA"/>
              </w:rPr>
            </w:pPr>
          </w:p>
          <w:p w14:paraId="14915E11" w14:textId="77777777" w:rsidR="00A26411" w:rsidRPr="00D159D0" w:rsidRDefault="00A26411" w:rsidP="004976F9">
            <w:pPr>
              <w:jc w:val="both"/>
              <w:rPr>
                <w:b/>
                <w:bCs/>
                <w:lang w:val="uk-UA"/>
              </w:rPr>
            </w:pPr>
          </w:p>
          <w:p w14:paraId="27D26188" w14:textId="77777777" w:rsidR="00A26411" w:rsidRPr="00D159D0" w:rsidRDefault="00A26411" w:rsidP="004976F9">
            <w:pPr>
              <w:jc w:val="both"/>
              <w:rPr>
                <w:b/>
                <w:bCs/>
                <w:lang w:val="uk-UA"/>
              </w:rPr>
            </w:pPr>
          </w:p>
          <w:p w14:paraId="4CF47074" w14:textId="77777777" w:rsidR="00A26411" w:rsidRPr="00D159D0" w:rsidRDefault="00A26411" w:rsidP="004976F9">
            <w:pPr>
              <w:jc w:val="both"/>
              <w:rPr>
                <w:b/>
                <w:bCs/>
                <w:lang w:val="uk-UA"/>
              </w:rPr>
            </w:pPr>
          </w:p>
          <w:p w14:paraId="588AE802" w14:textId="77777777" w:rsidR="00A26411" w:rsidRPr="00D159D0" w:rsidRDefault="00A26411" w:rsidP="004976F9">
            <w:pPr>
              <w:jc w:val="both"/>
              <w:rPr>
                <w:b/>
                <w:bCs/>
                <w:lang w:val="uk-UA"/>
              </w:rPr>
            </w:pPr>
          </w:p>
          <w:p w14:paraId="63F374B5" w14:textId="77777777" w:rsidR="00A26411" w:rsidRPr="00D159D0" w:rsidRDefault="00A26411" w:rsidP="004976F9">
            <w:pPr>
              <w:jc w:val="both"/>
              <w:rPr>
                <w:b/>
                <w:bCs/>
                <w:lang w:val="uk-UA"/>
              </w:rPr>
            </w:pPr>
          </w:p>
          <w:p w14:paraId="0DD137BF" w14:textId="77777777" w:rsidR="00A26411" w:rsidRPr="00D159D0" w:rsidRDefault="00A26411" w:rsidP="004976F9">
            <w:pPr>
              <w:jc w:val="both"/>
              <w:rPr>
                <w:b/>
                <w:bCs/>
                <w:lang w:val="uk-UA"/>
              </w:rPr>
            </w:pPr>
          </w:p>
          <w:p w14:paraId="2E5454C2" w14:textId="77777777" w:rsidR="00A26411" w:rsidRPr="00D159D0" w:rsidRDefault="00A26411" w:rsidP="004976F9">
            <w:pPr>
              <w:jc w:val="both"/>
              <w:rPr>
                <w:b/>
                <w:bCs/>
                <w:lang w:val="uk-UA"/>
              </w:rPr>
            </w:pPr>
          </w:p>
          <w:p w14:paraId="74445D0E" w14:textId="77777777" w:rsidR="00A26411" w:rsidRPr="00D159D0" w:rsidRDefault="00A26411" w:rsidP="004976F9">
            <w:pPr>
              <w:jc w:val="both"/>
              <w:rPr>
                <w:b/>
                <w:bCs/>
                <w:lang w:val="uk-UA"/>
              </w:rPr>
            </w:pPr>
          </w:p>
          <w:p w14:paraId="7DB2E655" w14:textId="77777777" w:rsidR="00A26411" w:rsidRPr="00D159D0" w:rsidRDefault="00A26411" w:rsidP="004976F9">
            <w:pPr>
              <w:jc w:val="both"/>
              <w:rPr>
                <w:b/>
                <w:bCs/>
                <w:lang w:val="uk-UA"/>
              </w:rPr>
            </w:pPr>
          </w:p>
          <w:p w14:paraId="533B3BA5" w14:textId="77777777" w:rsidR="00A26411" w:rsidRPr="00D159D0" w:rsidRDefault="00A26411" w:rsidP="004976F9">
            <w:pPr>
              <w:jc w:val="both"/>
              <w:rPr>
                <w:b/>
                <w:bCs/>
                <w:lang w:val="uk-UA"/>
              </w:rPr>
            </w:pPr>
          </w:p>
          <w:p w14:paraId="226C1105" w14:textId="77777777" w:rsidR="00A26411" w:rsidRPr="00D159D0" w:rsidRDefault="00A26411" w:rsidP="004976F9">
            <w:pPr>
              <w:jc w:val="both"/>
              <w:rPr>
                <w:b/>
                <w:bCs/>
                <w:lang w:val="uk-UA"/>
              </w:rPr>
            </w:pPr>
          </w:p>
          <w:p w14:paraId="26D5ABC2" w14:textId="77777777" w:rsidR="00A26411" w:rsidRPr="00D159D0" w:rsidRDefault="00A26411" w:rsidP="004976F9">
            <w:pPr>
              <w:jc w:val="both"/>
              <w:rPr>
                <w:b/>
                <w:bCs/>
                <w:lang w:val="uk-UA"/>
              </w:rPr>
            </w:pPr>
          </w:p>
          <w:p w14:paraId="6E2AFB21" w14:textId="77777777" w:rsidR="00A26411" w:rsidRPr="00D159D0" w:rsidRDefault="00A26411" w:rsidP="004976F9">
            <w:pPr>
              <w:jc w:val="both"/>
              <w:rPr>
                <w:b/>
                <w:bCs/>
                <w:lang w:val="uk-UA"/>
              </w:rPr>
            </w:pPr>
          </w:p>
          <w:p w14:paraId="01F11009" w14:textId="77777777" w:rsidR="00A26411" w:rsidRPr="00D159D0" w:rsidRDefault="00A26411" w:rsidP="004976F9">
            <w:pPr>
              <w:jc w:val="both"/>
              <w:rPr>
                <w:b/>
                <w:bCs/>
                <w:lang w:val="uk-UA"/>
              </w:rPr>
            </w:pPr>
          </w:p>
          <w:p w14:paraId="1800E43E" w14:textId="77777777" w:rsidR="00A26411" w:rsidRPr="00D159D0" w:rsidRDefault="00A26411" w:rsidP="004976F9">
            <w:pPr>
              <w:jc w:val="both"/>
              <w:rPr>
                <w:b/>
                <w:bCs/>
                <w:lang w:val="uk-UA"/>
              </w:rPr>
            </w:pPr>
          </w:p>
          <w:p w14:paraId="7540D020" w14:textId="77777777" w:rsidR="00A26411" w:rsidRPr="00D159D0" w:rsidRDefault="00A26411" w:rsidP="004976F9">
            <w:pPr>
              <w:jc w:val="both"/>
              <w:rPr>
                <w:b/>
                <w:bCs/>
                <w:lang w:val="uk-UA"/>
              </w:rPr>
            </w:pPr>
          </w:p>
          <w:p w14:paraId="527D55E8" w14:textId="77777777" w:rsidR="00A26411" w:rsidRPr="00D159D0" w:rsidRDefault="00A26411" w:rsidP="004976F9">
            <w:pPr>
              <w:jc w:val="both"/>
              <w:rPr>
                <w:b/>
                <w:bCs/>
                <w:lang w:val="uk-UA"/>
              </w:rPr>
            </w:pPr>
          </w:p>
          <w:p w14:paraId="2D558FE8" w14:textId="77777777" w:rsidR="00A26411" w:rsidRPr="00D159D0" w:rsidRDefault="00A26411" w:rsidP="004976F9">
            <w:pPr>
              <w:jc w:val="both"/>
              <w:rPr>
                <w:b/>
                <w:bCs/>
                <w:lang w:val="uk-UA"/>
              </w:rPr>
            </w:pPr>
          </w:p>
          <w:p w14:paraId="467E7CF7" w14:textId="77777777" w:rsidR="00A26411" w:rsidRPr="00D159D0" w:rsidRDefault="00A26411" w:rsidP="004976F9">
            <w:pPr>
              <w:jc w:val="both"/>
              <w:rPr>
                <w:b/>
                <w:bCs/>
                <w:lang w:val="uk-UA"/>
              </w:rPr>
            </w:pPr>
          </w:p>
          <w:p w14:paraId="7D8CE6B8" w14:textId="77777777" w:rsidR="00A26411" w:rsidRPr="00D159D0" w:rsidRDefault="00A26411" w:rsidP="004976F9">
            <w:pPr>
              <w:jc w:val="both"/>
              <w:rPr>
                <w:b/>
                <w:bCs/>
                <w:lang w:val="uk-UA"/>
              </w:rPr>
            </w:pPr>
          </w:p>
          <w:p w14:paraId="217C1CA1" w14:textId="77777777" w:rsidR="00A26411" w:rsidRPr="00D159D0" w:rsidRDefault="00A26411" w:rsidP="004976F9">
            <w:pPr>
              <w:jc w:val="both"/>
              <w:rPr>
                <w:b/>
                <w:bCs/>
                <w:lang w:val="uk-UA"/>
              </w:rPr>
            </w:pPr>
          </w:p>
          <w:p w14:paraId="316302AA" w14:textId="77777777" w:rsidR="00A26411" w:rsidRPr="00D159D0" w:rsidRDefault="00A26411" w:rsidP="004976F9">
            <w:pPr>
              <w:jc w:val="both"/>
              <w:rPr>
                <w:b/>
                <w:bCs/>
                <w:lang w:val="uk-UA"/>
              </w:rPr>
            </w:pPr>
          </w:p>
          <w:p w14:paraId="3E69F3BF" w14:textId="77777777" w:rsidR="00A26411" w:rsidRPr="00D159D0" w:rsidRDefault="00A26411" w:rsidP="004976F9">
            <w:pPr>
              <w:jc w:val="both"/>
              <w:rPr>
                <w:b/>
                <w:bCs/>
                <w:lang w:val="uk-UA"/>
              </w:rPr>
            </w:pPr>
          </w:p>
          <w:p w14:paraId="01B8C4E0" w14:textId="77777777" w:rsidR="00A26411" w:rsidRPr="00D159D0" w:rsidRDefault="00A26411" w:rsidP="004976F9">
            <w:pPr>
              <w:jc w:val="both"/>
              <w:rPr>
                <w:b/>
                <w:bCs/>
                <w:lang w:val="uk-UA"/>
              </w:rPr>
            </w:pPr>
          </w:p>
          <w:p w14:paraId="28657ABA" w14:textId="77777777" w:rsidR="00A26411" w:rsidRPr="00D159D0" w:rsidRDefault="00A26411" w:rsidP="004976F9">
            <w:pPr>
              <w:jc w:val="both"/>
              <w:rPr>
                <w:b/>
                <w:bCs/>
                <w:lang w:val="uk-UA"/>
              </w:rPr>
            </w:pPr>
          </w:p>
          <w:p w14:paraId="5821F1A3" w14:textId="77777777" w:rsidR="00A26411" w:rsidRPr="00D159D0" w:rsidRDefault="00A26411" w:rsidP="004976F9">
            <w:pPr>
              <w:jc w:val="both"/>
              <w:rPr>
                <w:b/>
                <w:bCs/>
                <w:lang w:val="uk-UA"/>
              </w:rPr>
            </w:pPr>
          </w:p>
          <w:p w14:paraId="293FD04F" w14:textId="77777777" w:rsidR="00A26411" w:rsidRPr="00D159D0" w:rsidRDefault="00A26411" w:rsidP="004976F9">
            <w:pPr>
              <w:jc w:val="both"/>
              <w:rPr>
                <w:b/>
                <w:bCs/>
                <w:lang w:val="uk-UA"/>
              </w:rPr>
            </w:pPr>
          </w:p>
          <w:p w14:paraId="1027353A" w14:textId="77777777" w:rsidR="00A26411" w:rsidRPr="00D159D0" w:rsidRDefault="00A26411" w:rsidP="004976F9">
            <w:pPr>
              <w:jc w:val="both"/>
              <w:rPr>
                <w:b/>
                <w:bCs/>
                <w:lang w:val="uk-UA"/>
              </w:rPr>
            </w:pPr>
          </w:p>
          <w:p w14:paraId="4B31B355" w14:textId="77777777" w:rsidR="00A26411" w:rsidRPr="00D159D0" w:rsidRDefault="00A26411" w:rsidP="004976F9">
            <w:pPr>
              <w:jc w:val="both"/>
              <w:rPr>
                <w:b/>
                <w:bCs/>
                <w:lang w:val="uk-UA"/>
              </w:rPr>
            </w:pPr>
          </w:p>
          <w:p w14:paraId="4CB9A5BC" w14:textId="77777777" w:rsidR="00A26411" w:rsidRPr="00D159D0" w:rsidRDefault="00A26411" w:rsidP="004976F9">
            <w:pPr>
              <w:jc w:val="both"/>
              <w:rPr>
                <w:b/>
                <w:bCs/>
                <w:lang w:val="uk-UA"/>
              </w:rPr>
            </w:pPr>
          </w:p>
          <w:p w14:paraId="0917FFAE" w14:textId="77777777" w:rsidR="00A26411" w:rsidRPr="00D159D0" w:rsidRDefault="00A26411" w:rsidP="004976F9">
            <w:pPr>
              <w:jc w:val="both"/>
              <w:rPr>
                <w:b/>
                <w:bCs/>
                <w:lang w:val="uk-UA"/>
              </w:rPr>
            </w:pPr>
          </w:p>
          <w:p w14:paraId="78B87CA4" w14:textId="77777777" w:rsidR="00A26411" w:rsidRPr="00D159D0" w:rsidRDefault="00A26411" w:rsidP="004976F9">
            <w:pPr>
              <w:jc w:val="both"/>
              <w:rPr>
                <w:b/>
                <w:bCs/>
                <w:lang w:val="uk-UA"/>
              </w:rPr>
            </w:pPr>
          </w:p>
          <w:p w14:paraId="589295E4" w14:textId="77777777" w:rsidR="00A26411" w:rsidRPr="00D159D0" w:rsidRDefault="00A26411" w:rsidP="004976F9">
            <w:pPr>
              <w:jc w:val="both"/>
              <w:rPr>
                <w:b/>
                <w:bCs/>
                <w:lang w:val="uk-UA"/>
              </w:rPr>
            </w:pPr>
          </w:p>
          <w:p w14:paraId="0A8D1E7A" w14:textId="77777777" w:rsidR="00A26411" w:rsidRPr="00D159D0" w:rsidRDefault="00A26411" w:rsidP="004976F9">
            <w:pPr>
              <w:jc w:val="both"/>
              <w:rPr>
                <w:b/>
                <w:bCs/>
                <w:lang w:val="uk-UA"/>
              </w:rPr>
            </w:pPr>
          </w:p>
          <w:p w14:paraId="62D6EF35" w14:textId="77777777" w:rsidR="00A26411" w:rsidRPr="00D159D0" w:rsidRDefault="00A26411" w:rsidP="004976F9">
            <w:pPr>
              <w:jc w:val="both"/>
              <w:rPr>
                <w:b/>
                <w:bCs/>
                <w:lang w:val="uk-UA"/>
              </w:rPr>
            </w:pPr>
          </w:p>
          <w:p w14:paraId="6AA3A9A1" w14:textId="77777777" w:rsidR="00A26411" w:rsidRPr="00D159D0" w:rsidRDefault="00A26411" w:rsidP="004976F9">
            <w:pPr>
              <w:jc w:val="both"/>
              <w:rPr>
                <w:b/>
                <w:bCs/>
                <w:lang w:val="uk-UA"/>
              </w:rPr>
            </w:pPr>
          </w:p>
          <w:p w14:paraId="23AF7C7A" w14:textId="77777777" w:rsidR="00A26411" w:rsidRPr="00D159D0" w:rsidRDefault="00A26411" w:rsidP="004976F9">
            <w:pPr>
              <w:jc w:val="both"/>
              <w:rPr>
                <w:b/>
                <w:bCs/>
                <w:lang w:val="uk-UA"/>
              </w:rPr>
            </w:pPr>
          </w:p>
          <w:p w14:paraId="1E4718E2" w14:textId="77777777" w:rsidR="00A26411" w:rsidRPr="00D159D0" w:rsidRDefault="00A26411" w:rsidP="004976F9">
            <w:pPr>
              <w:jc w:val="both"/>
              <w:rPr>
                <w:b/>
                <w:bCs/>
                <w:lang w:val="uk-UA"/>
              </w:rPr>
            </w:pPr>
          </w:p>
          <w:p w14:paraId="2892514C" w14:textId="77777777" w:rsidR="00A26411" w:rsidRPr="00D159D0" w:rsidRDefault="00A26411" w:rsidP="004976F9">
            <w:pPr>
              <w:jc w:val="both"/>
              <w:rPr>
                <w:b/>
                <w:bCs/>
                <w:lang w:val="uk-UA"/>
              </w:rPr>
            </w:pPr>
          </w:p>
          <w:p w14:paraId="1045971F" w14:textId="77777777" w:rsidR="00A26411" w:rsidRPr="00D159D0" w:rsidRDefault="00A26411" w:rsidP="004976F9">
            <w:pPr>
              <w:jc w:val="both"/>
              <w:rPr>
                <w:b/>
                <w:bCs/>
                <w:lang w:val="uk-UA"/>
              </w:rPr>
            </w:pPr>
          </w:p>
          <w:p w14:paraId="58C330D0" w14:textId="77777777" w:rsidR="00A26411" w:rsidRPr="00D159D0" w:rsidRDefault="00A26411" w:rsidP="004976F9">
            <w:pPr>
              <w:jc w:val="both"/>
              <w:rPr>
                <w:b/>
                <w:bCs/>
                <w:lang w:val="uk-UA"/>
              </w:rPr>
            </w:pPr>
          </w:p>
          <w:p w14:paraId="53349060" w14:textId="77777777" w:rsidR="00A26411" w:rsidRPr="00D159D0" w:rsidRDefault="00A26411" w:rsidP="004976F9">
            <w:pPr>
              <w:jc w:val="both"/>
              <w:rPr>
                <w:b/>
                <w:bCs/>
                <w:lang w:val="uk-UA"/>
              </w:rPr>
            </w:pPr>
          </w:p>
          <w:p w14:paraId="22939389" w14:textId="77777777" w:rsidR="00A26411" w:rsidRPr="00D159D0" w:rsidRDefault="00A26411" w:rsidP="004976F9">
            <w:pPr>
              <w:jc w:val="both"/>
              <w:rPr>
                <w:b/>
                <w:bCs/>
                <w:lang w:val="uk-UA"/>
              </w:rPr>
            </w:pPr>
          </w:p>
          <w:p w14:paraId="128FAE63" w14:textId="77777777" w:rsidR="00A26411" w:rsidRPr="00D159D0" w:rsidRDefault="00A26411" w:rsidP="004976F9">
            <w:pPr>
              <w:jc w:val="both"/>
              <w:rPr>
                <w:b/>
                <w:bCs/>
                <w:lang w:val="uk-UA"/>
              </w:rPr>
            </w:pPr>
          </w:p>
          <w:p w14:paraId="2D21C79C" w14:textId="77777777" w:rsidR="00A26411" w:rsidRPr="00D159D0" w:rsidRDefault="00A26411" w:rsidP="004976F9">
            <w:pPr>
              <w:jc w:val="both"/>
              <w:rPr>
                <w:b/>
                <w:bCs/>
                <w:lang w:val="uk-UA"/>
              </w:rPr>
            </w:pPr>
          </w:p>
          <w:p w14:paraId="03F375A1" w14:textId="77777777" w:rsidR="00A26411" w:rsidRPr="00D159D0" w:rsidRDefault="00A26411" w:rsidP="004976F9">
            <w:pPr>
              <w:jc w:val="both"/>
              <w:rPr>
                <w:b/>
                <w:bCs/>
                <w:lang w:val="uk-UA"/>
              </w:rPr>
            </w:pPr>
          </w:p>
          <w:p w14:paraId="2DF45FAE" w14:textId="77777777" w:rsidR="00A26411" w:rsidRPr="00D159D0" w:rsidRDefault="00A26411" w:rsidP="004976F9">
            <w:pPr>
              <w:jc w:val="both"/>
              <w:rPr>
                <w:b/>
                <w:bCs/>
                <w:lang w:val="uk-UA"/>
              </w:rPr>
            </w:pPr>
          </w:p>
          <w:p w14:paraId="130766E9" w14:textId="77777777" w:rsidR="00A26411" w:rsidRPr="00D159D0" w:rsidRDefault="00A26411" w:rsidP="004976F9">
            <w:pPr>
              <w:jc w:val="both"/>
              <w:rPr>
                <w:b/>
                <w:bCs/>
                <w:lang w:val="uk-UA"/>
              </w:rPr>
            </w:pPr>
          </w:p>
          <w:p w14:paraId="1E03C42D" w14:textId="77777777" w:rsidR="00A26411" w:rsidRPr="00D159D0" w:rsidRDefault="00A26411" w:rsidP="004976F9">
            <w:pPr>
              <w:jc w:val="both"/>
              <w:rPr>
                <w:b/>
                <w:bCs/>
                <w:lang w:val="uk-UA"/>
              </w:rPr>
            </w:pPr>
          </w:p>
          <w:p w14:paraId="1189A96C" w14:textId="77777777" w:rsidR="00A26411" w:rsidRPr="00D159D0" w:rsidRDefault="00A26411" w:rsidP="004976F9">
            <w:pPr>
              <w:jc w:val="both"/>
              <w:rPr>
                <w:b/>
                <w:bCs/>
                <w:lang w:val="uk-UA"/>
              </w:rPr>
            </w:pPr>
          </w:p>
          <w:p w14:paraId="69355B1D" w14:textId="77777777" w:rsidR="00A26411" w:rsidRPr="00D159D0" w:rsidRDefault="00A26411" w:rsidP="004976F9">
            <w:pPr>
              <w:jc w:val="both"/>
              <w:rPr>
                <w:b/>
                <w:bCs/>
                <w:lang w:val="uk-UA"/>
              </w:rPr>
            </w:pPr>
          </w:p>
          <w:p w14:paraId="3EF5614B" w14:textId="77777777" w:rsidR="00A26411" w:rsidRPr="00D159D0" w:rsidRDefault="00A26411" w:rsidP="004976F9">
            <w:pPr>
              <w:jc w:val="both"/>
              <w:rPr>
                <w:b/>
                <w:bCs/>
                <w:lang w:val="uk-UA"/>
              </w:rPr>
            </w:pPr>
          </w:p>
          <w:p w14:paraId="66A25A74" w14:textId="77777777" w:rsidR="00A26411" w:rsidRPr="00D159D0" w:rsidRDefault="00A26411" w:rsidP="004976F9">
            <w:pPr>
              <w:jc w:val="both"/>
              <w:rPr>
                <w:b/>
                <w:bCs/>
                <w:lang w:val="uk-UA"/>
              </w:rPr>
            </w:pPr>
          </w:p>
          <w:p w14:paraId="7D74F6AB" w14:textId="77777777" w:rsidR="00A26411" w:rsidRPr="00D159D0" w:rsidRDefault="00A26411" w:rsidP="004976F9">
            <w:pPr>
              <w:jc w:val="both"/>
              <w:rPr>
                <w:b/>
                <w:bCs/>
                <w:lang w:val="uk-UA"/>
              </w:rPr>
            </w:pPr>
          </w:p>
          <w:p w14:paraId="7CC5714C" w14:textId="77777777" w:rsidR="00B85FC5" w:rsidRPr="00D159D0" w:rsidRDefault="00B85FC5" w:rsidP="004976F9">
            <w:pPr>
              <w:jc w:val="both"/>
              <w:rPr>
                <w:b/>
                <w:bCs/>
                <w:lang w:val="uk-UA"/>
              </w:rPr>
            </w:pPr>
          </w:p>
          <w:p w14:paraId="1C8E68EA" w14:textId="77777777" w:rsidR="00B85FC5" w:rsidRPr="00D159D0" w:rsidRDefault="00B85FC5" w:rsidP="004976F9">
            <w:pPr>
              <w:jc w:val="both"/>
              <w:rPr>
                <w:b/>
                <w:bCs/>
                <w:lang w:val="uk-UA"/>
              </w:rPr>
            </w:pPr>
          </w:p>
          <w:p w14:paraId="3C230073" w14:textId="77777777" w:rsidR="00B85FC5" w:rsidRPr="00D159D0" w:rsidRDefault="00B85FC5" w:rsidP="004976F9">
            <w:pPr>
              <w:jc w:val="both"/>
              <w:rPr>
                <w:b/>
                <w:bCs/>
                <w:lang w:val="uk-UA"/>
              </w:rPr>
            </w:pPr>
          </w:p>
          <w:p w14:paraId="31AB9598" w14:textId="77777777" w:rsidR="005E55F6" w:rsidRPr="00D159D0" w:rsidRDefault="005E55F6" w:rsidP="005E55F6">
            <w:pPr>
              <w:widowControl w:val="0"/>
              <w:suppressAutoHyphens/>
              <w:ind w:firstLine="34"/>
              <w:contextualSpacing/>
              <w:jc w:val="both"/>
              <w:rPr>
                <w:b/>
                <w:bCs/>
                <w:lang w:val="uk-UA"/>
              </w:rPr>
            </w:pPr>
            <w:r w:rsidRPr="00D159D0">
              <w:rPr>
                <w:b/>
                <w:bCs/>
                <w:lang w:val="uk-UA"/>
              </w:rPr>
              <w:lastRenderedPageBreak/>
              <w:t>Прийнято до відома</w:t>
            </w:r>
          </w:p>
          <w:p w14:paraId="1E96A882" w14:textId="77777777" w:rsidR="005E55F6" w:rsidRPr="00D159D0" w:rsidRDefault="005E55F6" w:rsidP="005E55F6">
            <w:pPr>
              <w:widowControl w:val="0"/>
              <w:suppressAutoHyphens/>
              <w:ind w:firstLine="34"/>
              <w:contextualSpacing/>
              <w:jc w:val="both"/>
              <w:rPr>
                <w:b/>
                <w:bCs/>
                <w:lang w:val="uk-UA"/>
              </w:rPr>
            </w:pPr>
          </w:p>
          <w:p w14:paraId="0BDD10C5" w14:textId="77777777" w:rsidR="00A26411" w:rsidRPr="00D159D0" w:rsidRDefault="00A26411" w:rsidP="004976F9">
            <w:pPr>
              <w:jc w:val="both"/>
              <w:rPr>
                <w:b/>
                <w:bCs/>
                <w:lang w:val="uk-UA"/>
              </w:rPr>
            </w:pPr>
          </w:p>
          <w:p w14:paraId="3AD90034" w14:textId="77777777" w:rsidR="00A26411" w:rsidRPr="00D159D0" w:rsidRDefault="00A26411" w:rsidP="004976F9">
            <w:pPr>
              <w:jc w:val="both"/>
              <w:rPr>
                <w:b/>
                <w:bCs/>
                <w:lang w:val="uk-UA"/>
              </w:rPr>
            </w:pPr>
          </w:p>
          <w:p w14:paraId="31E98BEE" w14:textId="77777777" w:rsidR="00A26411" w:rsidRPr="00D159D0" w:rsidRDefault="00A26411" w:rsidP="004976F9">
            <w:pPr>
              <w:jc w:val="both"/>
              <w:rPr>
                <w:b/>
                <w:bCs/>
                <w:lang w:val="uk-UA"/>
              </w:rPr>
            </w:pPr>
          </w:p>
          <w:p w14:paraId="67A9F669" w14:textId="77777777" w:rsidR="00A26411" w:rsidRPr="00D159D0" w:rsidRDefault="00A26411" w:rsidP="004976F9">
            <w:pPr>
              <w:jc w:val="both"/>
              <w:rPr>
                <w:b/>
                <w:bCs/>
                <w:lang w:val="uk-UA"/>
              </w:rPr>
            </w:pPr>
          </w:p>
          <w:p w14:paraId="7E5F08E3" w14:textId="77777777" w:rsidR="00A26411" w:rsidRPr="00D159D0" w:rsidRDefault="00A26411" w:rsidP="004976F9">
            <w:pPr>
              <w:jc w:val="both"/>
              <w:rPr>
                <w:b/>
                <w:bCs/>
                <w:lang w:val="uk-UA"/>
              </w:rPr>
            </w:pPr>
          </w:p>
          <w:p w14:paraId="1EE4D824" w14:textId="77777777" w:rsidR="00A26411" w:rsidRPr="00D159D0" w:rsidRDefault="00A26411" w:rsidP="004976F9">
            <w:pPr>
              <w:jc w:val="both"/>
              <w:rPr>
                <w:b/>
                <w:bCs/>
                <w:lang w:val="uk-UA"/>
              </w:rPr>
            </w:pPr>
          </w:p>
          <w:p w14:paraId="4C44914D" w14:textId="77777777" w:rsidR="00A26411" w:rsidRPr="00D159D0" w:rsidRDefault="00A26411" w:rsidP="004976F9">
            <w:pPr>
              <w:jc w:val="both"/>
              <w:rPr>
                <w:b/>
                <w:bCs/>
                <w:lang w:val="uk-UA"/>
              </w:rPr>
            </w:pPr>
          </w:p>
          <w:p w14:paraId="7D8727F6" w14:textId="77777777" w:rsidR="00A26411" w:rsidRPr="00D159D0" w:rsidRDefault="00A26411" w:rsidP="004976F9">
            <w:pPr>
              <w:jc w:val="both"/>
              <w:rPr>
                <w:b/>
                <w:bCs/>
                <w:lang w:val="uk-UA"/>
              </w:rPr>
            </w:pPr>
          </w:p>
          <w:p w14:paraId="45150546" w14:textId="77777777" w:rsidR="00A26411" w:rsidRPr="00D159D0" w:rsidRDefault="00A26411" w:rsidP="004976F9">
            <w:pPr>
              <w:jc w:val="both"/>
              <w:rPr>
                <w:b/>
                <w:bCs/>
                <w:lang w:val="uk-UA"/>
              </w:rPr>
            </w:pPr>
          </w:p>
          <w:p w14:paraId="38658E5C" w14:textId="77777777" w:rsidR="00D1657F" w:rsidRPr="00D159D0" w:rsidRDefault="00D1657F" w:rsidP="00F22144">
            <w:pPr>
              <w:tabs>
                <w:tab w:val="left" w:pos="263"/>
              </w:tabs>
              <w:jc w:val="both"/>
              <w:rPr>
                <w:b/>
                <w:bCs/>
                <w:lang w:val="uk-UA"/>
              </w:rPr>
            </w:pPr>
          </w:p>
          <w:p w14:paraId="762D446E" w14:textId="1BA8DE51" w:rsidR="00A26411" w:rsidRPr="00D159D0" w:rsidRDefault="00A26411" w:rsidP="00F22144">
            <w:pPr>
              <w:tabs>
                <w:tab w:val="left" w:pos="263"/>
              </w:tabs>
              <w:jc w:val="both"/>
              <w:rPr>
                <w:b/>
                <w:bCs/>
                <w:lang w:val="uk-UA"/>
              </w:rPr>
            </w:pPr>
            <w:r w:rsidRPr="00D159D0">
              <w:rPr>
                <w:b/>
                <w:bCs/>
                <w:lang w:val="uk-UA"/>
              </w:rPr>
              <w:t>Не враховано</w:t>
            </w:r>
          </w:p>
          <w:p w14:paraId="41A72F30" w14:textId="77777777" w:rsidR="00F22144" w:rsidRPr="00D159D0" w:rsidRDefault="00F22144" w:rsidP="00F22144">
            <w:pPr>
              <w:ind w:hanging="49"/>
              <w:jc w:val="both"/>
              <w:rPr>
                <w:b/>
                <w:bCs/>
                <w:lang w:val="uk-UA"/>
              </w:rPr>
            </w:pPr>
            <w:r w:rsidRPr="00D159D0">
              <w:rPr>
                <w:b/>
                <w:bCs/>
                <w:lang w:val="uk-UA"/>
              </w:rPr>
              <w:t>Недостатньо обґрунтована позиція</w:t>
            </w:r>
          </w:p>
          <w:p w14:paraId="45CA2EC3" w14:textId="77777777" w:rsidR="00F22144" w:rsidRPr="00D159D0" w:rsidRDefault="00F22144" w:rsidP="00F22144">
            <w:pPr>
              <w:ind w:hanging="49"/>
              <w:jc w:val="both"/>
              <w:rPr>
                <w:bCs/>
                <w:lang w:val="uk-UA"/>
              </w:rPr>
            </w:pPr>
            <w:r w:rsidRPr="00D159D0">
              <w:rPr>
                <w:rFonts w:eastAsia="SimSun"/>
                <w:lang w:val="uk-UA" w:bidi="ta-IN"/>
              </w:rPr>
              <w:t xml:space="preserve">Питання продовження </w:t>
            </w:r>
            <w:r w:rsidRPr="00D159D0">
              <w:rPr>
                <w:lang w:val="uk-UA" w:eastAsia="uk-UA"/>
              </w:rPr>
              <w:t xml:space="preserve">для ліцензіатів, перелік яких наведено в додатку 30 до Порядку встановлення (формування) тарифів та для ліцензіатів, контролером або кінцевим </w:t>
            </w:r>
            <w:proofErr w:type="spellStart"/>
            <w:r w:rsidRPr="00D159D0">
              <w:rPr>
                <w:lang w:val="uk-UA" w:eastAsia="uk-UA"/>
              </w:rPr>
              <w:t>бенефіціарним</w:t>
            </w:r>
            <w:proofErr w:type="spellEnd"/>
            <w:r w:rsidRPr="00D159D0">
              <w:rPr>
                <w:lang w:val="uk-UA" w:eastAsia="uk-UA"/>
              </w:rPr>
              <w:t xml:space="preserve"> власником контрольного пакету акцій яких є фізичні або юридичні особи, щодо яких застосовано економічні та обмежувальні заходи (санкції), регуляторного періоду до 7 років</w:t>
            </w:r>
            <w:r w:rsidRPr="00D159D0">
              <w:rPr>
                <w:b/>
                <w:bCs/>
                <w:lang w:val="uk-UA" w:eastAsia="uk-UA"/>
              </w:rPr>
              <w:t xml:space="preserve"> </w:t>
            </w:r>
            <w:r w:rsidRPr="00D159D0">
              <w:rPr>
                <w:lang w:val="uk-UA"/>
              </w:rPr>
              <w:t xml:space="preserve">має вирішуватись комплексно з урахуванням балансу інтересів учасників ринку та споживачів, </w:t>
            </w:r>
            <w:r w:rsidRPr="00D159D0">
              <w:rPr>
                <w:rFonts w:eastAsia="SimSun"/>
                <w:lang w:val="uk-UA" w:bidi="ta-IN"/>
              </w:rPr>
              <w:t xml:space="preserve">деталізованого </w:t>
            </w:r>
            <w:r w:rsidRPr="00D159D0">
              <w:rPr>
                <w:lang w:val="uk-UA"/>
              </w:rPr>
              <w:t xml:space="preserve">аналізу та моніторингу результатів діяльності операторів систем </w:t>
            </w:r>
            <w:r w:rsidRPr="00D159D0">
              <w:rPr>
                <w:lang w:val="uk-UA"/>
              </w:rPr>
              <w:lastRenderedPageBreak/>
              <w:t>розподілу ближче до закінчення регуляторного періоду.</w:t>
            </w:r>
          </w:p>
          <w:p w14:paraId="7870BF03" w14:textId="77777777" w:rsidR="00A26411" w:rsidRPr="00D159D0" w:rsidRDefault="00A26411" w:rsidP="004976F9">
            <w:pPr>
              <w:jc w:val="both"/>
              <w:rPr>
                <w:b/>
                <w:bCs/>
                <w:lang w:val="uk-UA"/>
              </w:rPr>
            </w:pPr>
          </w:p>
          <w:p w14:paraId="185CBD92" w14:textId="77777777" w:rsidR="00A26411" w:rsidRPr="00D159D0" w:rsidRDefault="00A26411" w:rsidP="004976F9">
            <w:pPr>
              <w:jc w:val="both"/>
              <w:rPr>
                <w:b/>
                <w:bCs/>
                <w:lang w:val="uk-UA"/>
              </w:rPr>
            </w:pPr>
          </w:p>
          <w:p w14:paraId="6506F833" w14:textId="77777777" w:rsidR="00B85FC5" w:rsidRPr="00D159D0" w:rsidRDefault="00B85FC5" w:rsidP="004976F9">
            <w:pPr>
              <w:jc w:val="both"/>
              <w:rPr>
                <w:b/>
                <w:bCs/>
                <w:lang w:val="uk-UA"/>
              </w:rPr>
            </w:pPr>
          </w:p>
          <w:p w14:paraId="0097235C" w14:textId="77777777" w:rsidR="00D1657F" w:rsidRPr="00D159D0" w:rsidRDefault="00D1657F" w:rsidP="00D1657F">
            <w:pPr>
              <w:tabs>
                <w:tab w:val="left" w:pos="263"/>
              </w:tabs>
              <w:jc w:val="both"/>
              <w:rPr>
                <w:b/>
                <w:bCs/>
                <w:lang w:val="uk-UA"/>
              </w:rPr>
            </w:pPr>
            <w:r w:rsidRPr="00D159D0">
              <w:rPr>
                <w:b/>
                <w:bCs/>
                <w:lang w:val="uk-UA"/>
              </w:rPr>
              <w:t>Не враховано</w:t>
            </w:r>
          </w:p>
          <w:p w14:paraId="41343D44" w14:textId="77777777" w:rsidR="00D1657F" w:rsidRPr="00D159D0" w:rsidRDefault="00D1657F" w:rsidP="00D1657F">
            <w:pPr>
              <w:ind w:hanging="49"/>
              <w:jc w:val="both"/>
              <w:rPr>
                <w:b/>
                <w:bCs/>
                <w:lang w:val="uk-UA"/>
              </w:rPr>
            </w:pPr>
            <w:r w:rsidRPr="00D159D0">
              <w:rPr>
                <w:b/>
                <w:bCs/>
                <w:lang w:val="uk-UA"/>
              </w:rPr>
              <w:t>Недостатньо обґрунтована позиція</w:t>
            </w:r>
          </w:p>
          <w:p w14:paraId="1D66B811" w14:textId="77777777" w:rsidR="00D1657F" w:rsidRPr="00D159D0" w:rsidRDefault="00D1657F" w:rsidP="00D1657F">
            <w:pPr>
              <w:jc w:val="both"/>
              <w:rPr>
                <w:b/>
                <w:bCs/>
                <w:lang w:val="uk-UA"/>
              </w:rPr>
            </w:pPr>
            <w:r w:rsidRPr="00D159D0">
              <w:rPr>
                <w:b/>
                <w:lang w:val="uk-UA"/>
              </w:rPr>
              <w:t xml:space="preserve">Пропонується </w:t>
            </w:r>
            <w:r w:rsidRPr="00D159D0">
              <w:rPr>
                <w:b/>
                <w:bCs/>
                <w:lang w:val="uk-UA"/>
              </w:rPr>
              <w:t xml:space="preserve">запропоновані пропозиції стосовно діяльності прифронтових ОСР розглянути під </w:t>
            </w:r>
          </w:p>
          <w:p w14:paraId="08B02524" w14:textId="77777777" w:rsidR="00D1657F" w:rsidRPr="00D159D0" w:rsidRDefault="00D1657F" w:rsidP="00D1657F">
            <w:pPr>
              <w:jc w:val="both"/>
              <w:rPr>
                <w:b/>
                <w:bCs/>
                <w:lang w:val="uk-UA"/>
              </w:rPr>
            </w:pPr>
            <w:r w:rsidRPr="00D159D0">
              <w:rPr>
                <w:b/>
                <w:bCs/>
                <w:lang w:val="uk-UA"/>
              </w:rPr>
              <w:t>час формування окремого блоку чергових змін до Порядку.</w:t>
            </w:r>
          </w:p>
          <w:p w14:paraId="688D9C0F" w14:textId="77777777" w:rsidR="00D1657F" w:rsidRPr="00D159D0" w:rsidRDefault="00D1657F" w:rsidP="00D1657F">
            <w:pPr>
              <w:jc w:val="both"/>
              <w:rPr>
                <w:b/>
                <w:bCs/>
                <w:lang w:val="uk-UA"/>
              </w:rPr>
            </w:pPr>
          </w:p>
          <w:p w14:paraId="6F24B37F" w14:textId="77777777" w:rsidR="00A26411" w:rsidRPr="00D159D0" w:rsidRDefault="00A26411" w:rsidP="004976F9">
            <w:pPr>
              <w:jc w:val="both"/>
              <w:rPr>
                <w:b/>
                <w:bCs/>
                <w:lang w:val="uk-UA"/>
              </w:rPr>
            </w:pPr>
          </w:p>
          <w:p w14:paraId="231DF18F" w14:textId="77777777" w:rsidR="00A26411" w:rsidRPr="00D159D0" w:rsidRDefault="00A26411" w:rsidP="00B85FC5">
            <w:pPr>
              <w:jc w:val="both"/>
              <w:rPr>
                <w:b/>
                <w:bCs/>
                <w:lang w:val="uk-UA"/>
              </w:rPr>
            </w:pPr>
          </w:p>
        </w:tc>
      </w:tr>
      <w:tr w:rsidR="00D159D0" w:rsidRPr="00D159D0" w14:paraId="1FAB2EE1" w14:textId="77777777" w:rsidTr="00EE26FC">
        <w:tc>
          <w:tcPr>
            <w:tcW w:w="15163" w:type="dxa"/>
            <w:gridSpan w:val="3"/>
          </w:tcPr>
          <w:p w14:paraId="08A0E62E" w14:textId="77777777" w:rsidR="0029393F" w:rsidRPr="00D159D0" w:rsidRDefault="0029393F" w:rsidP="004976F9">
            <w:pPr>
              <w:jc w:val="center"/>
              <w:rPr>
                <w:b/>
                <w:bCs/>
                <w:lang w:val="uk-UA"/>
              </w:rPr>
            </w:pPr>
            <w:r w:rsidRPr="00D159D0">
              <w:rPr>
                <w:b/>
                <w:bCs/>
                <w:lang w:val="uk-UA" w:eastAsia="uk-UA"/>
              </w:rPr>
              <w:lastRenderedPageBreak/>
              <w:t>Постанова НКРЕКП  від 27.07.2017 № 981 «Про затвердження Положення про порядок подання, визначення та затвердження економічних коефіцієнтів нормативних та прогнозованих технологічних витрат електроенергії»</w:t>
            </w:r>
          </w:p>
        </w:tc>
      </w:tr>
      <w:tr w:rsidR="00D159D0" w:rsidRPr="00D159D0" w14:paraId="7B052142" w14:textId="77777777" w:rsidTr="00EE26FC">
        <w:tc>
          <w:tcPr>
            <w:tcW w:w="5665" w:type="dxa"/>
          </w:tcPr>
          <w:p w14:paraId="0532421D" w14:textId="77777777" w:rsidR="004976F9" w:rsidRPr="00D159D0" w:rsidRDefault="004976F9" w:rsidP="004976F9">
            <w:pPr>
              <w:shd w:val="clear" w:color="auto" w:fill="FFFFFF"/>
              <w:jc w:val="both"/>
              <w:rPr>
                <w:lang w:val="uk-UA"/>
              </w:rPr>
            </w:pPr>
            <w:r w:rsidRPr="00D159D0">
              <w:rPr>
                <w:lang w:val="uk-UA"/>
              </w:rPr>
              <w:t>Зміни не пропонувались</w:t>
            </w:r>
          </w:p>
          <w:p w14:paraId="741EF3E0" w14:textId="77777777" w:rsidR="004976F9" w:rsidRPr="00D159D0" w:rsidRDefault="004976F9" w:rsidP="004976F9">
            <w:pPr>
              <w:shd w:val="clear" w:color="auto" w:fill="FFFFFF"/>
              <w:jc w:val="both"/>
              <w:rPr>
                <w:b/>
                <w:lang w:val="uk-UA"/>
              </w:rPr>
            </w:pPr>
            <w:r w:rsidRPr="00D159D0">
              <w:rPr>
                <w:lang w:val="uk-UA"/>
              </w:rPr>
              <w:t>3. Зупинити на період дії в Україні воєнного стану дію пунктів 2.5 та 2.6 глави 2 Положення.</w:t>
            </w:r>
          </w:p>
        </w:tc>
        <w:tc>
          <w:tcPr>
            <w:tcW w:w="5954" w:type="dxa"/>
          </w:tcPr>
          <w:p w14:paraId="627ED20F" w14:textId="77777777" w:rsidR="004976F9" w:rsidRPr="00D159D0" w:rsidRDefault="004976F9" w:rsidP="004976F9">
            <w:pPr>
              <w:jc w:val="both"/>
              <w:rPr>
                <w:b/>
                <w:bCs/>
                <w:lang w:val="uk-UA"/>
              </w:rPr>
            </w:pPr>
            <w:r w:rsidRPr="00D159D0">
              <w:rPr>
                <w:b/>
                <w:bCs/>
                <w:lang w:val="uk-UA"/>
              </w:rPr>
              <w:t>ПрАТ «КІРОВОГРАДОБЛЕНЕРГО» лист від 17.07.2024 № 3142/05/34</w:t>
            </w:r>
          </w:p>
          <w:p w14:paraId="364D62B1" w14:textId="77777777" w:rsidR="004976F9" w:rsidRPr="00D159D0" w:rsidRDefault="004976F9" w:rsidP="004976F9">
            <w:pPr>
              <w:ind w:left="36"/>
              <w:jc w:val="both"/>
              <w:rPr>
                <w:lang w:val="uk-UA"/>
              </w:rPr>
            </w:pPr>
            <w:r w:rsidRPr="00D159D0">
              <w:rPr>
                <w:lang w:val="uk-UA"/>
              </w:rPr>
              <w:t>Пропонуємо вилучити пункт 3 Постанови, з метою можливості врегулювання питання щодо касових розривів та недопущення збитковості ОСР.</w:t>
            </w:r>
          </w:p>
          <w:p w14:paraId="51CFE097" w14:textId="77777777" w:rsidR="004976F9" w:rsidRPr="00D159D0" w:rsidRDefault="004976F9" w:rsidP="004976F9">
            <w:pPr>
              <w:ind w:left="36"/>
              <w:jc w:val="both"/>
              <w:rPr>
                <w:lang w:val="uk-UA"/>
              </w:rPr>
            </w:pPr>
            <w:r w:rsidRPr="00D159D0">
              <w:rPr>
                <w:lang w:val="uk-UA"/>
              </w:rPr>
              <w:t>Зазначаємо, що відповідно до статті 14</w:t>
            </w:r>
            <w:r w:rsidRPr="00D159D0">
              <w:rPr>
                <w:vertAlign w:val="superscript"/>
                <w:lang w:val="uk-UA"/>
              </w:rPr>
              <w:t>1</w:t>
            </w:r>
            <w:r w:rsidRPr="00D159D0">
              <w:rPr>
                <w:lang w:val="uk-UA"/>
              </w:rPr>
              <w:t xml:space="preserve"> Закону України “Про торгово-промислові палати в Україні”, до форс-мажорних обставин (обставин непереборної сили) належать, зокрема: військові дії, оголошена та неоголошена війна, загальна військова мобілізація тощо. </w:t>
            </w:r>
          </w:p>
          <w:p w14:paraId="2EE7D4DA" w14:textId="77777777" w:rsidR="004976F9" w:rsidRPr="00D159D0" w:rsidRDefault="004976F9" w:rsidP="004976F9">
            <w:pPr>
              <w:ind w:left="36"/>
              <w:jc w:val="both"/>
              <w:rPr>
                <w:lang w:val="uk-UA"/>
              </w:rPr>
            </w:pPr>
          </w:p>
          <w:p w14:paraId="0EDD7A6D" w14:textId="77777777" w:rsidR="004976F9" w:rsidRPr="00D159D0" w:rsidRDefault="004976F9" w:rsidP="004976F9">
            <w:pPr>
              <w:jc w:val="both"/>
              <w:rPr>
                <w:b/>
                <w:bCs/>
                <w:lang w:val="uk-UA"/>
              </w:rPr>
            </w:pPr>
            <w:r w:rsidRPr="00D159D0">
              <w:rPr>
                <w:b/>
                <w:bCs/>
                <w:lang w:val="uk-UA"/>
              </w:rPr>
              <w:t>Тому вважаємо недоцільним зупинення на період дії в Україні воєнного стану дію пунктів 2.5 та 2.6 глави 2 Положення.</w:t>
            </w:r>
          </w:p>
        </w:tc>
        <w:tc>
          <w:tcPr>
            <w:tcW w:w="3544" w:type="dxa"/>
          </w:tcPr>
          <w:p w14:paraId="41D78479" w14:textId="5EB67AEC" w:rsidR="00D1657F" w:rsidRPr="00D159D0" w:rsidRDefault="00D1657F" w:rsidP="00D1657F">
            <w:pPr>
              <w:tabs>
                <w:tab w:val="left" w:pos="263"/>
              </w:tabs>
              <w:jc w:val="both"/>
              <w:rPr>
                <w:b/>
                <w:bCs/>
                <w:lang w:val="uk-UA"/>
              </w:rPr>
            </w:pPr>
            <w:r w:rsidRPr="00D159D0">
              <w:rPr>
                <w:b/>
                <w:bCs/>
                <w:lang w:val="uk-UA"/>
              </w:rPr>
              <w:t>Не враховано</w:t>
            </w:r>
          </w:p>
          <w:p w14:paraId="0401E0DA" w14:textId="77777777" w:rsidR="00D1657F" w:rsidRPr="00D159D0" w:rsidRDefault="00D1657F" w:rsidP="00D1657F">
            <w:pPr>
              <w:ind w:hanging="49"/>
              <w:jc w:val="both"/>
              <w:rPr>
                <w:b/>
                <w:bCs/>
                <w:lang w:val="uk-UA"/>
              </w:rPr>
            </w:pPr>
            <w:r w:rsidRPr="00D159D0">
              <w:rPr>
                <w:b/>
                <w:bCs/>
                <w:lang w:val="uk-UA"/>
              </w:rPr>
              <w:t>Недостатньо обґрунтована позиція</w:t>
            </w:r>
          </w:p>
          <w:p w14:paraId="61AE6928" w14:textId="571BC08B" w:rsidR="004976F9" w:rsidRPr="00D159D0" w:rsidRDefault="004976F9" w:rsidP="00EE26FC">
            <w:pPr>
              <w:ind w:right="34"/>
              <w:jc w:val="both"/>
              <w:rPr>
                <w:b/>
                <w:bCs/>
                <w:lang w:val="uk-UA"/>
              </w:rPr>
            </w:pPr>
          </w:p>
        </w:tc>
      </w:tr>
      <w:tr w:rsidR="00D159D0" w:rsidRPr="00D159D0" w14:paraId="5908D38A" w14:textId="77777777" w:rsidTr="00EE26FC">
        <w:tc>
          <w:tcPr>
            <w:tcW w:w="5665" w:type="dxa"/>
          </w:tcPr>
          <w:p w14:paraId="0ED9D93D" w14:textId="77777777" w:rsidR="004976F9" w:rsidRPr="00D159D0" w:rsidRDefault="004976F9" w:rsidP="004976F9">
            <w:pPr>
              <w:shd w:val="clear" w:color="auto" w:fill="FFFFFF"/>
              <w:ind w:firstLine="450"/>
              <w:jc w:val="both"/>
              <w:rPr>
                <w:b/>
                <w:lang w:val="uk-UA"/>
              </w:rPr>
            </w:pPr>
            <w:r w:rsidRPr="00D159D0">
              <w:rPr>
                <w:b/>
                <w:lang w:val="uk-UA"/>
              </w:rPr>
              <w:lastRenderedPageBreak/>
              <w:t>Зміни не пропонувались</w:t>
            </w:r>
          </w:p>
          <w:p w14:paraId="566FC12A" w14:textId="77777777" w:rsidR="00121015" w:rsidRPr="00D159D0" w:rsidRDefault="00121015" w:rsidP="00121015">
            <w:pPr>
              <w:jc w:val="both"/>
              <w:rPr>
                <w:lang w:val="uk-UA"/>
              </w:rPr>
            </w:pPr>
            <w:r w:rsidRPr="00D159D0">
              <w:t xml:space="preserve">2.5 </w:t>
            </w:r>
            <w:r w:rsidRPr="00D159D0">
              <w:rPr>
                <w:lang w:val="uk-UA"/>
              </w:rPr>
              <w:t xml:space="preserve">У разі відхилення через форс-мажорні обставини (обставини непереборної сили) у поточному розрахунковому періоді розрахованих нормативних значень технологічних витрат електроенергії (далі - НЗТВЕ), засвідчених у встановленому порядку та підтверджених протоколом затвердження НХТВЕ, на прогнозний період більше ніж на 10 % (включно) по 1 та/або 2 класах(у) відносно НЗТВЕ останнього завершеного річного періоду, підтверджених протоколом затвердження НХТВЕ, внаслідок зміни структури балансу електричної енергії, пов'язаної зі зміною схеми нормального режиму мережі, які підтверджені оператором системи передачі та/або центральним органом виконавчої влади, що реалізує державну політику у сфері нагляду (контролю) в галузі електроенергетики після надання </w:t>
            </w:r>
            <w:proofErr w:type="spellStart"/>
            <w:r w:rsidRPr="00D159D0">
              <w:rPr>
                <w:lang w:val="uk-UA"/>
              </w:rPr>
              <w:t>обґрунтовувальних</w:t>
            </w:r>
            <w:proofErr w:type="spellEnd"/>
            <w:r w:rsidRPr="00D159D0">
              <w:rPr>
                <w:lang w:val="uk-UA"/>
              </w:rPr>
              <w:t xml:space="preserve"> матеріалів та розрахунків, ЕКПТВЕ приймаються відповідно до розрахованих значень НЗТВЕ, підтверджених протоколом затвердження НХТВЕ, але не вище ніж на 10 % від діючих ЕКПТВЕ, виключно на період зміни схеми нормального режиму мережі.</w:t>
            </w:r>
          </w:p>
          <w:p w14:paraId="18525774" w14:textId="77777777" w:rsidR="004976F9" w:rsidRPr="00D159D0" w:rsidRDefault="004976F9" w:rsidP="004976F9">
            <w:pPr>
              <w:shd w:val="clear" w:color="auto" w:fill="FFFFFF"/>
              <w:ind w:firstLine="450"/>
              <w:jc w:val="both"/>
              <w:rPr>
                <w:b/>
              </w:rPr>
            </w:pPr>
          </w:p>
        </w:tc>
        <w:tc>
          <w:tcPr>
            <w:tcW w:w="5954" w:type="dxa"/>
          </w:tcPr>
          <w:p w14:paraId="29F1C5E6" w14:textId="77777777" w:rsidR="004976F9" w:rsidRPr="00D159D0" w:rsidRDefault="004976F9" w:rsidP="004976F9">
            <w:pPr>
              <w:jc w:val="both"/>
              <w:rPr>
                <w:b/>
                <w:bCs/>
                <w:lang w:val="uk-UA"/>
              </w:rPr>
            </w:pPr>
            <w:r w:rsidRPr="00D159D0">
              <w:rPr>
                <w:b/>
                <w:bCs/>
                <w:lang w:val="uk-UA"/>
              </w:rPr>
              <w:t>ПрАТ «КІРОВОГРАДОБЛЕНЕРГО» лист від 17.07.2024 № 3142/05/34</w:t>
            </w:r>
          </w:p>
          <w:p w14:paraId="3B41CA58" w14:textId="77777777" w:rsidR="004976F9" w:rsidRPr="00D159D0" w:rsidRDefault="004976F9" w:rsidP="004976F9">
            <w:pPr>
              <w:jc w:val="both"/>
              <w:rPr>
                <w:lang w:val="uk-UA"/>
              </w:rPr>
            </w:pPr>
            <w:r w:rsidRPr="00D159D0">
              <w:rPr>
                <w:lang w:val="uk-UA"/>
              </w:rPr>
              <w:t>Пропонуємо викласти пункт 2.5 Положення у новій редакції, з метою врахування в ЕКПТВЕ збільшення обсягів транзитних перетікань мережами ОСР в мережі суміжних ліцензіатів.</w:t>
            </w:r>
          </w:p>
          <w:p w14:paraId="65FC57E0" w14:textId="77777777" w:rsidR="004976F9" w:rsidRPr="00D159D0" w:rsidRDefault="004976F9" w:rsidP="004976F9">
            <w:pPr>
              <w:jc w:val="both"/>
              <w:rPr>
                <w:b/>
                <w:bCs/>
                <w:lang w:val="uk-UA"/>
              </w:rPr>
            </w:pPr>
          </w:p>
          <w:p w14:paraId="1CC41846" w14:textId="77777777" w:rsidR="004976F9" w:rsidRPr="00D159D0" w:rsidRDefault="004976F9" w:rsidP="004976F9">
            <w:pPr>
              <w:jc w:val="both"/>
              <w:rPr>
                <w:b/>
                <w:lang w:val="uk-UA"/>
              </w:rPr>
            </w:pPr>
            <w:r w:rsidRPr="00D159D0">
              <w:rPr>
                <w:lang w:val="uk-UA"/>
              </w:rPr>
              <w:t xml:space="preserve">2.5 У разі відхилення через форс-мажорні обставини (обставини непереборної сили) у поточному розрахунковому періоді розрахованих нормативних значень технологічних витрат електроенергії (далі - НЗТВЕ), засвідчених у встановленому порядку та підтверджених протоколом затвердження НХТВЕ, на прогнозний період </w:t>
            </w:r>
            <w:r w:rsidRPr="00D159D0">
              <w:rPr>
                <w:strike/>
                <w:lang w:val="uk-UA"/>
              </w:rPr>
              <w:t>більше ніж на 10 % (включно)</w:t>
            </w:r>
            <w:r w:rsidRPr="00D159D0">
              <w:rPr>
                <w:lang w:val="uk-UA"/>
              </w:rPr>
              <w:t xml:space="preserve"> по 1 та/або 2 класах(у) відносно НЗТВЕ </w:t>
            </w:r>
            <w:r w:rsidRPr="00D159D0">
              <w:rPr>
                <w:b/>
                <w:bCs/>
                <w:lang w:val="uk-UA"/>
              </w:rPr>
              <w:t>попереднього до настання форс-мажорних обставин (обставин непереборної сили)</w:t>
            </w:r>
            <w:r w:rsidRPr="00D159D0">
              <w:rPr>
                <w:lang w:val="uk-UA"/>
              </w:rPr>
              <w:t xml:space="preserve"> завершеного річного періоду, підтверджених протоколом затвердження НХТВЕ, внаслідок зміни структури балансу електричної енергії, пов'язаної зі зміною схеми нормального режиму мережі </w:t>
            </w:r>
            <w:r w:rsidRPr="00D159D0">
              <w:rPr>
                <w:b/>
                <w:bCs/>
                <w:lang w:val="uk-UA"/>
              </w:rPr>
              <w:t>та/або збільшення обсягів транзитних перетікань</w:t>
            </w:r>
            <w:r w:rsidRPr="00D159D0">
              <w:rPr>
                <w:lang w:val="uk-UA"/>
              </w:rPr>
              <w:t xml:space="preserve">, які підтверджені оператором системи передачі та/або центральним органом виконавчої влади, що реалізує державну політику у сфері нагляду (контролю) в галузі електроенергетики після надання </w:t>
            </w:r>
            <w:proofErr w:type="spellStart"/>
            <w:r w:rsidR="00A26411" w:rsidRPr="00D159D0">
              <w:rPr>
                <w:lang w:val="uk-UA"/>
              </w:rPr>
              <w:t>обгрунтувальних</w:t>
            </w:r>
            <w:proofErr w:type="spellEnd"/>
            <w:r w:rsidRPr="00D159D0">
              <w:rPr>
                <w:lang w:val="uk-UA"/>
              </w:rPr>
              <w:t xml:space="preserve"> матеріалів та розрахунків, ЕКПТВЕ на прогнозний період приймаються відповідно до розрахованих значень НЗТВЕ, підтверджених протоколом затвердження НХТВЕ</w:t>
            </w:r>
            <w:r w:rsidRPr="00D159D0">
              <w:rPr>
                <w:b/>
                <w:bCs/>
                <w:lang w:val="uk-UA"/>
              </w:rPr>
              <w:t>, але не більше за фактичні економічні коефіцієнти технологічних витрат електроенергії у поточному розрахунковому періоді, виключно на період зміни схеми нормального режиму мережі та/або збільшення обсягів транзитних перетікань.</w:t>
            </w:r>
          </w:p>
          <w:p w14:paraId="29E3FE7D" w14:textId="77777777" w:rsidR="004976F9" w:rsidRPr="00D159D0" w:rsidRDefault="004976F9" w:rsidP="004976F9">
            <w:pPr>
              <w:jc w:val="both"/>
              <w:rPr>
                <w:b/>
                <w:lang w:val="uk-UA"/>
              </w:rPr>
            </w:pPr>
          </w:p>
        </w:tc>
        <w:tc>
          <w:tcPr>
            <w:tcW w:w="3544" w:type="dxa"/>
          </w:tcPr>
          <w:p w14:paraId="38F652E7" w14:textId="77777777" w:rsidR="00D1657F" w:rsidRPr="00D159D0" w:rsidRDefault="00D1657F" w:rsidP="00D1657F">
            <w:pPr>
              <w:tabs>
                <w:tab w:val="left" w:pos="263"/>
              </w:tabs>
              <w:jc w:val="both"/>
              <w:rPr>
                <w:b/>
                <w:bCs/>
                <w:lang w:val="uk-UA"/>
              </w:rPr>
            </w:pPr>
            <w:r w:rsidRPr="00D159D0">
              <w:rPr>
                <w:b/>
                <w:bCs/>
                <w:lang w:val="uk-UA"/>
              </w:rPr>
              <w:t>Не враховано</w:t>
            </w:r>
          </w:p>
          <w:p w14:paraId="5CD72AE7" w14:textId="77777777" w:rsidR="00D1657F" w:rsidRPr="00D159D0" w:rsidRDefault="00D1657F" w:rsidP="00D1657F">
            <w:pPr>
              <w:ind w:hanging="49"/>
              <w:jc w:val="both"/>
              <w:rPr>
                <w:b/>
                <w:bCs/>
                <w:lang w:val="uk-UA"/>
              </w:rPr>
            </w:pPr>
            <w:r w:rsidRPr="00D159D0">
              <w:rPr>
                <w:b/>
                <w:bCs/>
                <w:lang w:val="uk-UA"/>
              </w:rPr>
              <w:t>Недостатньо обґрунтована позиція</w:t>
            </w:r>
          </w:p>
          <w:p w14:paraId="2AA6B8B5" w14:textId="58E73558" w:rsidR="004976F9" w:rsidRPr="00D159D0" w:rsidRDefault="004976F9" w:rsidP="004976F9">
            <w:pPr>
              <w:jc w:val="both"/>
              <w:rPr>
                <w:b/>
                <w:bCs/>
                <w:lang w:val="uk-UA"/>
              </w:rPr>
            </w:pPr>
          </w:p>
        </w:tc>
      </w:tr>
      <w:tr w:rsidR="00D159D0" w:rsidRPr="00D159D0" w14:paraId="4E2E7F4D" w14:textId="77777777" w:rsidTr="00EE26FC">
        <w:tc>
          <w:tcPr>
            <w:tcW w:w="5665" w:type="dxa"/>
          </w:tcPr>
          <w:p w14:paraId="42A84287" w14:textId="77777777" w:rsidR="0029393F" w:rsidRPr="00D159D0" w:rsidRDefault="0029393F" w:rsidP="004976F9">
            <w:pPr>
              <w:shd w:val="clear" w:color="auto" w:fill="FFFFFF"/>
              <w:ind w:firstLine="450"/>
              <w:jc w:val="both"/>
              <w:rPr>
                <w:b/>
                <w:lang w:val="uk-UA"/>
              </w:rPr>
            </w:pPr>
            <w:r w:rsidRPr="00D159D0">
              <w:rPr>
                <w:b/>
                <w:lang w:val="uk-UA"/>
              </w:rPr>
              <w:lastRenderedPageBreak/>
              <w:t>Зміни не пропонувались</w:t>
            </w:r>
          </w:p>
          <w:p w14:paraId="4C0D1660" w14:textId="77777777" w:rsidR="0029393F" w:rsidRPr="00D159D0" w:rsidRDefault="0029393F" w:rsidP="004976F9">
            <w:pPr>
              <w:shd w:val="clear" w:color="auto" w:fill="FFFFFF"/>
              <w:ind w:firstLine="450"/>
              <w:jc w:val="both"/>
              <w:rPr>
                <w:lang w:val="uk-UA" w:eastAsia="uk-UA"/>
              </w:rPr>
            </w:pPr>
            <w:r w:rsidRPr="00D159D0">
              <w:rPr>
                <w:lang w:val="uk-UA"/>
              </w:rPr>
              <w:t>2.6. У разі зміни структури споживання за останній завершений річний період, що призвела до зміни ЕКПТВЕ більше ніж на 10 % по 1 та/або 2 класах(у) напруги порівняно із ЕКПТВЕ, зафіксованим при розрахунку ЕКПТВЕ на прогнозний період, ЕКПТВЕ затверджуються відповідно до розрахунків за фактичними даними попереднього річного періоду, але не більше ніж на 10 % від діючих ЕКПТВЕ.</w:t>
            </w:r>
          </w:p>
        </w:tc>
        <w:tc>
          <w:tcPr>
            <w:tcW w:w="5954" w:type="dxa"/>
          </w:tcPr>
          <w:p w14:paraId="2D2038D8" w14:textId="77777777" w:rsidR="0029393F" w:rsidRPr="00D159D0" w:rsidRDefault="0029393F" w:rsidP="004976F9">
            <w:pPr>
              <w:jc w:val="both"/>
              <w:rPr>
                <w:b/>
                <w:lang w:val="uk-UA"/>
              </w:rPr>
            </w:pPr>
            <w:r w:rsidRPr="00D159D0">
              <w:rPr>
                <w:b/>
                <w:lang w:val="uk-UA"/>
              </w:rPr>
              <w:t>ТОВ «ДТЕК ВИСОКОВОЛЬТНІ МЕРЕЖІ» лист від 17.07.2024 № 08-61/935</w:t>
            </w:r>
          </w:p>
          <w:p w14:paraId="48317363" w14:textId="77777777" w:rsidR="0029393F" w:rsidRPr="00D159D0" w:rsidRDefault="0029393F" w:rsidP="004976F9">
            <w:pPr>
              <w:jc w:val="both"/>
              <w:rPr>
                <w:b/>
                <w:lang w:val="uk-UA"/>
              </w:rPr>
            </w:pPr>
            <w:r w:rsidRPr="00D159D0">
              <w:rPr>
                <w:b/>
                <w:lang w:val="uk-UA"/>
              </w:rPr>
              <w:t>АТ «ДТЕК ДОНЕЦЬКІ ЕЛЕКТРОМЕРЕЖІ» лист від 17.07.2024 № 06/9956</w:t>
            </w:r>
          </w:p>
          <w:p w14:paraId="2C246A4B"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0C0E841C" w14:textId="77777777" w:rsidR="0029393F" w:rsidRPr="00D159D0" w:rsidRDefault="0029393F" w:rsidP="004976F9">
            <w:pPr>
              <w:shd w:val="clear" w:color="auto" w:fill="FFFFFF"/>
              <w:jc w:val="both"/>
              <w:rPr>
                <w:lang w:val="uk-UA" w:eastAsia="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23EED6E1" w14:textId="77777777" w:rsidR="0029393F" w:rsidRPr="00D159D0" w:rsidRDefault="0029393F" w:rsidP="004976F9">
            <w:pPr>
              <w:shd w:val="clear" w:color="auto" w:fill="FFFFFF"/>
              <w:jc w:val="both"/>
              <w:rPr>
                <w:b/>
                <w:bCs/>
                <w:lang w:val="uk-UA" w:eastAsia="uk-UA"/>
              </w:rPr>
            </w:pPr>
            <w:r w:rsidRPr="00D159D0">
              <w:rPr>
                <w:b/>
                <w:bCs/>
                <w:lang w:val="uk-UA" w:eastAsia="uk-UA"/>
              </w:rPr>
              <w:t>Пропонується доповнити новим пунктом 2.7:</w:t>
            </w:r>
          </w:p>
          <w:p w14:paraId="1CB62BC4" w14:textId="77777777" w:rsidR="0029393F" w:rsidRPr="00D159D0" w:rsidRDefault="0029393F" w:rsidP="004976F9">
            <w:pPr>
              <w:shd w:val="clear" w:color="auto" w:fill="FFFFFF"/>
              <w:jc w:val="both"/>
              <w:rPr>
                <w:shd w:val="clear" w:color="auto" w:fill="FFFFFF"/>
                <w:lang w:val="uk-UA"/>
              </w:rPr>
            </w:pPr>
            <w:r w:rsidRPr="00D159D0">
              <w:rPr>
                <w:shd w:val="clear" w:color="auto" w:fill="FFFFFF"/>
                <w:lang w:val="uk-UA"/>
              </w:rPr>
              <w:t>2.7. Для ліцензіатів на частині території діяльності яких було  втрачено контроль з управління електричними мережами у зв’язку з бойовими діями та тимчасовою окупацією територій (Донецької, Херсонської, Харківської та Запорі</w:t>
            </w:r>
            <w:r w:rsidR="00A26411" w:rsidRPr="00D159D0">
              <w:rPr>
                <w:shd w:val="clear" w:color="auto" w:fill="FFFFFF"/>
                <w:lang w:val="uk-UA"/>
              </w:rPr>
              <w:t>з</w:t>
            </w:r>
            <w:r w:rsidRPr="00D159D0">
              <w:rPr>
                <w:shd w:val="clear" w:color="auto" w:fill="FFFFFF"/>
                <w:lang w:val="uk-UA"/>
              </w:rPr>
              <w:t>ької областей) ЕКПТВЕ затверджуються відповідно до розрахунків за фактичними даними за останній завершений річний період але не більше ніж на 20 % вище від діючих рівнів ЕКПТВЕ</w:t>
            </w:r>
          </w:p>
          <w:p w14:paraId="13B9B042" w14:textId="77777777" w:rsidR="0029393F" w:rsidRPr="00D159D0" w:rsidRDefault="0029393F" w:rsidP="004976F9">
            <w:pPr>
              <w:jc w:val="both"/>
              <w:rPr>
                <w:b/>
                <w:bCs/>
                <w:lang w:val="uk-UA" w:eastAsia="uk-UA"/>
              </w:rPr>
            </w:pPr>
            <w:r w:rsidRPr="00D159D0">
              <w:rPr>
                <w:b/>
                <w:bCs/>
                <w:lang w:val="uk-UA" w:eastAsia="uk-UA"/>
              </w:rPr>
              <w:t>Пункт 2.7 чинної постанови стає пунктом 2.8 з подальшою зміною номерів</w:t>
            </w:r>
          </w:p>
          <w:p w14:paraId="55AB9457" w14:textId="77777777" w:rsidR="00817433" w:rsidRPr="00D159D0" w:rsidRDefault="00817433" w:rsidP="004976F9">
            <w:pPr>
              <w:jc w:val="both"/>
              <w:rPr>
                <w:b/>
                <w:bCs/>
                <w:lang w:val="uk-UA"/>
              </w:rPr>
            </w:pPr>
          </w:p>
          <w:p w14:paraId="3266A892" w14:textId="77777777" w:rsidR="004976F9" w:rsidRPr="00D159D0" w:rsidRDefault="004976F9" w:rsidP="004976F9">
            <w:pPr>
              <w:jc w:val="both"/>
              <w:rPr>
                <w:b/>
                <w:bCs/>
                <w:lang w:val="uk-UA"/>
              </w:rPr>
            </w:pPr>
            <w:r w:rsidRPr="00D159D0">
              <w:rPr>
                <w:b/>
                <w:bCs/>
                <w:lang w:val="uk-UA"/>
              </w:rPr>
              <w:t>ПрАТ «КІРОВОГРАДОБЛЕНЕРГО» лист від 17.07.2024 № 3142/05/34</w:t>
            </w:r>
          </w:p>
          <w:p w14:paraId="275DB026" w14:textId="77777777" w:rsidR="004976F9" w:rsidRPr="00D159D0" w:rsidRDefault="004976F9" w:rsidP="004976F9">
            <w:pPr>
              <w:jc w:val="both"/>
              <w:rPr>
                <w:lang w:val="uk-UA"/>
              </w:rPr>
            </w:pPr>
            <w:r w:rsidRPr="00D159D0">
              <w:rPr>
                <w:lang w:val="uk-UA"/>
              </w:rPr>
              <w:t>Пропонуємо викласти пункт 2.6 Положення у новій редакції, з метою врахування в ЕКПТВЕ зміни структури споживання.</w:t>
            </w:r>
          </w:p>
          <w:p w14:paraId="503B63BE" w14:textId="77777777" w:rsidR="0029393F" w:rsidRPr="00D159D0" w:rsidRDefault="004976F9" w:rsidP="004044C1">
            <w:pPr>
              <w:rPr>
                <w:b/>
                <w:lang w:val="uk-UA"/>
              </w:rPr>
            </w:pPr>
            <w:r w:rsidRPr="00D159D0">
              <w:rPr>
                <w:lang w:val="uk-UA"/>
              </w:rPr>
              <w:t xml:space="preserve">2.6 У разі зміни структури споживання за останній завершений річний період, що призвела до зміни ЕКПТВЕ більше ніж на 5 % по 1 та/або 2 класах(у) напруги порівняно із ЕКПТВЕ, зафіксованим при розрахунку ЕКПТВЕ на прогнозний період, ЕКПТВЕ затверджуються відповідно до розрахунків за фактичними даними </w:t>
            </w:r>
            <w:r w:rsidRPr="00D159D0">
              <w:rPr>
                <w:b/>
                <w:bCs/>
                <w:lang w:val="uk-UA"/>
              </w:rPr>
              <w:t>останнього завершеного</w:t>
            </w:r>
            <w:r w:rsidRPr="00D159D0">
              <w:rPr>
                <w:lang w:val="uk-UA"/>
              </w:rPr>
              <w:t xml:space="preserve"> річного періоду. </w:t>
            </w:r>
          </w:p>
        </w:tc>
        <w:tc>
          <w:tcPr>
            <w:tcW w:w="3544" w:type="dxa"/>
          </w:tcPr>
          <w:p w14:paraId="1E3D3F8B" w14:textId="77777777" w:rsidR="00D1657F" w:rsidRPr="00D159D0" w:rsidRDefault="00D1657F" w:rsidP="00D1657F">
            <w:pPr>
              <w:tabs>
                <w:tab w:val="left" w:pos="263"/>
              </w:tabs>
              <w:jc w:val="both"/>
              <w:rPr>
                <w:b/>
                <w:bCs/>
                <w:lang w:val="uk-UA"/>
              </w:rPr>
            </w:pPr>
            <w:r w:rsidRPr="00D159D0">
              <w:rPr>
                <w:b/>
                <w:bCs/>
                <w:lang w:val="uk-UA"/>
              </w:rPr>
              <w:t>Не враховано</w:t>
            </w:r>
          </w:p>
          <w:p w14:paraId="2EBB868C" w14:textId="77777777" w:rsidR="00D1657F" w:rsidRPr="00D159D0" w:rsidRDefault="00D1657F" w:rsidP="00D1657F">
            <w:pPr>
              <w:ind w:hanging="49"/>
              <w:jc w:val="both"/>
              <w:rPr>
                <w:b/>
                <w:bCs/>
                <w:lang w:val="uk-UA"/>
              </w:rPr>
            </w:pPr>
            <w:r w:rsidRPr="00D159D0">
              <w:rPr>
                <w:b/>
                <w:bCs/>
                <w:lang w:val="uk-UA"/>
              </w:rPr>
              <w:t>Недостатньо обґрунтована позиція</w:t>
            </w:r>
          </w:p>
          <w:p w14:paraId="116E43DF" w14:textId="4595C898" w:rsidR="0029393F" w:rsidRPr="00D159D0" w:rsidRDefault="0029393F" w:rsidP="004976F9">
            <w:pPr>
              <w:jc w:val="both"/>
              <w:rPr>
                <w:b/>
                <w:bCs/>
                <w:lang w:val="uk-UA"/>
              </w:rPr>
            </w:pPr>
          </w:p>
        </w:tc>
      </w:tr>
      <w:tr w:rsidR="00AD2A16" w:rsidRPr="00D159D0" w14:paraId="26DBD65E" w14:textId="77777777" w:rsidTr="00EE26FC">
        <w:tc>
          <w:tcPr>
            <w:tcW w:w="5665" w:type="dxa"/>
          </w:tcPr>
          <w:p w14:paraId="68D69D23" w14:textId="77777777" w:rsidR="0029393F" w:rsidRPr="00D159D0" w:rsidRDefault="0029393F" w:rsidP="004976F9">
            <w:pPr>
              <w:rPr>
                <w:b/>
                <w:lang w:val="uk-UA"/>
              </w:rPr>
            </w:pPr>
            <w:r w:rsidRPr="00D159D0">
              <w:rPr>
                <w:b/>
                <w:lang w:val="uk-UA"/>
              </w:rPr>
              <w:lastRenderedPageBreak/>
              <w:t>Зміни не пропонувались</w:t>
            </w:r>
          </w:p>
          <w:p w14:paraId="0C5744B3" w14:textId="77777777" w:rsidR="0029393F" w:rsidRPr="00D159D0" w:rsidRDefault="0029393F" w:rsidP="004976F9">
            <w:pPr>
              <w:rPr>
                <w:lang w:val="uk-UA"/>
              </w:rPr>
            </w:pPr>
            <w:r w:rsidRPr="00D159D0">
              <w:rPr>
                <w:lang w:val="uk-UA"/>
              </w:rPr>
              <w:t xml:space="preserve">3.1. ЕКПТВЕ можуть переглядатися у поточному або регуляторному періоді за зверненням оператора системи розподілу з наданням </w:t>
            </w:r>
            <w:proofErr w:type="spellStart"/>
            <w:r w:rsidRPr="00D159D0">
              <w:rPr>
                <w:lang w:val="uk-UA"/>
              </w:rPr>
              <w:t>обґрунтовуючих</w:t>
            </w:r>
            <w:proofErr w:type="spellEnd"/>
            <w:r w:rsidRPr="00D159D0">
              <w:rPr>
                <w:lang w:val="uk-UA"/>
              </w:rPr>
              <w:t xml:space="preserve"> матеріалів та розрахунків у разі:</w:t>
            </w:r>
          </w:p>
          <w:p w14:paraId="0AF3399C" w14:textId="77777777" w:rsidR="0029393F" w:rsidRPr="00D159D0" w:rsidRDefault="0029393F" w:rsidP="004976F9">
            <w:pPr>
              <w:rPr>
                <w:lang w:val="uk-UA"/>
              </w:rPr>
            </w:pPr>
          </w:p>
          <w:p w14:paraId="2FF5BA17" w14:textId="77777777" w:rsidR="0029393F" w:rsidRPr="00D159D0" w:rsidRDefault="0029393F" w:rsidP="004976F9">
            <w:pPr>
              <w:rPr>
                <w:lang w:val="uk-UA"/>
              </w:rPr>
            </w:pPr>
            <w:r w:rsidRPr="00D159D0">
              <w:rPr>
                <w:lang w:val="uk-UA"/>
              </w:rPr>
              <w:t>1) виявлення помилок, які були допущені оператором системи розподілу у вихідних даних для розрахунку ЕКПТВЕ на прогнозний період;</w:t>
            </w:r>
          </w:p>
          <w:p w14:paraId="00F0C27A" w14:textId="77777777" w:rsidR="0029393F" w:rsidRPr="00D159D0" w:rsidRDefault="0029393F" w:rsidP="004976F9">
            <w:pPr>
              <w:rPr>
                <w:lang w:val="uk-UA"/>
              </w:rPr>
            </w:pPr>
          </w:p>
          <w:p w14:paraId="2F6165B0" w14:textId="77777777" w:rsidR="0029393F" w:rsidRPr="00D159D0" w:rsidRDefault="0029393F" w:rsidP="004976F9">
            <w:pPr>
              <w:rPr>
                <w:lang w:val="uk-UA"/>
              </w:rPr>
            </w:pPr>
            <w:r w:rsidRPr="00D159D0">
              <w:rPr>
                <w:lang w:val="uk-UA"/>
              </w:rPr>
              <w:t>2) зміни місця провадження господарської діяльності оператора системи розподілу;</w:t>
            </w:r>
          </w:p>
          <w:p w14:paraId="4686E096" w14:textId="77777777" w:rsidR="0029393F" w:rsidRPr="00D159D0" w:rsidRDefault="0029393F" w:rsidP="004976F9">
            <w:pPr>
              <w:rPr>
                <w:lang w:val="uk-UA"/>
              </w:rPr>
            </w:pPr>
          </w:p>
          <w:p w14:paraId="3F62C30E" w14:textId="77777777" w:rsidR="0029393F" w:rsidRPr="00D159D0" w:rsidRDefault="0029393F" w:rsidP="004976F9">
            <w:pPr>
              <w:rPr>
                <w:lang w:val="uk-UA"/>
              </w:rPr>
            </w:pPr>
            <w:r w:rsidRPr="00D159D0">
              <w:rPr>
                <w:lang w:val="uk-UA"/>
              </w:rPr>
              <w:t>3) наявності підстав, визначених пунктами 2.5 та 2.6 глави 2 цього Положення.</w:t>
            </w:r>
          </w:p>
          <w:p w14:paraId="4AE1C91A" w14:textId="77777777" w:rsidR="0029393F" w:rsidRPr="00D159D0" w:rsidRDefault="0029393F" w:rsidP="004976F9">
            <w:pPr>
              <w:jc w:val="both"/>
              <w:rPr>
                <w:lang w:val="uk-UA"/>
              </w:rPr>
            </w:pPr>
          </w:p>
          <w:p w14:paraId="52ECBC31" w14:textId="77777777" w:rsidR="00AD2A16" w:rsidRPr="00D159D0" w:rsidRDefault="00AD2A16" w:rsidP="004976F9">
            <w:pPr>
              <w:jc w:val="both"/>
              <w:rPr>
                <w:b/>
                <w:bCs/>
                <w:lang w:val="uk-UA"/>
              </w:rPr>
            </w:pPr>
          </w:p>
        </w:tc>
        <w:tc>
          <w:tcPr>
            <w:tcW w:w="5954" w:type="dxa"/>
          </w:tcPr>
          <w:p w14:paraId="5EFC8428" w14:textId="77777777" w:rsidR="0029393F" w:rsidRPr="00D159D0" w:rsidRDefault="0029393F" w:rsidP="004976F9">
            <w:pPr>
              <w:jc w:val="both"/>
              <w:rPr>
                <w:b/>
                <w:lang w:val="uk-UA"/>
              </w:rPr>
            </w:pPr>
            <w:r w:rsidRPr="00D159D0">
              <w:rPr>
                <w:b/>
                <w:lang w:val="uk-UA"/>
              </w:rPr>
              <w:t>ТОВ «ДТЕК ВИСОКОВОЛЬТНІ МЕРЕЖІ» лист від 17.07.2024 № 08-61/935</w:t>
            </w:r>
          </w:p>
          <w:p w14:paraId="1866E300" w14:textId="77777777" w:rsidR="0029393F" w:rsidRPr="00D159D0" w:rsidRDefault="0029393F" w:rsidP="004976F9">
            <w:pPr>
              <w:jc w:val="both"/>
              <w:rPr>
                <w:b/>
                <w:lang w:val="uk-UA"/>
              </w:rPr>
            </w:pPr>
            <w:r w:rsidRPr="00D159D0">
              <w:rPr>
                <w:b/>
                <w:lang w:val="uk-UA"/>
              </w:rPr>
              <w:t>АТ «ДТЕК ДОНЕЦЬКІ ЕЛЕКТРОМЕРЕЖІ» лист від 17.07.2024 № 06/9956</w:t>
            </w:r>
          </w:p>
          <w:p w14:paraId="3E1F4321" w14:textId="77777777" w:rsidR="00817433" w:rsidRPr="00D159D0" w:rsidRDefault="00817433" w:rsidP="00817433">
            <w:pPr>
              <w:jc w:val="both"/>
              <w:rPr>
                <w:b/>
                <w:lang w:val="uk-UA"/>
              </w:rPr>
            </w:pPr>
            <w:r w:rsidRPr="00D159D0">
              <w:rPr>
                <w:b/>
                <w:lang w:val="uk-UA"/>
              </w:rPr>
              <w:t>ГC «Розумні електромережі лист від 17.07.2024 № 17-07/1</w:t>
            </w:r>
          </w:p>
          <w:p w14:paraId="505F1171" w14:textId="77777777" w:rsidR="0029393F" w:rsidRPr="00D159D0" w:rsidRDefault="0029393F" w:rsidP="004976F9">
            <w:pPr>
              <w:shd w:val="clear" w:color="auto" w:fill="FFFFFF"/>
              <w:jc w:val="both"/>
              <w:rPr>
                <w:lang w:val="uk-UA" w:eastAsia="uk-UA"/>
              </w:rPr>
            </w:pPr>
            <w:r w:rsidRPr="00D159D0">
              <w:rPr>
                <w:shd w:val="clear" w:color="auto" w:fill="FFFFFF"/>
                <w:lang w:val="uk-UA"/>
              </w:rPr>
              <w:t>Пропонується застосувати загальний підхід під час перегляду тарифів для ліцензіатів, що знаходяться на територіях, за якими тимчасово втрачено контроль.</w:t>
            </w:r>
          </w:p>
          <w:p w14:paraId="6A2D0EB0" w14:textId="77777777" w:rsidR="0029393F" w:rsidRPr="00D159D0" w:rsidRDefault="0029393F" w:rsidP="004976F9">
            <w:pPr>
              <w:shd w:val="clear" w:color="auto" w:fill="FFFFFF"/>
              <w:ind w:firstLine="488"/>
              <w:jc w:val="both"/>
              <w:rPr>
                <w:lang w:val="uk-UA" w:eastAsia="uk-UA"/>
              </w:rPr>
            </w:pPr>
          </w:p>
          <w:p w14:paraId="5D9972B1" w14:textId="77777777" w:rsidR="0029393F" w:rsidRPr="00D159D0" w:rsidRDefault="0029393F" w:rsidP="004976F9">
            <w:pPr>
              <w:rPr>
                <w:lang w:val="uk-UA"/>
              </w:rPr>
            </w:pPr>
            <w:r w:rsidRPr="00D159D0">
              <w:rPr>
                <w:lang w:val="uk-UA"/>
              </w:rPr>
              <w:t xml:space="preserve">3.1. ЕКПТВЕ можуть переглядатися у поточному або регуляторному періоді за зверненням оператора системи розподілу з наданням </w:t>
            </w:r>
            <w:proofErr w:type="spellStart"/>
            <w:r w:rsidRPr="00D159D0">
              <w:rPr>
                <w:lang w:val="uk-UA"/>
              </w:rPr>
              <w:t>обґрунтовуючих</w:t>
            </w:r>
            <w:proofErr w:type="spellEnd"/>
            <w:r w:rsidRPr="00D159D0">
              <w:rPr>
                <w:lang w:val="uk-UA"/>
              </w:rPr>
              <w:t xml:space="preserve"> матеріалів та розрахунків у разі:</w:t>
            </w:r>
          </w:p>
          <w:p w14:paraId="62D1DAB2" w14:textId="77777777" w:rsidR="0029393F" w:rsidRPr="00D159D0" w:rsidRDefault="0029393F" w:rsidP="004976F9">
            <w:pPr>
              <w:rPr>
                <w:lang w:val="uk-UA"/>
              </w:rPr>
            </w:pPr>
          </w:p>
          <w:p w14:paraId="27BFDC2C" w14:textId="77777777" w:rsidR="0029393F" w:rsidRPr="00D159D0" w:rsidRDefault="0029393F" w:rsidP="004976F9">
            <w:pPr>
              <w:rPr>
                <w:lang w:val="uk-UA"/>
              </w:rPr>
            </w:pPr>
            <w:r w:rsidRPr="00D159D0">
              <w:rPr>
                <w:lang w:val="uk-UA"/>
              </w:rPr>
              <w:t>1) виявлення помилок, які були допущені оператором системи розподілу у вихідних даних для розрахунку ЕКПТВЕ на прогнозний період;</w:t>
            </w:r>
          </w:p>
          <w:p w14:paraId="066E40FB" w14:textId="77777777" w:rsidR="0029393F" w:rsidRPr="00D159D0" w:rsidRDefault="0029393F" w:rsidP="004976F9">
            <w:pPr>
              <w:rPr>
                <w:lang w:val="uk-UA"/>
              </w:rPr>
            </w:pPr>
          </w:p>
          <w:p w14:paraId="4EBF8B1D" w14:textId="77777777" w:rsidR="0029393F" w:rsidRPr="00D159D0" w:rsidRDefault="0029393F" w:rsidP="004976F9">
            <w:pPr>
              <w:rPr>
                <w:lang w:val="uk-UA"/>
              </w:rPr>
            </w:pPr>
            <w:r w:rsidRPr="00D159D0">
              <w:rPr>
                <w:lang w:val="uk-UA"/>
              </w:rPr>
              <w:t>2) зміни місця провадження господарської діяльності оператора системи розподілу;</w:t>
            </w:r>
          </w:p>
          <w:p w14:paraId="2548BEA3" w14:textId="77777777" w:rsidR="0029393F" w:rsidRPr="00D159D0" w:rsidRDefault="0029393F" w:rsidP="004976F9">
            <w:pPr>
              <w:rPr>
                <w:lang w:val="uk-UA"/>
              </w:rPr>
            </w:pPr>
          </w:p>
          <w:p w14:paraId="72C64AA7" w14:textId="77777777" w:rsidR="0029393F" w:rsidRPr="00D159D0" w:rsidRDefault="0029393F" w:rsidP="004976F9">
            <w:pPr>
              <w:rPr>
                <w:lang w:val="uk-UA"/>
              </w:rPr>
            </w:pPr>
            <w:r w:rsidRPr="00D159D0">
              <w:rPr>
                <w:lang w:val="uk-UA"/>
              </w:rPr>
              <w:t>3) наявності підстав, визначених пунктами 2.5 та 2.6 глави 2 цього Положення.</w:t>
            </w:r>
          </w:p>
          <w:p w14:paraId="3C2AE7E6" w14:textId="77777777" w:rsidR="0029393F" w:rsidRPr="00D159D0" w:rsidRDefault="0029393F" w:rsidP="004976F9">
            <w:pPr>
              <w:jc w:val="both"/>
              <w:rPr>
                <w:lang w:val="uk-UA"/>
              </w:rPr>
            </w:pPr>
          </w:p>
          <w:p w14:paraId="41456620" w14:textId="6A394AA4" w:rsidR="00AD2A16" w:rsidRPr="00D159D0" w:rsidRDefault="0029393F" w:rsidP="004976F9">
            <w:pPr>
              <w:jc w:val="both"/>
              <w:rPr>
                <w:b/>
                <w:bCs/>
                <w:lang w:val="uk-UA"/>
              </w:rPr>
            </w:pPr>
            <w:r w:rsidRPr="00D159D0">
              <w:rPr>
                <w:b/>
                <w:bCs/>
                <w:lang w:val="uk-UA"/>
              </w:rPr>
              <w:t>4) наявності підстав, визначених пунктом 2.7 глави 2 цього Положення;</w:t>
            </w:r>
          </w:p>
        </w:tc>
        <w:tc>
          <w:tcPr>
            <w:tcW w:w="3544" w:type="dxa"/>
          </w:tcPr>
          <w:p w14:paraId="16F49725" w14:textId="77777777" w:rsidR="00D1657F" w:rsidRPr="00D159D0" w:rsidRDefault="00D1657F" w:rsidP="00D1657F">
            <w:pPr>
              <w:tabs>
                <w:tab w:val="left" w:pos="263"/>
              </w:tabs>
              <w:jc w:val="both"/>
              <w:rPr>
                <w:b/>
                <w:bCs/>
                <w:lang w:val="uk-UA"/>
              </w:rPr>
            </w:pPr>
            <w:r w:rsidRPr="00D159D0">
              <w:rPr>
                <w:b/>
                <w:bCs/>
                <w:lang w:val="uk-UA"/>
              </w:rPr>
              <w:t>Не враховано</w:t>
            </w:r>
          </w:p>
          <w:p w14:paraId="40572528" w14:textId="77777777" w:rsidR="00D1657F" w:rsidRPr="00D159D0" w:rsidRDefault="00D1657F" w:rsidP="00D1657F">
            <w:pPr>
              <w:ind w:hanging="49"/>
              <w:jc w:val="both"/>
              <w:rPr>
                <w:b/>
                <w:bCs/>
                <w:lang w:val="uk-UA"/>
              </w:rPr>
            </w:pPr>
            <w:r w:rsidRPr="00D159D0">
              <w:rPr>
                <w:b/>
                <w:bCs/>
                <w:lang w:val="uk-UA"/>
              </w:rPr>
              <w:t>Недостатньо обґрунтована позиція</w:t>
            </w:r>
          </w:p>
          <w:p w14:paraId="1E6BC11A" w14:textId="6B257489" w:rsidR="00AD2A16" w:rsidRPr="00D159D0" w:rsidRDefault="00AD2A16" w:rsidP="004976F9">
            <w:pPr>
              <w:jc w:val="both"/>
              <w:rPr>
                <w:b/>
                <w:bCs/>
                <w:lang w:val="uk-UA"/>
              </w:rPr>
            </w:pPr>
          </w:p>
        </w:tc>
      </w:tr>
    </w:tbl>
    <w:p w14:paraId="5ABB9868" w14:textId="29A0834F" w:rsidR="00D159D0" w:rsidRDefault="00D159D0" w:rsidP="00A82A57">
      <w:pPr>
        <w:rPr>
          <w:lang w:val="en-US"/>
        </w:rPr>
      </w:pPr>
    </w:p>
    <w:p w14:paraId="0DDA3F99" w14:textId="77777777" w:rsidR="00D159D0" w:rsidRDefault="00D159D0">
      <w:pPr>
        <w:spacing w:after="160" w:line="259" w:lineRule="auto"/>
        <w:rPr>
          <w:lang w:val="en-US"/>
        </w:rPr>
      </w:pPr>
      <w:r>
        <w:rPr>
          <w:lang w:val="en-US"/>
        </w:rPr>
        <w:br w:type="page"/>
      </w:r>
    </w:p>
    <w:p w14:paraId="30939AA5" w14:textId="769F76A3" w:rsidR="00E42502" w:rsidRPr="00D159D0" w:rsidRDefault="00F84FFC" w:rsidP="00A82A57">
      <w:pPr>
        <w:rPr>
          <w:lang w:val="en-US"/>
        </w:rPr>
      </w:pPr>
      <w:r w:rsidRPr="00F84FFC">
        <w:lastRenderedPageBreak/>
        <w:drawing>
          <wp:inline distT="0" distB="0" distL="0" distR="0" wp14:anchorId="326258B6" wp14:editId="669B808C">
            <wp:extent cx="9611360" cy="3571629"/>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3">
                      <a:extLst>
                        <a:ext uri="{28A0092B-C50C-407E-A947-70E740481C1C}">
                          <a14:useLocalDpi xmlns:a14="http://schemas.microsoft.com/office/drawing/2010/main" val="0"/>
                        </a:ext>
                      </a:extLst>
                    </a:blip>
                    <a:srcRect/>
                    <a:stretch>
                      <a:fillRect/>
                    </a:stretch>
                  </pic:blipFill>
                  <pic:spPr bwMode="auto">
                    <a:xfrm>
                      <a:off x="0" y="0"/>
                      <a:ext cx="9611360" cy="3571629"/>
                    </a:xfrm>
                    <a:prstGeom prst="rect">
                      <a:avLst/>
                    </a:prstGeom>
                    <a:noFill/>
                    <a:ln>
                      <a:noFill/>
                    </a:ln>
                  </pic:spPr>
                </pic:pic>
              </a:graphicData>
            </a:graphic>
          </wp:inline>
        </w:drawing>
      </w:r>
      <w:bookmarkStart w:id="1" w:name="_GoBack"/>
      <w:bookmarkEnd w:id="1"/>
    </w:p>
    <w:sectPr w:rsidR="00E42502" w:rsidRPr="00D159D0" w:rsidSect="00A21622">
      <w:footerReference w:type="default" r:id="rId94"/>
      <w:pgSz w:w="16838" w:h="11906" w:orient="landscape"/>
      <w:pgMar w:top="567"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C83339" w14:textId="77777777" w:rsidR="006A3149" w:rsidRDefault="006A3149" w:rsidP="006D5707">
      <w:r>
        <w:separator/>
      </w:r>
    </w:p>
  </w:endnote>
  <w:endnote w:type="continuationSeparator" w:id="0">
    <w:p w14:paraId="63AF87E9" w14:textId="77777777" w:rsidR="006A3149" w:rsidRDefault="006A3149" w:rsidP="006D57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11389261"/>
      <w:docPartObj>
        <w:docPartGallery w:val="Page Numbers (Bottom of Page)"/>
        <w:docPartUnique/>
      </w:docPartObj>
    </w:sdtPr>
    <w:sdtEndPr/>
    <w:sdtContent>
      <w:p w14:paraId="18AD62DD" w14:textId="77777777" w:rsidR="0020724C" w:rsidRDefault="0020724C">
        <w:pPr>
          <w:pStyle w:val="af"/>
          <w:jc w:val="right"/>
        </w:pPr>
        <w:r>
          <w:fldChar w:fldCharType="begin"/>
        </w:r>
        <w:r>
          <w:instrText>PAGE   \* MERGEFORMAT</w:instrText>
        </w:r>
        <w:r>
          <w:fldChar w:fldCharType="separate"/>
        </w:r>
        <w:r>
          <w:rPr>
            <w:lang w:val="uk-UA"/>
          </w:rPr>
          <w:t>2</w:t>
        </w:r>
        <w:r>
          <w:fldChar w:fldCharType="end"/>
        </w:r>
      </w:p>
    </w:sdtContent>
  </w:sdt>
  <w:p w14:paraId="4EB67294" w14:textId="77777777" w:rsidR="0020724C" w:rsidRDefault="0020724C">
    <w:pPr>
      <w:pStyle w:val="af"/>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7C7F50" w14:textId="77777777" w:rsidR="006A3149" w:rsidRDefault="006A3149" w:rsidP="006D5707">
      <w:r>
        <w:separator/>
      </w:r>
    </w:p>
  </w:footnote>
  <w:footnote w:type="continuationSeparator" w:id="0">
    <w:p w14:paraId="7C9B57BB" w14:textId="77777777" w:rsidR="006A3149" w:rsidRDefault="006A3149" w:rsidP="006D570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548C5"/>
    <w:rsid w:val="00000E17"/>
    <w:rsid w:val="00004DA4"/>
    <w:rsid w:val="00010C21"/>
    <w:rsid w:val="000126E2"/>
    <w:rsid w:val="00017DD0"/>
    <w:rsid w:val="00024814"/>
    <w:rsid w:val="00032991"/>
    <w:rsid w:val="00040AF2"/>
    <w:rsid w:val="000604B1"/>
    <w:rsid w:val="000654DA"/>
    <w:rsid w:val="00082A9A"/>
    <w:rsid w:val="000850BC"/>
    <w:rsid w:val="000B76BD"/>
    <w:rsid w:val="000E4A6D"/>
    <w:rsid w:val="000F7A2A"/>
    <w:rsid w:val="00102413"/>
    <w:rsid w:val="00121015"/>
    <w:rsid w:val="0012666F"/>
    <w:rsid w:val="00127FBA"/>
    <w:rsid w:val="00145816"/>
    <w:rsid w:val="001507FC"/>
    <w:rsid w:val="00185E4E"/>
    <w:rsid w:val="001A7851"/>
    <w:rsid w:val="001B5469"/>
    <w:rsid w:val="001E5EE5"/>
    <w:rsid w:val="001F27E6"/>
    <w:rsid w:val="001F7A4A"/>
    <w:rsid w:val="0020724C"/>
    <w:rsid w:val="002079FF"/>
    <w:rsid w:val="0024195D"/>
    <w:rsid w:val="00245958"/>
    <w:rsid w:val="00271709"/>
    <w:rsid w:val="00287332"/>
    <w:rsid w:val="002879CF"/>
    <w:rsid w:val="0029393F"/>
    <w:rsid w:val="002B13BD"/>
    <w:rsid w:val="002D0A9A"/>
    <w:rsid w:val="0030746B"/>
    <w:rsid w:val="00326AC0"/>
    <w:rsid w:val="00333AD0"/>
    <w:rsid w:val="0034234E"/>
    <w:rsid w:val="00373015"/>
    <w:rsid w:val="0039461B"/>
    <w:rsid w:val="003957BD"/>
    <w:rsid w:val="003A3E7B"/>
    <w:rsid w:val="003C095D"/>
    <w:rsid w:val="003C47A5"/>
    <w:rsid w:val="003D4915"/>
    <w:rsid w:val="003E6094"/>
    <w:rsid w:val="004044C1"/>
    <w:rsid w:val="004158F0"/>
    <w:rsid w:val="00431692"/>
    <w:rsid w:val="004548C5"/>
    <w:rsid w:val="00454CFF"/>
    <w:rsid w:val="00456F55"/>
    <w:rsid w:val="0047627C"/>
    <w:rsid w:val="0048229C"/>
    <w:rsid w:val="004867FD"/>
    <w:rsid w:val="004976F9"/>
    <w:rsid w:val="004B46E9"/>
    <w:rsid w:val="00500651"/>
    <w:rsid w:val="00517DAF"/>
    <w:rsid w:val="005235BC"/>
    <w:rsid w:val="00545705"/>
    <w:rsid w:val="00561177"/>
    <w:rsid w:val="005B1326"/>
    <w:rsid w:val="005E0117"/>
    <w:rsid w:val="005E365B"/>
    <w:rsid w:val="005E3FA4"/>
    <w:rsid w:val="005E55F6"/>
    <w:rsid w:val="00607C3C"/>
    <w:rsid w:val="00616E43"/>
    <w:rsid w:val="00621C5E"/>
    <w:rsid w:val="00624A50"/>
    <w:rsid w:val="006260E9"/>
    <w:rsid w:val="00632EFC"/>
    <w:rsid w:val="006343C5"/>
    <w:rsid w:val="006439BC"/>
    <w:rsid w:val="00667B11"/>
    <w:rsid w:val="006A3149"/>
    <w:rsid w:val="006A72E4"/>
    <w:rsid w:val="006B2C84"/>
    <w:rsid w:val="006B3310"/>
    <w:rsid w:val="006B3AFE"/>
    <w:rsid w:val="006D5707"/>
    <w:rsid w:val="006E01CF"/>
    <w:rsid w:val="006E2A0F"/>
    <w:rsid w:val="0071655A"/>
    <w:rsid w:val="007269D1"/>
    <w:rsid w:val="007428D4"/>
    <w:rsid w:val="007434FA"/>
    <w:rsid w:val="00756EA7"/>
    <w:rsid w:val="007606BD"/>
    <w:rsid w:val="00762D4E"/>
    <w:rsid w:val="00780F80"/>
    <w:rsid w:val="00790F18"/>
    <w:rsid w:val="007A0D36"/>
    <w:rsid w:val="007B1C36"/>
    <w:rsid w:val="007B2220"/>
    <w:rsid w:val="007C486B"/>
    <w:rsid w:val="007E2481"/>
    <w:rsid w:val="00802EB8"/>
    <w:rsid w:val="00817433"/>
    <w:rsid w:val="0083035B"/>
    <w:rsid w:val="00834858"/>
    <w:rsid w:val="00842E0C"/>
    <w:rsid w:val="008703B1"/>
    <w:rsid w:val="00886A8F"/>
    <w:rsid w:val="008D1080"/>
    <w:rsid w:val="008D5040"/>
    <w:rsid w:val="008D72F7"/>
    <w:rsid w:val="00932A37"/>
    <w:rsid w:val="009807E4"/>
    <w:rsid w:val="00995A5A"/>
    <w:rsid w:val="009A0837"/>
    <w:rsid w:val="009B0218"/>
    <w:rsid w:val="009B20EB"/>
    <w:rsid w:val="009C2E00"/>
    <w:rsid w:val="009E7B99"/>
    <w:rsid w:val="00A04687"/>
    <w:rsid w:val="00A21622"/>
    <w:rsid w:val="00A26411"/>
    <w:rsid w:val="00A443D6"/>
    <w:rsid w:val="00A50CE6"/>
    <w:rsid w:val="00A51D9C"/>
    <w:rsid w:val="00A72BE6"/>
    <w:rsid w:val="00A82A57"/>
    <w:rsid w:val="00A95B3A"/>
    <w:rsid w:val="00AB6626"/>
    <w:rsid w:val="00AD0D78"/>
    <w:rsid w:val="00AD2A16"/>
    <w:rsid w:val="00AE02C7"/>
    <w:rsid w:val="00AE7407"/>
    <w:rsid w:val="00AF06D9"/>
    <w:rsid w:val="00AF73E9"/>
    <w:rsid w:val="00B13720"/>
    <w:rsid w:val="00B352AC"/>
    <w:rsid w:val="00B36187"/>
    <w:rsid w:val="00B708D6"/>
    <w:rsid w:val="00B8292B"/>
    <w:rsid w:val="00B85FC5"/>
    <w:rsid w:val="00BD09BC"/>
    <w:rsid w:val="00BD2038"/>
    <w:rsid w:val="00BE7345"/>
    <w:rsid w:val="00BF7528"/>
    <w:rsid w:val="00C12585"/>
    <w:rsid w:val="00C15EDC"/>
    <w:rsid w:val="00C31D31"/>
    <w:rsid w:val="00C60179"/>
    <w:rsid w:val="00C8530E"/>
    <w:rsid w:val="00C96D88"/>
    <w:rsid w:val="00CA72C6"/>
    <w:rsid w:val="00CB2AFF"/>
    <w:rsid w:val="00CB7FAE"/>
    <w:rsid w:val="00CC2A85"/>
    <w:rsid w:val="00CD1A1C"/>
    <w:rsid w:val="00CE111F"/>
    <w:rsid w:val="00CE5C6B"/>
    <w:rsid w:val="00CE6436"/>
    <w:rsid w:val="00D01500"/>
    <w:rsid w:val="00D07767"/>
    <w:rsid w:val="00D148C2"/>
    <w:rsid w:val="00D159D0"/>
    <w:rsid w:val="00D15AE1"/>
    <w:rsid w:val="00D1657F"/>
    <w:rsid w:val="00D46C39"/>
    <w:rsid w:val="00D47587"/>
    <w:rsid w:val="00D53F04"/>
    <w:rsid w:val="00D740EC"/>
    <w:rsid w:val="00D94BCD"/>
    <w:rsid w:val="00DC2C9C"/>
    <w:rsid w:val="00DC5F66"/>
    <w:rsid w:val="00DD6F6A"/>
    <w:rsid w:val="00E16EE1"/>
    <w:rsid w:val="00E17257"/>
    <w:rsid w:val="00E42502"/>
    <w:rsid w:val="00E44C69"/>
    <w:rsid w:val="00E502A3"/>
    <w:rsid w:val="00E605BF"/>
    <w:rsid w:val="00E757E9"/>
    <w:rsid w:val="00E81FD1"/>
    <w:rsid w:val="00E97AAB"/>
    <w:rsid w:val="00EA3366"/>
    <w:rsid w:val="00EC7509"/>
    <w:rsid w:val="00EE26FC"/>
    <w:rsid w:val="00EF2B55"/>
    <w:rsid w:val="00F03BC7"/>
    <w:rsid w:val="00F13E51"/>
    <w:rsid w:val="00F21C6E"/>
    <w:rsid w:val="00F22144"/>
    <w:rsid w:val="00F31AAC"/>
    <w:rsid w:val="00F50191"/>
    <w:rsid w:val="00F84FFC"/>
    <w:rsid w:val="00F90B3A"/>
    <w:rsid w:val="00FA5A56"/>
    <w:rsid w:val="00FC35B1"/>
    <w:rsid w:val="00FE076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A4C7A"/>
  <w15:chartTrackingRefBased/>
  <w15:docId w15:val="{39342517-95F8-4DFF-BEAF-FA7F10F5A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D94BCD"/>
    <w:pPr>
      <w:spacing w:after="0" w:line="240" w:lineRule="auto"/>
    </w:pPr>
    <w:rPr>
      <w:rFonts w:ascii="Times New Roman" w:eastAsia="Times New Roman" w:hAnsi="Times New Roman" w:cs="Times New Roman"/>
      <w:sz w:val="24"/>
      <w:szCs w:val="24"/>
      <w:lang w:val="ru-RU" w:eastAsia="ru-RU"/>
    </w:rPr>
  </w:style>
  <w:style w:type="paragraph" w:styleId="3">
    <w:name w:val="heading 3"/>
    <w:basedOn w:val="a"/>
    <w:next w:val="a"/>
    <w:link w:val="30"/>
    <w:semiHidden/>
    <w:unhideWhenUsed/>
    <w:qFormat/>
    <w:rsid w:val="003E6094"/>
    <w:pPr>
      <w:keepNext/>
      <w:spacing w:before="240" w:after="60"/>
      <w:outlineLvl w:val="2"/>
    </w:pPr>
    <w:rPr>
      <w:rFonts w:ascii="Calibri Light" w:hAnsi="Calibri Light"/>
      <w:b/>
      <w:bCs/>
      <w:sz w:val="26"/>
      <w:szCs w:val="2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99"/>
    <w:qFormat/>
    <w:rsid w:val="00D94BCD"/>
    <w:pPr>
      <w:ind w:left="720"/>
      <w:contextualSpacing/>
    </w:pPr>
  </w:style>
  <w:style w:type="character" w:styleId="a5">
    <w:name w:val="Placeholder Text"/>
    <w:basedOn w:val="a0"/>
    <w:uiPriority w:val="99"/>
    <w:semiHidden/>
    <w:rsid w:val="008D72F7"/>
    <w:rPr>
      <w:color w:val="808080"/>
    </w:rPr>
  </w:style>
  <w:style w:type="paragraph" w:customStyle="1" w:styleId="rvps2">
    <w:name w:val="rvps2"/>
    <w:basedOn w:val="a"/>
    <w:rsid w:val="007A0D36"/>
    <w:pPr>
      <w:spacing w:before="100" w:beforeAutospacing="1" w:after="100" w:afterAutospacing="1"/>
    </w:pPr>
    <w:rPr>
      <w:lang w:val="uk-UA" w:eastAsia="uk-UA"/>
    </w:rPr>
  </w:style>
  <w:style w:type="character" w:styleId="a6">
    <w:name w:val="Hyperlink"/>
    <w:basedOn w:val="a0"/>
    <w:uiPriority w:val="99"/>
    <w:semiHidden/>
    <w:unhideWhenUsed/>
    <w:rsid w:val="007A0D36"/>
    <w:rPr>
      <w:color w:val="0000FF"/>
      <w:u w:val="single"/>
    </w:rPr>
  </w:style>
  <w:style w:type="character" w:customStyle="1" w:styleId="rvts9">
    <w:name w:val="rvts9"/>
    <w:basedOn w:val="a0"/>
    <w:rsid w:val="007A0D36"/>
  </w:style>
  <w:style w:type="character" w:customStyle="1" w:styleId="rvts46">
    <w:name w:val="rvts46"/>
    <w:basedOn w:val="a0"/>
    <w:rsid w:val="007A0D36"/>
  </w:style>
  <w:style w:type="character" w:customStyle="1" w:styleId="rvts11">
    <w:name w:val="rvts11"/>
    <w:basedOn w:val="a0"/>
    <w:rsid w:val="007A0D36"/>
  </w:style>
  <w:style w:type="paragraph" w:styleId="a7">
    <w:name w:val="Normal (Web)"/>
    <w:basedOn w:val="a"/>
    <w:uiPriority w:val="99"/>
    <w:semiHidden/>
    <w:unhideWhenUsed/>
    <w:rsid w:val="007A0D36"/>
    <w:pPr>
      <w:spacing w:before="100" w:beforeAutospacing="1" w:after="100" w:afterAutospacing="1"/>
    </w:pPr>
    <w:rPr>
      <w:lang w:val="uk-UA" w:eastAsia="uk-UA"/>
    </w:rPr>
  </w:style>
  <w:style w:type="character" w:customStyle="1" w:styleId="rvts37">
    <w:name w:val="rvts37"/>
    <w:basedOn w:val="a0"/>
    <w:rsid w:val="007A0D36"/>
  </w:style>
  <w:style w:type="table" w:styleId="a8">
    <w:name w:val="Table Grid"/>
    <w:basedOn w:val="a1"/>
    <w:uiPriority w:val="39"/>
    <w:rsid w:val="00A21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j">
    <w:name w:val="tj"/>
    <w:basedOn w:val="a"/>
    <w:rsid w:val="00AD2A16"/>
    <w:pPr>
      <w:spacing w:before="100" w:beforeAutospacing="1" w:after="100" w:afterAutospacing="1"/>
    </w:pPr>
    <w:rPr>
      <w:lang w:val="uk-UA" w:eastAsia="uk-UA"/>
    </w:rPr>
  </w:style>
  <w:style w:type="paragraph" w:customStyle="1" w:styleId="Default">
    <w:name w:val="Default"/>
    <w:rsid w:val="00EF2B55"/>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Strong"/>
    <w:basedOn w:val="a0"/>
    <w:qFormat/>
    <w:rsid w:val="00010C21"/>
    <w:rPr>
      <w:b/>
      <w:bCs/>
    </w:rPr>
  </w:style>
  <w:style w:type="character" w:customStyle="1" w:styleId="30">
    <w:name w:val="Заголовок 3 Знак"/>
    <w:basedOn w:val="a0"/>
    <w:link w:val="3"/>
    <w:semiHidden/>
    <w:rsid w:val="003E6094"/>
    <w:rPr>
      <w:rFonts w:ascii="Calibri Light" w:eastAsia="Times New Roman" w:hAnsi="Calibri Light" w:cs="Times New Roman"/>
      <w:b/>
      <w:bCs/>
      <w:sz w:val="26"/>
      <w:szCs w:val="26"/>
      <w:lang w:eastAsia="ru-RU"/>
    </w:rPr>
  </w:style>
  <w:style w:type="paragraph" w:customStyle="1" w:styleId="aa">
    <w:name w:val="Обычный (веб)"/>
    <w:basedOn w:val="a"/>
    <w:rsid w:val="003E6094"/>
    <w:pPr>
      <w:suppressAutoHyphens/>
      <w:spacing w:before="280" w:after="280"/>
    </w:pPr>
    <w:rPr>
      <w:lang w:eastAsia="zh-CN"/>
    </w:rPr>
  </w:style>
  <w:style w:type="paragraph" w:customStyle="1" w:styleId="tr">
    <w:name w:val="tr"/>
    <w:basedOn w:val="a"/>
    <w:rsid w:val="00CA72C6"/>
    <w:pPr>
      <w:spacing w:before="100" w:beforeAutospacing="1" w:after="100" w:afterAutospacing="1"/>
    </w:pPr>
    <w:rPr>
      <w:lang w:val="uk-UA" w:eastAsia="uk-UA"/>
    </w:rPr>
  </w:style>
  <w:style w:type="paragraph" w:customStyle="1" w:styleId="tl">
    <w:name w:val="tl"/>
    <w:basedOn w:val="a"/>
    <w:rsid w:val="00CA72C6"/>
    <w:pPr>
      <w:spacing w:before="100" w:beforeAutospacing="1" w:after="100" w:afterAutospacing="1"/>
    </w:pPr>
    <w:rPr>
      <w:lang w:val="uk-UA" w:eastAsia="uk-UA"/>
    </w:rPr>
  </w:style>
  <w:style w:type="paragraph" w:customStyle="1" w:styleId="tc">
    <w:name w:val="tc"/>
    <w:basedOn w:val="a"/>
    <w:rsid w:val="00CA72C6"/>
    <w:pPr>
      <w:spacing w:before="100" w:beforeAutospacing="1" w:after="100" w:afterAutospacing="1"/>
    </w:pPr>
    <w:rPr>
      <w:lang w:val="uk-UA" w:eastAsia="uk-UA"/>
    </w:rPr>
  </w:style>
  <w:style w:type="paragraph" w:customStyle="1" w:styleId="rvps12">
    <w:name w:val="rvps12"/>
    <w:basedOn w:val="a"/>
    <w:rsid w:val="00BE7345"/>
    <w:pPr>
      <w:spacing w:before="100" w:beforeAutospacing="1" w:after="100" w:afterAutospacing="1"/>
    </w:pPr>
    <w:rPr>
      <w:lang w:val="uk-UA" w:eastAsia="uk-UA"/>
    </w:rPr>
  </w:style>
  <w:style w:type="paragraph" w:customStyle="1" w:styleId="rvps14">
    <w:name w:val="rvps14"/>
    <w:basedOn w:val="a"/>
    <w:rsid w:val="00BE7345"/>
    <w:pPr>
      <w:spacing w:before="100" w:beforeAutospacing="1" w:after="100" w:afterAutospacing="1"/>
    </w:pPr>
    <w:rPr>
      <w:lang w:val="uk-UA" w:eastAsia="uk-UA"/>
    </w:rPr>
  </w:style>
  <w:style w:type="paragraph" w:styleId="ab">
    <w:name w:val="Body Text"/>
    <w:basedOn w:val="a"/>
    <w:link w:val="ac"/>
    <w:semiHidden/>
    <w:unhideWhenUsed/>
    <w:rsid w:val="000654DA"/>
    <w:pPr>
      <w:suppressAutoHyphens/>
      <w:spacing w:after="140" w:line="276" w:lineRule="auto"/>
    </w:pPr>
    <w:rPr>
      <w:sz w:val="20"/>
      <w:szCs w:val="20"/>
      <w:lang w:val="uk-UA" w:eastAsia="zh-CN"/>
    </w:rPr>
  </w:style>
  <w:style w:type="character" w:customStyle="1" w:styleId="ac">
    <w:name w:val="Основний текст Знак"/>
    <w:basedOn w:val="a0"/>
    <w:link w:val="ab"/>
    <w:semiHidden/>
    <w:rsid w:val="000654DA"/>
    <w:rPr>
      <w:rFonts w:ascii="Times New Roman" w:eastAsia="Times New Roman" w:hAnsi="Times New Roman" w:cs="Times New Roman"/>
      <w:sz w:val="20"/>
      <w:szCs w:val="20"/>
      <w:lang w:eastAsia="zh-CN"/>
    </w:rPr>
  </w:style>
  <w:style w:type="character" w:customStyle="1" w:styleId="a4">
    <w:name w:val="Абзац списку Знак"/>
    <w:basedOn w:val="a0"/>
    <w:link w:val="a3"/>
    <w:uiPriority w:val="99"/>
    <w:rsid w:val="00FC35B1"/>
    <w:rPr>
      <w:rFonts w:ascii="Times New Roman" w:eastAsia="Times New Roman" w:hAnsi="Times New Roman" w:cs="Times New Roman"/>
      <w:sz w:val="24"/>
      <w:szCs w:val="24"/>
      <w:lang w:val="ru-RU" w:eastAsia="ru-RU"/>
    </w:rPr>
  </w:style>
  <w:style w:type="paragraph" w:styleId="ad">
    <w:name w:val="header"/>
    <w:basedOn w:val="a"/>
    <w:link w:val="ae"/>
    <w:uiPriority w:val="99"/>
    <w:unhideWhenUsed/>
    <w:rsid w:val="006D5707"/>
    <w:pPr>
      <w:tabs>
        <w:tab w:val="center" w:pos="4819"/>
        <w:tab w:val="right" w:pos="9639"/>
      </w:tabs>
    </w:pPr>
  </w:style>
  <w:style w:type="character" w:customStyle="1" w:styleId="ae">
    <w:name w:val="Верхній колонтитул Знак"/>
    <w:basedOn w:val="a0"/>
    <w:link w:val="ad"/>
    <w:uiPriority w:val="99"/>
    <w:rsid w:val="006D5707"/>
    <w:rPr>
      <w:rFonts w:ascii="Times New Roman" w:eastAsia="Times New Roman" w:hAnsi="Times New Roman" w:cs="Times New Roman"/>
      <w:sz w:val="24"/>
      <w:szCs w:val="24"/>
      <w:lang w:val="ru-RU" w:eastAsia="ru-RU"/>
    </w:rPr>
  </w:style>
  <w:style w:type="paragraph" w:styleId="af">
    <w:name w:val="footer"/>
    <w:basedOn w:val="a"/>
    <w:link w:val="af0"/>
    <w:uiPriority w:val="99"/>
    <w:unhideWhenUsed/>
    <w:rsid w:val="006D5707"/>
    <w:pPr>
      <w:tabs>
        <w:tab w:val="center" w:pos="4819"/>
        <w:tab w:val="right" w:pos="9639"/>
      </w:tabs>
    </w:pPr>
  </w:style>
  <w:style w:type="character" w:customStyle="1" w:styleId="af0">
    <w:name w:val="Нижній колонтитул Знак"/>
    <w:basedOn w:val="a0"/>
    <w:link w:val="af"/>
    <w:uiPriority w:val="99"/>
    <w:rsid w:val="006D5707"/>
    <w:rPr>
      <w:rFonts w:ascii="Times New Roman" w:eastAsia="Times New Roman" w:hAnsi="Times New Roman" w:cs="Times New Roman"/>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924613">
      <w:bodyDiv w:val="1"/>
      <w:marLeft w:val="0"/>
      <w:marRight w:val="0"/>
      <w:marTop w:val="0"/>
      <w:marBottom w:val="0"/>
      <w:divBdr>
        <w:top w:val="none" w:sz="0" w:space="0" w:color="auto"/>
        <w:left w:val="none" w:sz="0" w:space="0" w:color="auto"/>
        <w:bottom w:val="none" w:sz="0" w:space="0" w:color="auto"/>
        <w:right w:val="none" w:sz="0" w:space="0" w:color="auto"/>
      </w:divBdr>
    </w:div>
    <w:div w:id="19404173">
      <w:bodyDiv w:val="1"/>
      <w:marLeft w:val="0"/>
      <w:marRight w:val="0"/>
      <w:marTop w:val="0"/>
      <w:marBottom w:val="0"/>
      <w:divBdr>
        <w:top w:val="none" w:sz="0" w:space="0" w:color="auto"/>
        <w:left w:val="none" w:sz="0" w:space="0" w:color="auto"/>
        <w:bottom w:val="none" w:sz="0" w:space="0" w:color="auto"/>
        <w:right w:val="none" w:sz="0" w:space="0" w:color="auto"/>
      </w:divBdr>
    </w:div>
    <w:div w:id="128523214">
      <w:bodyDiv w:val="1"/>
      <w:marLeft w:val="0"/>
      <w:marRight w:val="0"/>
      <w:marTop w:val="0"/>
      <w:marBottom w:val="0"/>
      <w:divBdr>
        <w:top w:val="none" w:sz="0" w:space="0" w:color="auto"/>
        <w:left w:val="none" w:sz="0" w:space="0" w:color="auto"/>
        <w:bottom w:val="none" w:sz="0" w:space="0" w:color="auto"/>
        <w:right w:val="none" w:sz="0" w:space="0" w:color="auto"/>
      </w:divBdr>
    </w:div>
    <w:div w:id="153180026">
      <w:bodyDiv w:val="1"/>
      <w:marLeft w:val="0"/>
      <w:marRight w:val="0"/>
      <w:marTop w:val="0"/>
      <w:marBottom w:val="0"/>
      <w:divBdr>
        <w:top w:val="none" w:sz="0" w:space="0" w:color="auto"/>
        <w:left w:val="none" w:sz="0" w:space="0" w:color="auto"/>
        <w:bottom w:val="none" w:sz="0" w:space="0" w:color="auto"/>
        <w:right w:val="none" w:sz="0" w:space="0" w:color="auto"/>
      </w:divBdr>
    </w:div>
    <w:div w:id="209075638">
      <w:bodyDiv w:val="1"/>
      <w:marLeft w:val="0"/>
      <w:marRight w:val="0"/>
      <w:marTop w:val="0"/>
      <w:marBottom w:val="0"/>
      <w:divBdr>
        <w:top w:val="none" w:sz="0" w:space="0" w:color="auto"/>
        <w:left w:val="none" w:sz="0" w:space="0" w:color="auto"/>
        <w:bottom w:val="none" w:sz="0" w:space="0" w:color="auto"/>
        <w:right w:val="none" w:sz="0" w:space="0" w:color="auto"/>
      </w:divBdr>
    </w:div>
    <w:div w:id="213852149">
      <w:bodyDiv w:val="1"/>
      <w:marLeft w:val="0"/>
      <w:marRight w:val="0"/>
      <w:marTop w:val="0"/>
      <w:marBottom w:val="0"/>
      <w:divBdr>
        <w:top w:val="none" w:sz="0" w:space="0" w:color="auto"/>
        <w:left w:val="none" w:sz="0" w:space="0" w:color="auto"/>
        <w:bottom w:val="none" w:sz="0" w:space="0" w:color="auto"/>
        <w:right w:val="none" w:sz="0" w:space="0" w:color="auto"/>
      </w:divBdr>
    </w:div>
    <w:div w:id="252083782">
      <w:bodyDiv w:val="1"/>
      <w:marLeft w:val="0"/>
      <w:marRight w:val="0"/>
      <w:marTop w:val="0"/>
      <w:marBottom w:val="0"/>
      <w:divBdr>
        <w:top w:val="none" w:sz="0" w:space="0" w:color="auto"/>
        <w:left w:val="none" w:sz="0" w:space="0" w:color="auto"/>
        <w:bottom w:val="none" w:sz="0" w:space="0" w:color="auto"/>
        <w:right w:val="none" w:sz="0" w:space="0" w:color="auto"/>
      </w:divBdr>
    </w:div>
    <w:div w:id="395931106">
      <w:bodyDiv w:val="1"/>
      <w:marLeft w:val="0"/>
      <w:marRight w:val="0"/>
      <w:marTop w:val="0"/>
      <w:marBottom w:val="0"/>
      <w:divBdr>
        <w:top w:val="none" w:sz="0" w:space="0" w:color="auto"/>
        <w:left w:val="none" w:sz="0" w:space="0" w:color="auto"/>
        <w:bottom w:val="none" w:sz="0" w:space="0" w:color="auto"/>
        <w:right w:val="none" w:sz="0" w:space="0" w:color="auto"/>
      </w:divBdr>
    </w:div>
    <w:div w:id="433480756">
      <w:bodyDiv w:val="1"/>
      <w:marLeft w:val="0"/>
      <w:marRight w:val="0"/>
      <w:marTop w:val="0"/>
      <w:marBottom w:val="0"/>
      <w:divBdr>
        <w:top w:val="none" w:sz="0" w:space="0" w:color="auto"/>
        <w:left w:val="none" w:sz="0" w:space="0" w:color="auto"/>
        <w:bottom w:val="none" w:sz="0" w:space="0" w:color="auto"/>
        <w:right w:val="none" w:sz="0" w:space="0" w:color="auto"/>
      </w:divBdr>
    </w:div>
    <w:div w:id="503323495">
      <w:bodyDiv w:val="1"/>
      <w:marLeft w:val="0"/>
      <w:marRight w:val="0"/>
      <w:marTop w:val="0"/>
      <w:marBottom w:val="0"/>
      <w:divBdr>
        <w:top w:val="none" w:sz="0" w:space="0" w:color="auto"/>
        <w:left w:val="none" w:sz="0" w:space="0" w:color="auto"/>
        <w:bottom w:val="none" w:sz="0" w:space="0" w:color="auto"/>
        <w:right w:val="none" w:sz="0" w:space="0" w:color="auto"/>
      </w:divBdr>
    </w:div>
    <w:div w:id="606037355">
      <w:bodyDiv w:val="1"/>
      <w:marLeft w:val="0"/>
      <w:marRight w:val="0"/>
      <w:marTop w:val="0"/>
      <w:marBottom w:val="0"/>
      <w:divBdr>
        <w:top w:val="none" w:sz="0" w:space="0" w:color="auto"/>
        <w:left w:val="none" w:sz="0" w:space="0" w:color="auto"/>
        <w:bottom w:val="none" w:sz="0" w:space="0" w:color="auto"/>
        <w:right w:val="none" w:sz="0" w:space="0" w:color="auto"/>
      </w:divBdr>
    </w:div>
    <w:div w:id="607657637">
      <w:bodyDiv w:val="1"/>
      <w:marLeft w:val="0"/>
      <w:marRight w:val="0"/>
      <w:marTop w:val="0"/>
      <w:marBottom w:val="0"/>
      <w:divBdr>
        <w:top w:val="none" w:sz="0" w:space="0" w:color="auto"/>
        <w:left w:val="none" w:sz="0" w:space="0" w:color="auto"/>
        <w:bottom w:val="none" w:sz="0" w:space="0" w:color="auto"/>
        <w:right w:val="none" w:sz="0" w:space="0" w:color="auto"/>
      </w:divBdr>
    </w:div>
    <w:div w:id="701250403">
      <w:bodyDiv w:val="1"/>
      <w:marLeft w:val="0"/>
      <w:marRight w:val="0"/>
      <w:marTop w:val="0"/>
      <w:marBottom w:val="0"/>
      <w:divBdr>
        <w:top w:val="none" w:sz="0" w:space="0" w:color="auto"/>
        <w:left w:val="none" w:sz="0" w:space="0" w:color="auto"/>
        <w:bottom w:val="none" w:sz="0" w:space="0" w:color="auto"/>
        <w:right w:val="none" w:sz="0" w:space="0" w:color="auto"/>
      </w:divBdr>
    </w:div>
    <w:div w:id="798258526">
      <w:bodyDiv w:val="1"/>
      <w:marLeft w:val="0"/>
      <w:marRight w:val="0"/>
      <w:marTop w:val="0"/>
      <w:marBottom w:val="0"/>
      <w:divBdr>
        <w:top w:val="none" w:sz="0" w:space="0" w:color="auto"/>
        <w:left w:val="none" w:sz="0" w:space="0" w:color="auto"/>
        <w:bottom w:val="none" w:sz="0" w:space="0" w:color="auto"/>
        <w:right w:val="none" w:sz="0" w:space="0" w:color="auto"/>
      </w:divBdr>
    </w:div>
    <w:div w:id="835388329">
      <w:bodyDiv w:val="1"/>
      <w:marLeft w:val="0"/>
      <w:marRight w:val="0"/>
      <w:marTop w:val="0"/>
      <w:marBottom w:val="0"/>
      <w:divBdr>
        <w:top w:val="none" w:sz="0" w:space="0" w:color="auto"/>
        <w:left w:val="none" w:sz="0" w:space="0" w:color="auto"/>
        <w:bottom w:val="none" w:sz="0" w:space="0" w:color="auto"/>
        <w:right w:val="none" w:sz="0" w:space="0" w:color="auto"/>
      </w:divBdr>
    </w:div>
    <w:div w:id="931862709">
      <w:bodyDiv w:val="1"/>
      <w:marLeft w:val="0"/>
      <w:marRight w:val="0"/>
      <w:marTop w:val="0"/>
      <w:marBottom w:val="0"/>
      <w:divBdr>
        <w:top w:val="none" w:sz="0" w:space="0" w:color="auto"/>
        <w:left w:val="none" w:sz="0" w:space="0" w:color="auto"/>
        <w:bottom w:val="none" w:sz="0" w:space="0" w:color="auto"/>
        <w:right w:val="none" w:sz="0" w:space="0" w:color="auto"/>
      </w:divBdr>
    </w:div>
    <w:div w:id="980184847">
      <w:bodyDiv w:val="1"/>
      <w:marLeft w:val="0"/>
      <w:marRight w:val="0"/>
      <w:marTop w:val="0"/>
      <w:marBottom w:val="0"/>
      <w:divBdr>
        <w:top w:val="none" w:sz="0" w:space="0" w:color="auto"/>
        <w:left w:val="none" w:sz="0" w:space="0" w:color="auto"/>
        <w:bottom w:val="none" w:sz="0" w:space="0" w:color="auto"/>
        <w:right w:val="none" w:sz="0" w:space="0" w:color="auto"/>
      </w:divBdr>
    </w:div>
    <w:div w:id="980307721">
      <w:bodyDiv w:val="1"/>
      <w:marLeft w:val="0"/>
      <w:marRight w:val="0"/>
      <w:marTop w:val="0"/>
      <w:marBottom w:val="0"/>
      <w:divBdr>
        <w:top w:val="none" w:sz="0" w:space="0" w:color="auto"/>
        <w:left w:val="none" w:sz="0" w:space="0" w:color="auto"/>
        <w:bottom w:val="none" w:sz="0" w:space="0" w:color="auto"/>
        <w:right w:val="none" w:sz="0" w:space="0" w:color="auto"/>
      </w:divBdr>
    </w:div>
    <w:div w:id="1154493026">
      <w:bodyDiv w:val="1"/>
      <w:marLeft w:val="0"/>
      <w:marRight w:val="0"/>
      <w:marTop w:val="0"/>
      <w:marBottom w:val="0"/>
      <w:divBdr>
        <w:top w:val="none" w:sz="0" w:space="0" w:color="auto"/>
        <w:left w:val="none" w:sz="0" w:space="0" w:color="auto"/>
        <w:bottom w:val="none" w:sz="0" w:space="0" w:color="auto"/>
        <w:right w:val="none" w:sz="0" w:space="0" w:color="auto"/>
      </w:divBdr>
    </w:div>
    <w:div w:id="1262878790">
      <w:bodyDiv w:val="1"/>
      <w:marLeft w:val="0"/>
      <w:marRight w:val="0"/>
      <w:marTop w:val="0"/>
      <w:marBottom w:val="0"/>
      <w:divBdr>
        <w:top w:val="none" w:sz="0" w:space="0" w:color="auto"/>
        <w:left w:val="none" w:sz="0" w:space="0" w:color="auto"/>
        <w:bottom w:val="none" w:sz="0" w:space="0" w:color="auto"/>
        <w:right w:val="none" w:sz="0" w:space="0" w:color="auto"/>
      </w:divBdr>
    </w:div>
    <w:div w:id="1434126698">
      <w:bodyDiv w:val="1"/>
      <w:marLeft w:val="0"/>
      <w:marRight w:val="0"/>
      <w:marTop w:val="0"/>
      <w:marBottom w:val="0"/>
      <w:divBdr>
        <w:top w:val="none" w:sz="0" w:space="0" w:color="auto"/>
        <w:left w:val="none" w:sz="0" w:space="0" w:color="auto"/>
        <w:bottom w:val="none" w:sz="0" w:space="0" w:color="auto"/>
        <w:right w:val="none" w:sz="0" w:space="0" w:color="auto"/>
      </w:divBdr>
    </w:div>
    <w:div w:id="1509565505">
      <w:bodyDiv w:val="1"/>
      <w:marLeft w:val="0"/>
      <w:marRight w:val="0"/>
      <w:marTop w:val="0"/>
      <w:marBottom w:val="0"/>
      <w:divBdr>
        <w:top w:val="none" w:sz="0" w:space="0" w:color="auto"/>
        <w:left w:val="none" w:sz="0" w:space="0" w:color="auto"/>
        <w:bottom w:val="none" w:sz="0" w:space="0" w:color="auto"/>
        <w:right w:val="none" w:sz="0" w:space="0" w:color="auto"/>
      </w:divBdr>
    </w:div>
    <w:div w:id="1834636566">
      <w:bodyDiv w:val="1"/>
      <w:marLeft w:val="0"/>
      <w:marRight w:val="0"/>
      <w:marTop w:val="0"/>
      <w:marBottom w:val="0"/>
      <w:divBdr>
        <w:top w:val="none" w:sz="0" w:space="0" w:color="auto"/>
        <w:left w:val="none" w:sz="0" w:space="0" w:color="auto"/>
        <w:bottom w:val="none" w:sz="0" w:space="0" w:color="auto"/>
        <w:right w:val="none" w:sz="0" w:space="0" w:color="auto"/>
      </w:divBdr>
    </w:div>
    <w:div w:id="1848472161">
      <w:bodyDiv w:val="1"/>
      <w:marLeft w:val="0"/>
      <w:marRight w:val="0"/>
      <w:marTop w:val="0"/>
      <w:marBottom w:val="0"/>
      <w:divBdr>
        <w:top w:val="none" w:sz="0" w:space="0" w:color="auto"/>
        <w:left w:val="none" w:sz="0" w:space="0" w:color="auto"/>
        <w:bottom w:val="none" w:sz="0" w:space="0" w:color="auto"/>
        <w:right w:val="none" w:sz="0" w:space="0" w:color="auto"/>
      </w:divBdr>
    </w:div>
    <w:div w:id="1956984992">
      <w:bodyDiv w:val="1"/>
      <w:marLeft w:val="0"/>
      <w:marRight w:val="0"/>
      <w:marTop w:val="0"/>
      <w:marBottom w:val="0"/>
      <w:divBdr>
        <w:top w:val="none" w:sz="0" w:space="0" w:color="auto"/>
        <w:left w:val="none" w:sz="0" w:space="0" w:color="auto"/>
        <w:bottom w:val="none" w:sz="0" w:space="0" w:color="auto"/>
        <w:right w:val="none" w:sz="0" w:space="0" w:color="auto"/>
      </w:divBdr>
    </w:div>
    <w:div w:id="1966883586">
      <w:bodyDiv w:val="1"/>
      <w:marLeft w:val="0"/>
      <w:marRight w:val="0"/>
      <w:marTop w:val="0"/>
      <w:marBottom w:val="0"/>
      <w:divBdr>
        <w:top w:val="none" w:sz="0" w:space="0" w:color="auto"/>
        <w:left w:val="none" w:sz="0" w:space="0" w:color="auto"/>
        <w:bottom w:val="none" w:sz="0" w:space="0" w:color="auto"/>
        <w:right w:val="none" w:sz="0" w:space="0" w:color="auto"/>
      </w:divBdr>
    </w:div>
    <w:div w:id="200913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s://ips.ligazakon.net/document/view/gk51968?ed=2022_08_16&amp;an=54" TargetMode="External"/><Relationship Id="rId21" Type="http://schemas.openxmlformats.org/officeDocument/2006/relationships/hyperlink" Target="https://ips.ligazakon.net/document/view/gk51968?ed=2022_08_16&amp;an=54" TargetMode="External"/><Relationship Id="rId42" Type="http://schemas.openxmlformats.org/officeDocument/2006/relationships/hyperlink" Target="https://zakon.rada.gov.ua/laws/show/z1221-13" TargetMode="External"/><Relationship Id="rId47" Type="http://schemas.openxmlformats.org/officeDocument/2006/relationships/hyperlink" Target="https://ips.ligazakon.net/document/view/gk51968?ed=2022_08_16&amp;an=56" TargetMode="External"/><Relationship Id="rId63" Type="http://schemas.openxmlformats.org/officeDocument/2006/relationships/hyperlink" Target="https://ips.ligazakon.net/document/view/gk52652?ed=2022_12_02&amp;an=78" TargetMode="External"/><Relationship Id="rId68" Type="http://schemas.openxmlformats.org/officeDocument/2006/relationships/hyperlink" Target="https://ips.ligazakon.net/document/view/gk49381?ed=2021_08_25&amp;an=18" TargetMode="External"/><Relationship Id="rId84" Type="http://schemas.openxmlformats.org/officeDocument/2006/relationships/image" Target="media/image23.gif"/><Relationship Id="rId89" Type="http://schemas.openxmlformats.org/officeDocument/2006/relationships/hyperlink" Target="https://ips.ligazakon.net/document/view/gk51735?ed=2022_07_12&amp;an=41" TargetMode="External"/><Relationship Id="rId16" Type="http://schemas.openxmlformats.org/officeDocument/2006/relationships/image" Target="media/image4.gif"/><Relationship Id="rId11" Type="http://schemas.openxmlformats.org/officeDocument/2006/relationships/image" Target="media/image2.gif"/><Relationship Id="rId32" Type="http://schemas.openxmlformats.org/officeDocument/2006/relationships/hyperlink" Target="https://zakon.rada.gov.ua/laws/show/z1221-13" TargetMode="External"/><Relationship Id="rId37" Type="http://schemas.openxmlformats.org/officeDocument/2006/relationships/hyperlink" Target="https://zakon.rada.gov.ua/laws/file/imgs/83/p478167n427-68.bmp" TargetMode="External"/><Relationship Id="rId53" Type="http://schemas.openxmlformats.org/officeDocument/2006/relationships/hyperlink" Target="https://ips.ligazakon.net/document/view/gk52652?ed=2022_12_02&amp;an=33" TargetMode="External"/><Relationship Id="rId58" Type="http://schemas.openxmlformats.org/officeDocument/2006/relationships/hyperlink" Target="https://ips.ligazakon.net/document/view/gk52652?ed=2022_12_02&amp;an=77" TargetMode="External"/><Relationship Id="rId74" Type="http://schemas.openxmlformats.org/officeDocument/2006/relationships/hyperlink" Target="https://ips.ligazakon.net/document/view/gk51735?ed=2022_07_12&amp;an=41" TargetMode="External"/><Relationship Id="rId79" Type="http://schemas.openxmlformats.org/officeDocument/2006/relationships/image" Target="media/image20.gif"/><Relationship Id="rId5" Type="http://schemas.openxmlformats.org/officeDocument/2006/relationships/footnotes" Target="footnotes.xml"/><Relationship Id="rId90" Type="http://schemas.openxmlformats.org/officeDocument/2006/relationships/hyperlink" Target="https://ips.ligazakon.net/document/view/gk46684?ed=2020_08_26&amp;an=217" TargetMode="External"/><Relationship Id="rId95" Type="http://schemas.openxmlformats.org/officeDocument/2006/relationships/fontTable" Target="fontTable.xml"/><Relationship Id="rId22" Type="http://schemas.openxmlformats.org/officeDocument/2006/relationships/hyperlink" Target="https://ips.ligazakon.net/document/view/gk49505?ed=2021_09_16&amp;an=272" TargetMode="External"/><Relationship Id="rId27" Type="http://schemas.openxmlformats.org/officeDocument/2006/relationships/hyperlink" Target="https://ips.ligazakon.net/document/view/gk51968?ed=2022_08_16&amp;an=54" TargetMode="External"/><Relationship Id="rId43" Type="http://schemas.openxmlformats.org/officeDocument/2006/relationships/hyperlink" Target="https://zakon.rada.gov.ua/laws/show/z1221-13" TargetMode="External"/><Relationship Id="rId48" Type="http://schemas.openxmlformats.org/officeDocument/2006/relationships/hyperlink" Target="https://ips.ligazakon.net/document/view/gk52652?ed=2022_12_02&amp;an=32" TargetMode="External"/><Relationship Id="rId64" Type="http://schemas.openxmlformats.org/officeDocument/2006/relationships/hyperlink" Target="https://ips.ligazakon.net/document/view/gk52652?ed=2022_12_02&amp;an=79" TargetMode="External"/><Relationship Id="rId69" Type="http://schemas.openxmlformats.org/officeDocument/2006/relationships/hyperlink" Target="https://ips.ligazakon.net/document/view/gk49381?ed=2021_08_25&amp;an=18" TargetMode="External"/><Relationship Id="rId8" Type="http://schemas.openxmlformats.org/officeDocument/2006/relationships/image" Target="media/image1.gif"/><Relationship Id="rId51" Type="http://schemas.openxmlformats.org/officeDocument/2006/relationships/hyperlink" Target="https://ips.ligazakon.net/document/view/gk52652?ed=2022_12_02&amp;an=34" TargetMode="External"/><Relationship Id="rId72" Type="http://schemas.openxmlformats.org/officeDocument/2006/relationships/image" Target="media/image16.gif"/><Relationship Id="rId80" Type="http://schemas.openxmlformats.org/officeDocument/2006/relationships/hyperlink" Target="https://ips.ligazakon.net/document/view/gk46684?ed=2020_08_26&amp;an=217" TargetMode="External"/><Relationship Id="rId85" Type="http://schemas.openxmlformats.org/officeDocument/2006/relationships/hyperlink" Target="https://ips.ligazakon.net/document/view/gk55262?ed=2023_11_29&amp;an=40" TargetMode="External"/><Relationship Id="rId93" Type="http://schemas.openxmlformats.org/officeDocument/2006/relationships/image" Target="media/image25.emf"/><Relationship Id="rId3" Type="http://schemas.openxmlformats.org/officeDocument/2006/relationships/settings" Target="settings.xml"/><Relationship Id="rId12" Type="http://schemas.openxmlformats.org/officeDocument/2006/relationships/hyperlink" Target="https://ips.ligazakon.net/document/view/gk51968?ed=2022_08_16&amp;an=54" TargetMode="External"/><Relationship Id="rId17" Type="http://schemas.openxmlformats.org/officeDocument/2006/relationships/hyperlink" Target="https://ips.ligazakon.net/document/view/gk51968?ed=2022_08_16&amp;an=54" TargetMode="External"/><Relationship Id="rId25" Type="http://schemas.openxmlformats.org/officeDocument/2006/relationships/hyperlink" Target="https://ips.ligazakon.net/document/view/gk51968?ed=2022_08_16&amp;an=54" TargetMode="External"/><Relationship Id="rId33" Type="http://schemas.openxmlformats.org/officeDocument/2006/relationships/hyperlink" Target="https://zakon.rada.gov.ua/laws/show/z1221-13" TargetMode="External"/><Relationship Id="rId38" Type="http://schemas.openxmlformats.org/officeDocument/2006/relationships/image" Target="media/image9.gif"/><Relationship Id="rId46" Type="http://schemas.openxmlformats.org/officeDocument/2006/relationships/image" Target="media/image10.gif"/><Relationship Id="rId59" Type="http://schemas.openxmlformats.org/officeDocument/2006/relationships/image" Target="media/image13.gif"/><Relationship Id="rId67" Type="http://schemas.openxmlformats.org/officeDocument/2006/relationships/hyperlink" Target="https://ips.ligazakon.net/document/view/gk51735?ed=2022_07_12&amp;an=32" TargetMode="External"/><Relationship Id="rId20" Type="http://schemas.openxmlformats.org/officeDocument/2006/relationships/hyperlink" Target="https://ips.ligazakon.net/document/view/gk55262?ed=2023_11_29&amp;an=31" TargetMode="External"/><Relationship Id="rId41" Type="http://schemas.openxmlformats.org/officeDocument/2006/relationships/hyperlink" Target="https://zakon.rada.gov.ua/laws/show/z1221-13" TargetMode="External"/><Relationship Id="rId54" Type="http://schemas.openxmlformats.org/officeDocument/2006/relationships/hyperlink" Target="https://ips.ligazakon.net/document/view/gk52652?ed=2022_12_02&amp;an=34" TargetMode="External"/><Relationship Id="rId62" Type="http://schemas.openxmlformats.org/officeDocument/2006/relationships/hyperlink" Target="https://ips.ligazakon.net/document/view/gk54459?ed=2023_08_08&amp;an=32" TargetMode="External"/><Relationship Id="rId70" Type="http://schemas.openxmlformats.org/officeDocument/2006/relationships/image" Target="media/image14.gif"/><Relationship Id="rId75" Type="http://schemas.openxmlformats.org/officeDocument/2006/relationships/image" Target="media/image17.gif"/><Relationship Id="rId83" Type="http://schemas.openxmlformats.org/officeDocument/2006/relationships/image" Target="media/image22.gif"/><Relationship Id="rId88" Type="http://schemas.openxmlformats.org/officeDocument/2006/relationships/hyperlink" Target="https://ips.ligazakon.net/document/view/gk51735?ed=2022_07_12&amp;an=41" TargetMode="External"/><Relationship Id="rId91" Type="http://schemas.openxmlformats.org/officeDocument/2006/relationships/hyperlink" Target="https://ips.ligazakon.net/document/view/gk55262?ed=2023_11_29&amp;an=39" TargetMode="External"/><Relationship Id="rId9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5" Type="http://schemas.openxmlformats.org/officeDocument/2006/relationships/hyperlink" Target="https://ips.ligazakon.net/document/view/gk51968?ed=2022_08_16&amp;an=54" TargetMode="External"/><Relationship Id="rId23" Type="http://schemas.openxmlformats.org/officeDocument/2006/relationships/hyperlink" Target="https://ips.ligazakon.net/document/view/gk51968?ed=2022_08_16&amp;an=54" TargetMode="External"/><Relationship Id="rId28" Type="http://schemas.openxmlformats.org/officeDocument/2006/relationships/hyperlink" Target="https://ips.ligazakon.net/document/view/gk55262?ed=2023_11_29&amp;an=31" TargetMode="External"/><Relationship Id="rId36" Type="http://schemas.openxmlformats.org/officeDocument/2006/relationships/image" Target="media/image8.gif"/><Relationship Id="rId49" Type="http://schemas.openxmlformats.org/officeDocument/2006/relationships/image" Target="media/image11.gif"/><Relationship Id="rId57" Type="http://schemas.openxmlformats.org/officeDocument/2006/relationships/hyperlink" Target="https://ips.ligazakon.net/document/view/gk54459?ed=2023_08_08&amp;an=32" TargetMode="External"/><Relationship Id="rId10" Type="http://schemas.openxmlformats.org/officeDocument/2006/relationships/hyperlink" Target="https://ips.ligazakon.net/document/view/gk51968?ed=2022_08_16&amp;an=54" TargetMode="External"/><Relationship Id="rId31" Type="http://schemas.openxmlformats.org/officeDocument/2006/relationships/image" Target="media/image6.gif"/><Relationship Id="rId44" Type="http://schemas.openxmlformats.org/officeDocument/2006/relationships/hyperlink" Target="https://zakon.rada.gov.ua/laws/show/z1221-13" TargetMode="External"/><Relationship Id="rId52" Type="http://schemas.openxmlformats.org/officeDocument/2006/relationships/hyperlink" Target="https://ips.ligazakon.net/document/view/gk52652?ed=2022_12_02&amp;an=31" TargetMode="External"/><Relationship Id="rId60" Type="http://schemas.openxmlformats.org/officeDocument/2006/relationships/hyperlink" Target="https://ips.ligazakon.net/document/view/gk52652?ed=2022_12_02&amp;an=78" TargetMode="External"/><Relationship Id="rId65" Type="http://schemas.openxmlformats.org/officeDocument/2006/relationships/hyperlink" Target="https://ips.ligazakon.net/document/view/gk51735?ed=2022_07_12&amp;an=32" TargetMode="External"/><Relationship Id="rId73" Type="http://schemas.openxmlformats.org/officeDocument/2006/relationships/hyperlink" Target="https://ips.ligazakon.net/document/view/gk46684?ed=2020_08_26&amp;an=217" TargetMode="External"/><Relationship Id="rId78" Type="http://schemas.openxmlformats.org/officeDocument/2006/relationships/image" Target="media/image19.gif"/><Relationship Id="rId81" Type="http://schemas.openxmlformats.org/officeDocument/2006/relationships/image" Target="media/image21.gif"/><Relationship Id="rId86" Type="http://schemas.openxmlformats.org/officeDocument/2006/relationships/image" Target="media/image24.gif"/><Relationship Id="rId94"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ips.ligazakon.net/document/view/gk49505?ed=2021_09_16&amp;an=272" TargetMode="External"/><Relationship Id="rId13" Type="http://schemas.openxmlformats.org/officeDocument/2006/relationships/image" Target="media/image3.gif"/><Relationship Id="rId18" Type="http://schemas.openxmlformats.org/officeDocument/2006/relationships/hyperlink" Target="https://ips.ligazakon.net/document/view/gk51968?ed=2022_08_16&amp;an=54" TargetMode="External"/><Relationship Id="rId39" Type="http://schemas.openxmlformats.org/officeDocument/2006/relationships/hyperlink" Target="https://zakon.rada.gov.ua/laws/show/z1221-13" TargetMode="External"/><Relationship Id="rId34" Type="http://schemas.openxmlformats.org/officeDocument/2006/relationships/hyperlink" Target="https://zakon.rada.gov.ua/laws/show/z1221-13" TargetMode="External"/><Relationship Id="rId50" Type="http://schemas.openxmlformats.org/officeDocument/2006/relationships/hyperlink" Target="https://ips.ligazakon.net/document/view/gk52652?ed=2022_12_02&amp;an=33" TargetMode="External"/><Relationship Id="rId55" Type="http://schemas.openxmlformats.org/officeDocument/2006/relationships/hyperlink" Target="https://zakon.rada.gov.ua/laws/file/imgs/110/p478167n597v1-97.emf" TargetMode="External"/><Relationship Id="rId76" Type="http://schemas.openxmlformats.org/officeDocument/2006/relationships/image" Target="media/image18.gif"/><Relationship Id="rId7" Type="http://schemas.openxmlformats.org/officeDocument/2006/relationships/hyperlink" Target="https://ips.ligazakon.net/document/view/gk49505?ed=2021_09_16&amp;an=51" TargetMode="External"/><Relationship Id="rId71" Type="http://schemas.openxmlformats.org/officeDocument/2006/relationships/image" Target="media/image15.gif"/><Relationship Id="rId92" Type="http://schemas.openxmlformats.org/officeDocument/2006/relationships/hyperlink" Target="https://ips.ligazakon.net/document/view/gk55262?ed=2023_11_29&amp;an=40" TargetMode="External"/><Relationship Id="rId2" Type="http://schemas.openxmlformats.org/officeDocument/2006/relationships/styles" Target="styles.xml"/><Relationship Id="rId29" Type="http://schemas.openxmlformats.org/officeDocument/2006/relationships/hyperlink" Target="https://ips.ligazakon.net/document/view/gk51968?ed=2022_08_16&amp;an=54" TargetMode="External"/><Relationship Id="rId24" Type="http://schemas.openxmlformats.org/officeDocument/2006/relationships/hyperlink" Target="https://ips.ligazakon.net/document/view/gk51968?ed=2022_08_16&amp;an=54" TargetMode="External"/><Relationship Id="rId40" Type="http://schemas.openxmlformats.org/officeDocument/2006/relationships/hyperlink" Target="https://zakon.rada.gov.ua/laws/show/z1221-13" TargetMode="External"/><Relationship Id="rId45" Type="http://schemas.openxmlformats.org/officeDocument/2006/relationships/hyperlink" Target="https://ips.ligazakon.net/document/view/gk51968?ed=2022_08_16&amp;an=56" TargetMode="External"/><Relationship Id="rId66" Type="http://schemas.openxmlformats.org/officeDocument/2006/relationships/hyperlink" Target="https://ips.ligazakon.net/document/view/gk49381?ed=2021_08_25&amp;an=18" TargetMode="External"/><Relationship Id="rId87" Type="http://schemas.openxmlformats.org/officeDocument/2006/relationships/hyperlink" Target="https://ips.ligazakon.net/document/view/gk46684?ed=2020_08_26&amp;an=217" TargetMode="External"/><Relationship Id="rId61" Type="http://schemas.openxmlformats.org/officeDocument/2006/relationships/hyperlink" Target="https://ips.ligazakon.net/document/view/gk52652?ed=2022_12_02&amp;an=79" TargetMode="External"/><Relationship Id="rId82" Type="http://schemas.openxmlformats.org/officeDocument/2006/relationships/hyperlink" Target="https://ips.ligazakon.net/document/view/gk55262?ed=2023_11_29&amp;an=39" TargetMode="External"/><Relationship Id="rId19" Type="http://schemas.openxmlformats.org/officeDocument/2006/relationships/image" Target="media/image5.gif"/><Relationship Id="rId14" Type="http://schemas.openxmlformats.org/officeDocument/2006/relationships/hyperlink" Target="https://ips.ligazakon.net/document/view/gk51968?ed=2022_08_16&amp;an=54" TargetMode="External"/><Relationship Id="rId30" Type="http://schemas.openxmlformats.org/officeDocument/2006/relationships/hyperlink" Target="https://zakon.rada.gov.ua/laws/file/imgs/99/p478167n533-61.bmp" TargetMode="External"/><Relationship Id="rId35" Type="http://schemas.openxmlformats.org/officeDocument/2006/relationships/image" Target="media/image7.gif"/><Relationship Id="rId56" Type="http://schemas.openxmlformats.org/officeDocument/2006/relationships/image" Target="media/image12.gif"/><Relationship Id="rId77" Type="http://schemas.openxmlformats.org/officeDocument/2006/relationships/hyperlink" Target="https://ips.ligazakon.net/document/view/gk51735?ed=2022_07_12&amp;an=41"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5C489B-EA21-49B9-BD2D-ECA3475F1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1096</TotalTime>
  <Pages>50</Pages>
  <Words>71472</Words>
  <Characters>40740</Characters>
  <Application>Microsoft Office Word</Application>
  <DocSecurity>0</DocSecurity>
  <Lines>339</Lines>
  <Paragraphs>223</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111989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 Свистун</dc:creator>
  <cp:keywords/>
  <dc:description/>
  <cp:lastModifiedBy>Тетяна Степанюк</cp:lastModifiedBy>
  <cp:revision>13</cp:revision>
  <cp:lastPrinted>2024-07-23T13:24:00Z</cp:lastPrinted>
  <dcterms:created xsi:type="dcterms:W3CDTF">2024-07-25T16:24:00Z</dcterms:created>
  <dcterms:modified xsi:type="dcterms:W3CDTF">2024-07-26T10:59:00Z</dcterms:modified>
</cp:coreProperties>
</file>