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F39208" w14:textId="77777777" w:rsidR="00744F05" w:rsidRPr="00C646A2" w:rsidRDefault="00427516" w:rsidP="00C646A2">
      <w:pPr>
        <w:spacing w:after="0" w:line="240" w:lineRule="auto"/>
        <w:jc w:val="center"/>
        <w:rPr>
          <w:rFonts w:ascii="Times New Roman" w:hAnsi="Times New Roman" w:cs="Times New Roman"/>
          <w:b/>
          <w:sz w:val="28"/>
          <w:lang w:val="uk-UA"/>
        </w:rPr>
      </w:pPr>
      <w:r w:rsidRPr="00C646A2">
        <w:rPr>
          <w:rFonts w:ascii="Times New Roman" w:hAnsi="Times New Roman" w:cs="Times New Roman"/>
          <w:b/>
          <w:sz w:val="28"/>
          <w:lang w:val="uk-UA"/>
        </w:rPr>
        <w:t xml:space="preserve">УЗАГАЛЬНЕНІ ЗАУВАЖЕННЯ </w:t>
      </w:r>
    </w:p>
    <w:p w14:paraId="2D3603C1" w14:textId="77777777" w:rsidR="00121CB5" w:rsidRPr="00C646A2" w:rsidRDefault="00427516" w:rsidP="00C646A2">
      <w:pPr>
        <w:spacing w:after="0" w:line="240" w:lineRule="auto"/>
        <w:jc w:val="center"/>
        <w:rPr>
          <w:rFonts w:ascii="Times New Roman" w:hAnsi="Times New Roman" w:cs="Times New Roman"/>
          <w:b/>
          <w:sz w:val="28"/>
          <w:lang w:val="uk-UA"/>
        </w:rPr>
      </w:pPr>
      <w:r w:rsidRPr="00C646A2">
        <w:rPr>
          <w:rFonts w:ascii="Times New Roman" w:hAnsi="Times New Roman" w:cs="Times New Roman"/>
          <w:b/>
          <w:sz w:val="28"/>
          <w:lang w:val="uk-UA"/>
        </w:rPr>
        <w:t>та пропозиції до проєкту рішення НКРЕКП, що має ознаки регуляторного акта, - постанови НКРЕКП «</w:t>
      </w:r>
      <w:r w:rsidR="009A561C" w:rsidRPr="009A561C">
        <w:rPr>
          <w:rFonts w:ascii="Times New Roman" w:hAnsi="Times New Roman" w:cs="Times New Roman"/>
          <w:b/>
          <w:sz w:val="28"/>
          <w:lang w:val="uk-UA"/>
        </w:rPr>
        <w:t>Про внесення змін до додатків до форми звітності № 7б-НКРЕКП-газ-моніторинг (квартальна) «Звіт про застосування тарифів на послуги зберігання (закачування, відбір) природного газу</w:t>
      </w:r>
      <w:r w:rsidRPr="00C646A2">
        <w:rPr>
          <w:rFonts w:ascii="Times New Roman" w:hAnsi="Times New Roman" w:cs="Times New Roman"/>
          <w:b/>
          <w:sz w:val="28"/>
          <w:lang w:val="uk-UA"/>
        </w:rPr>
        <w:t xml:space="preserve">» (далі </w:t>
      </w:r>
      <w:r w:rsidR="00AE26F0" w:rsidRPr="00C646A2">
        <w:rPr>
          <w:rFonts w:ascii="Times New Roman" w:hAnsi="Times New Roman" w:cs="Times New Roman"/>
          <w:b/>
          <w:sz w:val="28"/>
          <w:lang w:val="uk-UA"/>
        </w:rPr>
        <w:t xml:space="preserve">– </w:t>
      </w:r>
      <w:r w:rsidRPr="00C646A2">
        <w:rPr>
          <w:rFonts w:ascii="Times New Roman" w:hAnsi="Times New Roman" w:cs="Times New Roman"/>
          <w:b/>
          <w:sz w:val="28"/>
          <w:lang w:val="uk-UA"/>
        </w:rPr>
        <w:t xml:space="preserve">Проєкт </w:t>
      </w:r>
      <w:r w:rsidR="00E87391" w:rsidRPr="00C646A2">
        <w:rPr>
          <w:rFonts w:ascii="Times New Roman" w:hAnsi="Times New Roman" w:cs="Times New Roman"/>
          <w:b/>
          <w:sz w:val="28"/>
          <w:lang w:val="uk-UA"/>
        </w:rPr>
        <w:t>п</w:t>
      </w:r>
      <w:r w:rsidRPr="00C646A2">
        <w:rPr>
          <w:rFonts w:ascii="Times New Roman" w:hAnsi="Times New Roman" w:cs="Times New Roman"/>
          <w:b/>
          <w:sz w:val="28"/>
          <w:lang w:val="uk-UA"/>
        </w:rPr>
        <w:t>останови)</w:t>
      </w:r>
    </w:p>
    <w:p w14:paraId="0C3ABFCF" w14:textId="77777777" w:rsidR="00121CB5" w:rsidRPr="00C646A2" w:rsidRDefault="00121CB5" w:rsidP="000B2924">
      <w:pPr>
        <w:tabs>
          <w:tab w:val="left" w:pos="5954"/>
        </w:tabs>
        <w:spacing w:after="0" w:line="240" w:lineRule="auto"/>
        <w:jc w:val="center"/>
        <w:rPr>
          <w:rFonts w:ascii="Times New Roman" w:hAnsi="Times New Roman" w:cs="Times New Roman"/>
          <w:b/>
          <w:sz w:val="28"/>
          <w:lang w:val="uk-UA"/>
        </w:rPr>
      </w:pPr>
    </w:p>
    <w:tbl>
      <w:tblPr>
        <w:tblStyle w:val="a3"/>
        <w:tblW w:w="15304" w:type="dxa"/>
        <w:tblLook w:val="04A0" w:firstRow="1" w:lastRow="0" w:firstColumn="1" w:lastColumn="0" w:noHBand="0" w:noVBand="1"/>
      </w:tblPr>
      <w:tblGrid>
        <w:gridCol w:w="6524"/>
        <w:gridCol w:w="5286"/>
        <w:gridCol w:w="3494"/>
      </w:tblGrid>
      <w:tr w:rsidR="004D0574" w:rsidRPr="0076154D" w14:paraId="31619B70" w14:textId="77777777" w:rsidTr="007C3491">
        <w:trPr>
          <w:trHeight w:val="939"/>
        </w:trPr>
        <w:tc>
          <w:tcPr>
            <w:tcW w:w="6516" w:type="dxa"/>
          </w:tcPr>
          <w:p w14:paraId="44DD209F" w14:textId="77777777" w:rsidR="00121CB5" w:rsidRPr="00C646A2" w:rsidRDefault="00121CB5" w:rsidP="00C646A2">
            <w:pPr>
              <w:spacing w:after="0" w:line="240" w:lineRule="auto"/>
              <w:ind w:firstLine="242"/>
              <w:jc w:val="center"/>
              <w:rPr>
                <w:rFonts w:ascii="Times New Roman" w:hAnsi="Times New Roman" w:cs="Times New Roman"/>
                <w:b/>
                <w:i/>
                <w:sz w:val="24"/>
                <w:lang w:val="uk-UA"/>
              </w:rPr>
            </w:pPr>
            <w:r w:rsidRPr="00C646A2">
              <w:rPr>
                <w:rFonts w:ascii="Times New Roman" w:hAnsi="Times New Roman" w:cs="Times New Roman"/>
                <w:b/>
                <w:i/>
                <w:sz w:val="24"/>
                <w:lang w:val="uk-UA"/>
              </w:rPr>
              <w:t>Редакція проєкту рішення НКРЕКП</w:t>
            </w:r>
          </w:p>
        </w:tc>
        <w:tc>
          <w:tcPr>
            <w:tcW w:w="5245" w:type="dxa"/>
          </w:tcPr>
          <w:p w14:paraId="723944FB" w14:textId="77777777" w:rsidR="00121CB5" w:rsidRPr="00C646A2" w:rsidRDefault="00121CB5" w:rsidP="00C646A2">
            <w:pPr>
              <w:spacing w:after="0" w:line="240" w:lineRule="auto"/>
              <w:ind w:firstLine="242"/>
              <w:jc w:val="center"/>
              <w:rPr>
                <w:rFonts w:ascii="Times New Roman" w:hAnsi="Times New Roman" w:cs="Times New Roman"/>
                <w:b/>
                <w:i/>
                <w:sz w:val="24"/>
                <w:lang w:val="uk-UA"/>
              </w:rPr>
            </w:pPr>
            <w:r w:rsidRPr="00C646A2">
              <w:rPr>
                <w:rFonts w:ascii="Times New Roman" w:hAnsi="Times New Roman" w:cs="Times New Roman"/>
                <w:b/>
                <w:i/>
                <w:sz w:val="24"/>
                <w:lang w:val="uk-UA"/>
              </w:rPr>
              <w:t>Зауваження та пропозиції до проєкту рішення НКРЕКП</w:t>
            </w:r>
          </w:p>
        </w:tc>
        <w:tc>
          <w:tcPr>
            <w:tcW w:w="3543" w:type="dxa"/>
          </w:tcPr>
          <w:p w14:paraId="1A184D7E" w14:textId="77777777" w:rsidR="00121CB5" w:rsidRPr="00C646A2" w:rsidRDefault="00121CB5" w:rsidP="00C646A2">
            <w:pPr>
              <w:spacing w:after="0" w:line="240" w:lineRule="auto"/>
              <w:ind w:firstLine="242"/>
              <w:jc w:val="center"/>
              <w:rPr>
                <w:rFonts w:ascii="Times New Roman" w:hAnsi="Times New Roman" w:cs="Times New Roman"/>
                <w:b/>
                <w:i/>
                <w:sz w:val="24"/>
                <w:lang w:val="uk-UA"/>
              </w:rPr>
            </w:pPr>
            <w:r w:rsidRPr="00C646A2">
              <w:rPr>
                <w:rFonts w:ascii="Times New Roman" w:hAnsi="Times New Roman" w:cs="Times New Roman"/>
                <w:b/>
                <w:i/>
                <w:sz w:val="24"/>
                <w:lang w:val="uk-UA"/>
              </w:rPr>
              <w:t xml:space="preserve">Попередня позиція НКРЕКП щодо наданих зауважень та пропозицій з </w:t>
            </w:r>
            <w:r w:rsidR="000F0622" w:rsidRPr="00C646A2">
              <w:rPr>
                <w:rFonts w:ascii="Times New Roman" w:hAnsi="Times New Roman" w:cs="Times New Roman"/>
                <w:b/>
                <w:i/>
                <w:sz w:val="24"/>
                <w:lang w:val="uk-UA"/>
              </w:rPr>
              <w:t>обґрунтуваннями</w:t>
            </w:r>
            <w:r w:rsidRPr="00C646A2">
              <w:rPr>
                <w:rFonts w:ascii="Times New Roman" w:hAnsi="Times New Roman" w:cs="Times New Roman"/>
                <w:b/>
                <w:i/>
                <w:sz w:val="24"/>
                <w:lang w:val="uk-UA"/>
              </w:rPr>
              <w:t xml:space="preserve"> щодо прийняття або відхилення</w:t>
            </w:r>
          </w:p>
        </w:tc>
      </w:tr>
      <w:tr w:rsidR="00975B97" w:rsidRPr="0079252C" w14:paraId="539B49E1" w14:textId="77777777" w:rsidTr="007C3491">
        <w:tc>
          <w:tcPr>
            <w:tcW w:w="15304" w:type="dxa"/>
            <w:gridSpan w:val="3"/>
          </w:tcPr>
          <w:p w14:paraId="0894E82A" w14:textId="77777777" w:rsidR="00975B97" w:rsidRPr="009A5C3F" w:rsidRDefault="001963F1" w:rsidP="0079252C">
            <w:pPr>
              <w:tabs>
                <w:tab w:val="left" w:pos="5100"/>
              </w:tabs>
              <w:spacing w:after="0" w:line="240" w:lineRule="auto"/>
              <w:ind w:firstLine="242"/>
              <w:jc w:val="center"/>
              <w:rPr>
                <w:rFonts w:ascii="Times New Roman" w:hAnsi="Times New Roman" w:cs="Times New Roman"/>
                <w:b/>
                <w:sz w:val="24"/>
                <w:highlight w:val="yellow"/>
                <w:lang w:val="uk-UA"/>
              </w:rPr>
            </w:pPr>
            <w:r w:rsidRPr="001963F1">
              <w:rPr>
                <w:rFonts w:ascii="Times New Roman" w:hAnsi="Times New Roman" w:cs="Times New Roman"/>
                <w:b/>
                <w:sz w:val="24"/>
                <w:lang w:val="uk-UA"/>
              </w:rPr>
              <w:t>Додаток 3</w:t>
            </w:r>
            <w:r>
              <w:rPr>
                <w:rFonts w:ascii="Times New Roman" w:hAnsi="Times New Roman" w:cs="Times New Roman"/>
                <w:b/>
                <w:sz w:val="24"/>
                <w:lang w:val="uk-UA"/>
              </w:rPr>
              <w:t>    </w:t>
            </w:r>
            <w:r w:rsidRPr="001963F1">
              <w:rPr>
                <w:rFonts w:ascii="Times New Roman" w:hAnsi="Times New Roman" w:cs="Times New Roman"/>
                <w:b/>
                <w:sz w:val="24"/>
                <w:lang w:val="uk-UA"/>
              </w:rPr>
              <w:t>до форми № 7б-НКРЕКП-газ-моніторинг (квартальна)</w:t>
            </w:r>
          </w:p>
        </w:tc>
      </w:tr>
      <w:tr w:rsidR="004D0574" w:rsidRPr="004D0574" w14:paraId="00DBA206" w14:textId="77777777" w:rsidTr="007C3491">
        <w:tc>
          <w:tcPr>
            <w:tcW w:w="6516" w:type="dxa"/>
          </w:tcPr>
          <w:p w14:paraId="076E268A" w14:textId="77777777" w:rsidR="006A2C35" w:rsidRDefault="006A2C35" w:rsidP="006A2C35">
            <w:pPr>
              <w:spacing w:after="0" w:line="240" w:lineRule="auto"/>
              <w:ind w:firstLine="22"/>
              <w:jc w:val="both"/>
              <w:rPr>
                <w:rFonts w:ascii="Times New Roman" w:hAnsi="Times New Roman" w:cs="Times New Roman"/>
                <w:b/>
                <w:lang w:val="uk-UA"/>
              </w:rPr>
            </w:pPr>
            <w:r>
              <w:rPr>
                <w:rFonts w:ascii="Times New Roman" w:hAnsi="Times New Roman" w:cs="Times New Roman"/>
                <w:noProof/>
                <w:lang w:val="uk-UA"/>
              </w:rPr>
              <w:drawing>
                <wp:inline distT="0" distB="0" distL="0" distR="0" wp14:anchorId="18F704E7" wp14:editId="3C487EE4">
                  <wp:extent cx="3990975" cy="3646928"/>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94300" cy="3741346"/>
                          </a:xfrm>
                          <a:prstGeom prst="rect">
                            <a:avLst/>
                          </a:prstGeom>
                          <a:noFill/>
                        </pic:spPr>
                      </pic:pic>
                    </a:graphicData>
                  </a:graphic>
                </wp:inline>
              </w:drawing>
            </w:r>
          </w:p>
          <w:p w14:paraId="27C941E5" w14:textId="77777777" w:rsidR="006A2C35" w:rsidRPr="000B2924" w:rsidRDefault="006A2C35" w:rsidP="006A2C35">
            <w:pPr>
              <w:rPr>
                <w:rFonts w:ascii="Times New Roman" w:hAnsi="Times New Roman" w:cs="Times New Roman"/>
                <w:lang w:val="uk-UA"/>
              </w:rPr>
            </w:pPr>
          </w:p>
        </w:tc>
        <w:tc>
          <w:tcPr>
            <w:tcW w:w="5245" w:type="dxa"/>
          </w:tcPr>
          <w:p w14:paraId="6EF1A5C9" w14:textId="77777777" w:rsidR="006A2C35" w:rsidRPr="007C3491" w:rsidRDefault="006A2C35" w:rsidP="007C3491">
            <w:pPr>
              <w:spacing w:after="0" w:line="240" w:lineRule="auto"/>
              <w:jc w:val="both"/>
              <w:rPr>
                <w:rFonts w:ascii="Times New Roman" w:hAnsi="Times New Roman" w:cs="Times New Roman"/>
                <w:b/>
                <w:noProof/>
                <w:sz w:val="24"/>
                <w:szCs w:val="24"/>
                <w:lang w:val="uk-UA"/>
              </w:rPr>
            </w:pPr>
            <w:r w:rsidRPr="007C3491">
              <w:rPr>
                <w:rFonts w:ascii="Times New Roman" w:hAnsi="Times New Roman" w:cs="Times New Roman"/>
                <w:b/>
                <w:noProof/>
                <w:sz w:val="24"/>
                <w:szCs w:val="24"/>
                <w:lang w:val="uk-UA"/>
              </w:rPr>
              <w:t>АТ «УКРТРАНСГАЗ»</w:t>
            </w:r>
          </w:p>
          <w:p w14:paraId="477207AE" w14:textId="77777777" w:rsidR="006A2C35" w:rsidRPr="007C3491" w:rsidRDefault="006A2C35" w:rsidP="007C3491">
            <w:pPr>
              <w:spacing w:after="0" w:line="240" w:lineRule="auto"/>
              <w:jc w:val="both"/>
              <w:rPr>
                <w:rFonts w:ascii="Times New Roman" w:hAnsi="Times New Roman" w:cs="Times New Roman"/>
                <w:b/>
                <w:sz w:val="24"/>
                <w:szCs w:val="24"/>
                <w:lang w:val="uk-UA"/>
              </w:rPr>
            </w:pPr>
            <w:r w:rsidRPr="007C3491">
              <w:rPr>
                <w:rFonts w:ascii="Times New Roman" w:hAnsi="Times New Roman" w:cs="Times New Roman"/>
                <w:b/>
                <w:sz w:val="24"/>
                <w:szCs w:val="24"/>
                <w:lang w:val="uk-UA"/>
              </w:rPr>
              <w:t>Пропозиція:</w:t>
            </w:r>
          </w:p>
          <w:p w14:paraId="7C9D7B32" w14:textId="77777777" w:rsidR="006A2C35" w:rsidRPr="007C3491" w:rsidRDefault="006A2C35" w:rsidP="007C3491">
            <w:pPr>
              <w:spacing w:after="0" w:line="240" w:lineRule="auto"/>
              <w:jc w:val="both"/>
              <w:rPr>
                <w:rFonts w:ascii="Times New Roman" w:hAnsi="Times New Roman" w:cs="Times New Roman"/>
                <w:b/>
                <w:sz w:val="24"/>
                <w:szCs w:val="24"/>
                <w:lang w:val="uk-UA"/>
              </w:rPr>
            </w:pPr>
          </w:p>
          <w:p w14:paraId="408C16F7" w14:textId="77777777" w:rsidR="006A2C35" w:rsidRPr="007C3491" w:rsidRDefault="006A2C35" w:rsidP="007C3491">
            <w:pPr>
              <w:spacing w:after="0" w:line="240" w:lineRule="auto"/>
              <w:jc w:val="both"/>
              <w:rPr>
                <w:rFonts w:ascii="Times New Roman" w:hAnsi="Times New Roman" w:cs="Times New Roman"/>
                <w:b/>
                <w:sz w:val="24"/>
                <w:szCs w:val="24"/>
                <w:lang w:val="uk-UA"/>
              </w:rPr>
            </w:pPr>
            <w:r w:rsidRPr="007C3491">
              <w:rPr>
                <w:rFonts w:ascii="Times New Roman" w:hAnsi="Times New Roman" w:cs="Times New Roman"/>
                <w:b/>
                <w:noProof/>
                <w:sz w:val="24"/>
                <w:szCs w:val="24"/>
                <w:lang w:val="uk-UA"/>
              </w:rPr>
              <w:drawing>
                <wp:inline distT="0" distB="0" distL="0" distR="0" wp14:anchorId="769175D7" wp14:editId="399E57EF">
                  <wp:extent cx="3187700" cy="2089102"/>
                  <wp:effectExtent l="0" t="0" r="0" b="698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96247" cy="2094704"/>
                          </a:xfrm>
                          <a:prstGeom prst="rect">
                            <a:avLst/>
                          </a:prstGeom>
                          <a:noFill/>
                        </pic:spPr>
                      </pic:pic>
                    </a:graphicData>
                  </a:graphic>
                </wp:inline>
              </w:drawing>
            </w:r>
          </w:p>
          <w:p w14:paraId="5959C77D" w14:textId="30CB4FE2" w:rsidR="006A2C35" w:rsidRPr="007C3491" w:rsidRDefault="007C3491" w:rsidP="007C3491">
            <w:pPr>
              <w:spacing w:after="0"/>
              <w:rPr>
                <w:rFonts w:ascii="Times New Roman" w:hAnsi="Times New Roman" w:cs="Times New Roman"/>
                <w:b/>
                <w:sz w:val="24"/>
                <w:szCs w:val="24"/>
                <w:lang w:val="uk-UA"/>
              </w:rPr>
            </w:pPr>
            <w:r w:rsidRPr="007C3491">
              <w:rPr>
                <w:rFonts w:ascii="Times New Roman" w:hAnsi="Times New Roman" w:cs="Times New Roman"/>
                <w:b/>
                <w:sz w:val="24"/>
                <w:szCs w:val="24"/>
                <w:lang w:val="uk-UA"/>
              </w:rPr>
              <w:t>Обґрунтування</w:t>
            </w:r>
            <w:r w:rsidR="006A2C35" w:rsidRPr="007C3491">
              <w:rPr>
                <w:rFonts w:ascii="Times New Roman" w:hAnsi="Times New Roman" w:cs="Times New Roman"/>
                <w:b/>
                <w:sz w:val="24"/>
                <w:szCs w:val="24"/>
                <w:lang w:val="uk-UA"/>
              </w:rPr>
              <w:t>:</w:t>
            </w:r>
          </w:p>
          <w:p w14:paraId="6446E45E" w14:textId="77777777" w:rsidR="006A2C35" w:rsidRPr="007C3491" w:rsidRDefault="006A2C35" w:rsidP="007C3491">
            <w:pPr>
              <w:spacing w:after="0" w:line="240" w:lineRule="auto"/>
              <w:ind w:right="40" w:firstLine="709"/>
              <w:jc w:val="both"/>
              <w:rPr>
                <w:rFonts w:ascii="Times New Roman" w:eastAsia="Times New Roman" w:hAnsi="Times New Roman" w:cs="Times New Roman"/>
                <w:spacing w:val="1"/>
                <w:sz w:val="24"/>
                <w:szCs w:val="24"/>
                <w:lang w:val="uk-UA"/>
              </w:rPr>
            </w:pPr>
            <w:r w:rsidRPr="007C3491">
              <w:rPr>
                <w:rFonts w:ascii="Times New Roman" w:eastAsia="Times New Roman" w:hAnsi="Times New Roman" w:cs="Times New Roman"/>
                <w:spacing w:val="1"/>
                <w:sz w:val="24"/>
                <w:szCs w:val="24"/>
                <w:lang w:val="uk-UA"/>
              </w:rPr>
              <w:t xml:space="preserve">Тарифи на послуги закачування та відбір є незмінні не залежно від сезону, АТ «Укртрансгаз» надає наступні послуги: </w:t>
            </w:r>
          </w:p>
          <w:p w14:paraId="0EB3E1D0" w14:textId="77777777" w:rsidR="006A2C35" w:rsidRPr="007C3491" w:rsidRDefault="006A2C35" w:rsidP="007C3491">
            <w:pPr>
              <w:spacing w:after="0" w:line="240" w:lineRule="auto"/>
              <w:ind w:right="40" w:firstLine="709"/>
              <w:jc w:val="both"/>
              <w:rPr>
                <w:rFonts w:ascii="Times New Roman" w:eastAsia="Times New Roman" w:hAnsi="Times New Roman" w:cs="Times New Roman"/>
                <w:spacing w:val="1"/>
                <w:sz w:val="24"/>
                <w:szCs w:val="24"/>
                <w:lang w:val="uk-UA"/>
              </w:rPr>
            </w:pPr>
            <w:r w:rsidRPr="007C3491">
              <w:rPr>
                <w:rFonts w:ascii="Times New Roman" w:eastAsia="Times New Roman" w:hAnsi="Times New Roman" w:cs="Times New Roman"/>
                <w:spacing w:val="1"/>
                <w:sz w:val="24"/>
                <w:szCs w:val="24"/>
                <w:lang w:val="uk-UA"/>
              </w:rPr>
              <w:sym w:font="Symbol" w:char="F0B7"/>
            </w:r>
            <w:r w:rsidRPr="007C3491">
              <w:rPr>
                <w:rFonts w:ascii="Times New Roman" w:eastAsia="Times New Roman" w:hAnsi="Times New Roman" w:cs="Times New Roman"/>
                <w:spacing w:val="1"/>
                <w:sz w:val="24"/>
                <w:szCs w:val="24"/>
                <w:lang w:val="uk-UA"/>
              </w:rPr>
              <w:t xml:space="preserve"> «Потужність закачування на базовий сезон закачування/відбору»; </w:t>
            </w:r>
          </w:p>
          <w:p w14:paraId="25EA9F1D" w14:textId="77777777" w:rsidR="006A2C35" w:rsidRPr="007C3491" w:rsidRDefault="006A2C35" w:rsidP="007C3491">
            <w:pPr>
              <w:spacing w:after="0" w:line="240" w:lineRule="auto"/>
              <w:ind w:right="40" w:firstLine="709"/>
              <w:jc w:val="both"/>
              <w:rPr>
                <w:rFonts w:ascii="Times New Roman" w:eastAsia="Times New Roman" w:hAnsi="Times New Roman" w:cs="Times New Roman"/>
                <w:spacing w:val="1"/>
                <w:sz w:val="24"/>
                <w:szCs w:val="24"/>
                <w:lang w:val="uk-UA"/>
              </w:rPr>
            </w:pPr>
            <w:r w:rsidRPr="007C3491">
              <w:rPr>
                <w:rFonts w:ascii="Times New Roman" w:eastAsia="Times New Roman" w:hAnsi="Times New Roman" w:cs="Times New Roman"/>
                <w:spacing w:val="1"/>
                <w:sz w:val="24"/>
                <w:szCs w:val="24"/>
                <w:lang w:val="uk-UA"/>
              </w:rPr>
              <w:sym w:font="Symbol" w:char="F0B7"/>
            </w:r>
            <w:r w:rsidRPr="007C3491">
              <w:rPr>
                <w:rFonts w:ascii="Times New Roman" w:eastAsia="Times New Roman" w:hAnsi="Times New Roman" w:cs="Times New Roman"/>
                <w:spacing w:val="1"/>
                <w:sz w:val="24"/>
                <w:szCs w:val="24"/>
                <w:lang w:val="uk-UA"/>
              </w:rPr>
              <w:t xml:space="preserve"> «Потужність відбору на базовий сезон відбору/закачування». </w:t>
            </w:r>
          </w:p>
          <w:p w14:paraId="7920F01B" w14:textId="7B8D916B" w:rsidR="006A2C35" w:rsidRPr="007C3491" w:rsidRDefault="006A2C35" w:rsidP="007C3491">
            <w:pPr>
              <w:spacing w:after="0"/>
              <w:rPr>
                <w:rFonts w:ascii="Times New Roman" w:hAnsi="Times New Roman" w:cs="Times New Roman"/>
                <w:b/>
                <w:sz w:val="24"/>
                <w:szCs w:val="24"/>
                <w:lang w:val="uk-UA"/>
              </w:rPr>
            </w:pPr>
            <w:r w:rsidRPr="007C3491">
              <w:rPr>
                <w:rFonts w:ascii="Times New Roman" w:eastAsia="Times New Roman" w:hAnsi="Times New Roman" w:cs="Times New Roman"/>
                <w:spacing w:val="1"/>
                <w:sz w:val="24"/>
                <w:szCs w:val="24"/>
                <w:lang w:val="uk-UA"/>
              </w:rPr>
              <w:t>Вважаємо за доцільне об’єднати колонки 3 та 4 у Розділі 2 Додатку 3 до форми № 7б-НКРЕКП-</w:t>
            </w:r>
            <w:r w:rsidRPr="007C3491">
              <w:rPr>
                <w:rFonts w:ascii="Times New Roman" w:eastAsia="Times New Roman" w:hAnsi="Times New Roman" w:cs="Times New Roman"/>
                <w:spacing w:val="1"/>
                <w:sz w:val="24"/>
                <w:szCs w:val="24"/>
                <w:lang w:val="uk-UA"/>
              </w:rPr>
              <w:lastRenderedPageBreak/>
              <w:t>газ моніторинг (квартальна) аналогічно Додатку 8 до даної форми: «Дохід від замовлення потужності на базовий сезон закачування/ відбору»</w:t>
            </w:r>
            <w:r w:rsidR="007C3491">
              <w:rPr>
                <w:rFonts w:ascii="Times New Roman" w:eastAsia="Times New Roman" w:hAnsi="Times New Roman" w:cs="Times New Roman"/>
                <w:spacing w:val="1"/>
                <w:sz w:val="24"/>
                <w:szCs w:val="24"/>
                <w:lang w:val="uk-UA"/>
              </w:rPr>
              <w:t>.</w:t>
            </w:r>
          </w:p>
        </w:tc>
        <w:tc>
          <w:tcPr>
            <w:tcW w:w="3543" w:type="dxa"/>
          </w:tcPr>
          <w:p w14:paraId="7FA836FD" w14:textId="77777777" w:rsidR="006A2C35" w:rsidRPr="0073691C" w:rsidRDefault="006A2C35" w:rsidP="006A2C35">
            <w:pPr>
              <w:spacing w:after="0" w:line="240" w:lineRule="auto"/>
              <w:ind w:firstLine="144"/>
              <w:rPr>
                <w:rFonts w:ascii="Times New Roman" w:hAnsi="Times New Roman" w:cs="Times New Roman"/>
                <w:b/>
                <w:sz w:val="24"/>
                <w:szCs w:val="24"/>
                <w:highlight w:val="yellow"/>
                <w:lang w:val="uk-UA"/>
              </w:rPr>
            </w:pPr>
          </w:p>
          <w:p w14:paraId="7352796C" w14:textId="77777777" w:rsidR="006A2C35" w:rsidRPr="0073691C" w:rsidRDefault="006A2C35" w:rsidP="007C3491">
            <w:pPr>
              <w:spacing w:after="0" w:line="240" w:lineRule="auto"/>
              <w:ind w:firstLine="166"/>
              <w:rPr>
                <w:rFonts w:ascii="Times New Roman" w:hAnsi="Times New Roman" w:cs="Times New Roman"/>
                <w:b/>
                <w:sz w:val="24"/>
                <w:szCs w:val="24"/>
                <w:lang w:val="uk-UA"/>
              </w:rPr>
            </w:pPr>
            <w:r w:rsidRPr="0073691C">
              <w:rPr>
                <w:rFonts w:ascii="Times New Roman" w:hAnsi="Times New Roman" w:cs="Times New Roman"/>
                <w:b/>
                <w:sz w:val="24"/>
                <w:szCs w:val="24"/>
                <w:lang w:val="uk-UA"/>
              </w:rPr>
              <w:t>Попередньо відхиляється:</w:t>
            </w:r>
          </w:p>
          <w:p w14:paraId="4EE44A09" w14:textId="310089EB" w:rsidR="006A2C35" w:rsidRDefault="004D0574" w:rsidP="006A2C35">
            <w:pPr>
              <w:spacing w:after="0" w:line="240" w:lineRule="auto"/>
              <w:ind w:firstLine="14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Положеннями Кодексу газосховищ. затвердженого постановою НКРЕКП від </w:t>
            </w:r>
            <w:r w:rsidRPr="004D0574">
              <w:rPr>
                <w:rFonts w:ascii="Times New Roman" w:hAnsi="Times New Roman" w:cs="Times New Roman"/>
                <w:sz w:val="24"/>
                <w:szCs w:val="24"/>
                <w:lang w:val="uk-UA"/>
              </w:rPr>
              <w:t>30.09.2015  № 2495</w:t>
            </w:r>
            <w:r>
              <w:rPr>
                <w:rFonts w:ascii="Times New Roman" w:hAnsi="Times New Roman" w:cs="Times New Roman"/>
                <w:sz w:val="24"/>
                <w:szCs w:val="24"/>
                <w:lang w:val="uk-UA"/>
              </w:rPr>
              <w:t xml:space="preserve"> та Типового договору </w:t>
            </w:r>
            <w:r w:rsidRPr="004D0574">
              <w:rPr>
                <w:rFonts w:ascii="Times New Roman" w:hAnsi="Times New Roman" w:cs="Times New Roman"/>
                <w:sz w:val="24"/>
                <w:szCs w:val="24"/>
                <w:lang w:val="uk-UA"/>
              </w:rPr>
              <w:t>зберігання (закачування, відбору) природного газу</w:t>
            </w:r>
            <w:r>
              <w:rPr>
                <w:rFonts w:ascii="Times New Roman" w:hAnsi="Times New Roman" w:cs="Times New Roman"/>
                <w:sz w:val="24"/>
                <w:szCs w:val="24"/>
                <w:lang w:val="uk-UA"/>
              </w:rPr>
              <w:t xml:space="preserve">, затвердженого постановою НКРЕКП від </w:t>
            </w:r>
            <w:r w:rsidRPr="004D0574">
              <w:rPr>
                <w:rFonts w:ascii="Times New Roman" w:hAnsi="Times New Roman" w:cs="Times New Roman"/>
                <w:sz w:val="24"/>
                <w:szCs w:val="24"/>
                <w:lang w:val="uk-UA"/>
              </w:rPr>
              <w:t xml:space="preserve">30.09.2015  № </w:t>
            </w:r>
            <w:r w:rsidR="003409AF">
              <w:rPr>
                <w:rFonts w:ascii="Times New Roman" w:hAnsi="Times New Roman" w:cs="Times New Roman"/>
                <w:sz w:val="24"/>
                <w:szCs w:val="24"/>
                <w:lang w:val="uk-UA"/>
              </w:rPr>
              <w:t> </w:t>
            </w:r>
            <w:r w:rsidRPr="004D0574">
              <w:rPr>
                <w:rFonts w:ascii="Times New Roman" w:hAnsi="Times New Roman" w:cs="Times New Roman"/>
                <w:sz w:val="24"/>
                <w:szCs w:val="24"/>
                <w:lang w:val="uk-UA"/>
              </w:rPr>
              <w:t>2499</w:t>
            </w:r>
            <w:r>
              <w:rPr>
                <w:rFonts w:ascii="Times New Roman" w:hAnsi="Times New Roman" w:cs="Times New Roman"/>
                <w:sz w:val="24"/>
                <w:szCs w:val="24"/>
                <w:lang w:val="uk-UA"/>
              </w:rPr>
              <w:t xml:space="preserve">, визначаються періоди, на які </w:t>
            </w:r>
            <w:r w:rsidRPr="004D0574">
              <w:rPr>
                <w:rFonts w:ascii="Times New Roman" w:hAnsi="Times New Roman" w:cs="Times New Roman"/>
                <w:sz w:val="24"/>
                <w:szCs w:val="24"/>
                <w:lang w:val="uk-UA"/>
              </w:rPr>
              <w:t xml:space="preserve">розподіляється </w:t>
            </w:r>
            <w:r>
              <w:rPr>
                <w:rFonts w:ascii="Times New Roman" w:hAnsi="Times New Roman" w:cs="Times New Roman"/>
                <w:sz w:val="24"/>
                <w:szCs w:val="24"/>
                <w:lang w:val="uk-UA"/>
              </w:rPr>
              <w:t>д</w:t>
            </w:r>
            <w:r w:rsidRPr="004D0574">
              <w:rPr>
                <w:rFonts w:ascii="Times New Roman" w:hAnsi="Times New Roman" w:cs="Times New Roman"/>
                <w:sz w:val="24"/>
                <w:szCs w:val="24"/>
                <w:lang w:val="uk-UA"/>
              </w:rPr>
              <w:t>оступ до потужності газосховища</w:t>
            </w:r>
            <w:r>
              <w:rPr>
                <w:rFonts w:ascii="Times New Roman" w:hAnsi="Times New Roman" w:cs="Times New Roman"/>
                <w:sz w:val="24"/>
                <w:szCs w:val="24"/>
                <w:lang w:val="uk-UA"/>
              </w:rPr>
              <w:t>, зокрема</w:t>
            </w:r>
            <w:r w:rsidR="00F87B26">
              <w:rPr>
                <w:rFonts w:ascii="Times New Roman" w:hAnsi="Times New Roman" w:cs="Times New Roman"/>
                <w:sz w:val="24"/>
                <w:szCs w:val="24"/>
                <w:lang w:val="uk-UA"/>
              </w:rPr>
              <w:t xml:space="preserve"> окремо на</w:t>
            </w:r>
            <w:r>
              <w:rPr>
                <w:rFonts w:ascii="Times New Roman" w:hAnsi="Times New Roman" w:cs="Times New Roman"/>
                <w:sz w:val="24"/>
                <w:szCs w:val="24"/>
                <w:lang w:val="uk-UA"/>
              </w:rPr>
              <w:t xml:space="preserve"> базовий період закачування та базовий сезон відбору.</w:t>
            </w:r>
          </w:p>
          <w:p w14:paraId="3E092BA1" w14:textId="4E58A6E0" w:rsidR="004D0574" w:rsidRPr="004D0574" w:rsidRDefault="004D0574" w:rsidP="006A2C35">
            <w:pPr>
              <w:spacing w:after="0" w:line="240" w:lineRule="auto"/>
              <w:ind w:firstLine="144"/>
              <w:jc w:val="both"/>
              <w:rPr>
                <w:rFonts w:ascii="Times New Roman" w:hAnsi="Times New Roman" w:cs="Times New Roman"/>
                <w:sz w:val="24"/>
                <w:szCs w:val="24"/>
                <w:lang w:val="az-Cyrl-AZ"/>
              </w:rPr>
            </w:pPr>
            <w:r>
              <w:rPr>
                <w:rFonts w:ascii="Times New Roman" w:hAnsi="Times New Roman" w:cs="Times New Roman"/>
                <w:sz w:val="24"/>
                <w:szCs w:val="24"/>
                <w:lang w:val="az-Cyrl-AZ"/>
              </w:rPr>
              <w:t xml:space="preserve">Таким чином, </w:t>
            </w:r>
            <w:r w:rsidR="00F87B26">
              <w:rPr>
                <w:rFonts w:ascii="Times New Roman" w:hAnsi="Times New Roman" w:cs="Times New Roman"/>
                <w:sz w:val="24"/>
                <w:szCs w:val="24"/>
                <w:lang w:val="az-Cyrl-AZ"/>
              </w:rPr>
              <w:t>зміни передбачені проєктом Постанови не суперечать положенням відповідних нормативно-правових актів.</w:t>
            </w:r>
          </w:p>
        </w:tc>
      </w:tr>
      <w:tr w:rsidR="008C29FB" w:rsidRPr="0079252C" w14:paraId="2406EF26" w14:textId="77777777" w:rsidTr="007C3491">
        <w:tc>
          <w:tcPr>
            <w:tcW w:w="15304" w:type="dxa"/>
            <w:gridSpan w:val="3"/>
          </w:tcPr>
          <w:p w14:paraId="04E36E31" w14:textId="77777777" w:rsidR="008C29FB" w:rsidRPr="009A5C3F" w:rsidRDefault="008C29FB" w:rsidP="008C29FB">
            <w:pPr>
              <w:tabs>
                <w:tab w:val="left" w:pos="5100"/>
              </w:tabs>
              <w:spacing w:after="0" w:line="240" w:lineRule="auto"/>
              <w:ind w:firstLine="242"/>
              <w:jc w:val="center"/>
              <w:rPr>
                <w:rFonts w:ascii="Times New Roman" w:hAnsi="Times New Roman" w:cs="Times New Roman"/>
                <w:b/>
                <w:sz w:val="24"/>
                <w:highlight w:val="yellow"/>
                <w:lang w:val="uk-UA"/>
              </w:rPr>
            </w:pPr>
            <w:r w:rsidRPr="001963F1">
              <w:rPr>
                <w:rFonts w:ascii="Times New Roman" w:hAnsi="Times New Roman" w:cs="Times New Roman"/>
                <w:b/>
                <w:sz w:val="24"/>
                <w:lang w:val="uk-UA"/>
              </w:rPr>
              <w:t xml:space="preserve">Додаток </w:t>
            </w:r>
            <w:r>
              <w:rPr>
                <w:rFonts w:ascii="Times New Roman" w:hAnsi="Times New Roman" w:cs="Times New Roman"/>
                <w:b/>
                <w:sz w:val="24"/>
                <w:lang w:val="uk-UA"/>
              </w:rPr>
              <w:t>8   </w:t>
            </w:r>
            <w:r w:rsidRPr="001963F1">
              <w:rPr>
                <w:rFonts w:ascii="Times New Roman" w:hAnsi="Times New Roman" w:cs="Times New Roman"/>
                <w:b/>
                <w:sz w:val="24"/>
                <w:lang w:val="uk-UA"/>
              </w:rPr>
              <w:t>до форми № 7б-НКРЕКП-газ-моніторинг (квартальна)</w:t>
            </w:r>
          </w:p>
        </w:tc>
      </w:tr>
      <w:tr w:rsidR="004D0574" w:rsidRPr="000B2924" w14:paraId="34B8B151" w14:textId="77777777" w:rsidTr="007C3491">
        <w:tc>
          <w:tcPr>
            <w:tcW w:w="6516" w:type="dxa"/>
          </w:tcPr>
          <w:p w14:paraId="39113D42" w14:textId="77777777" w:rsidR="008C29FB" w:rsidRPr="00C646A2" w:rsidRDefault="008C29FB" w:rsidP="008C29FB">
            <w:pPr>
              <w:spacing w:after="0" w:line="240" w:lineRule="auto"/>
              <w:jc w:val="both"/>
              <w:rPr>
                <w:rFonts w:ascii="Times New Roman" w:hAnsi="Times New Roman" w:cs="Times New Roman"/>
                <w:shd w:val="clear" w:color="auto" w:fill="FFFFFF"/>
                <w:lang w:val="uk-UA"/>
              </w:rPr>
            </w:pPr>
            <w:r>
              <w:rPr>
                <w:rFonts w:ascii="Times New Roman" w:hAnsi="Times New Roman" w:cs="Times New Roman"/>
                <w:noProof/>
                <w:shd w:val="clear" w:color="auto" w:fill="FFFFFF"/>
                <w:lang w:val="uk-UA"/>
              </w:rPr>
              <w:drawing>
                <wp:inline distT="0" distB="0" distL="0" distR="0" wp14:anchorId="77FB96FA" wp14:editId="6C22A75E">
                  <wp:extent cx="3975653" cy="3405798"/>
                  <wp:effectExtent l="0" t="0" r="6350" b="444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12078" cy="3437002"/>
                          </a:xfrm>
                          <a:prstGeom prst="rect">
                            <a:avLst/>
                          </a:prstGeom>
                          <a:noFill/>
                        </pic:spPr>
                      </pic:pic>
                    </a:graphicData>
                  </a:graphic>
                </wp:inline>
              </w:drawing>
            </w:r>
          </w:p>
        </w:tc>
        <w:tc>
          <w:tcPr>
            <w:tcW w:w="5245" w:type="dxa"/>
          </w:tcPr>
          <w:p w14:paraId="6567ED38" w14:textId="77777777" w:rsidR="00DC7738" w:rsidRDefault="00DC7738" w:rsidP="00DC7738">
            <w:pPr>
              <w:spacing w:after="0" w:line="240" w:lineRule="auto"/>
              <w:jc w:val="both"/>
              <w:rPr>
                <w:rFonts w:ascii="Times New Roman" w:hAnsi="Times New Roman" w:cs="Times New Roman"/>
                <w:b/>
                <w:lang w:val="uk-UA"/>
              </w:rPr>
            </w:pPr>
          </w:p>
          <w:p w14:paraId="5F047693" w14:textId="77777777" w:rsidR="00DC7738" w:rsidRPr="00DC7738" w:rsidRDefault="00DC7738" w:rsidP="00DC7738">
            <w:pPr>
              <w:spacing w:after="0" w:line="240" w:lineRule="auto"/>
              <w:jc w:val="both"/>
              <w:rPr>
                <w:rFonts w:ascii="Times New Roman" w:hAnsi="Times New Roman" w:cs="Times New Roman"/>
                <w:b/>
                <w:lang w:val="uk-UA"/>
              </w:rPr>
            </w:pPr>
            <w:r w:rsidRPr="00DC7738">
              <w:rPr>
                <w:rFonts w:ascii="Times New Roman" w:hAnsi="Times New Roman" w:cs="Times New Roman"/>
                <w:b/>
                <w:lang w:val="uk-UA"/>
              </w:rPr>
              <w:t>Не надходило</w:t>
            </w:r>
          </w:p>
          <w:p w14:paraId="4945E18F" w14:textId="77777777" w:rsidR="008C29FB" w:rsidRPr="00C646A2" w:rsidRDefault="008C29FB" w:rsidP="008C29FB">
            <w:pPr>
              <w:spacing w:after="0" w:line="240" w:lineRule="auto"/>
              <w:jc w:val="both"/>
              <w:rPr>
                <w:rFonts w:ascii="Times New Roman" w:hAnsi="Times New Roman" w:cs="Times New Roman"/>
                <w:lang w:val="uk-UA"/>
              </w:rPr>
            </w:pPr>
          </w:p>
        </w:tc>
        <w:tc>
          <w:tcPr>
            <w:tcW w:w="3543" w:type="dxa"/>
          </w:tcPr>
          <w:p w14:paraId="18EB03F7" w14:textId="77777777" w:rsidR="008C29FB" w:rsidRPr="0073691C" w:rsidRDefault="008C29FB" w:rsidP="008C29FB">
            <w:pPr>
              <w:spacing w:after="0" w:line="240" w:lineRule="auto"/>
              <w:ind w:firstLine="144"/>
              <w:rPr>
                <w:rFonts w:ascii="Times New Roman" w:hAnsi="Times New Roman" w:cs="Times New Roman"/>
                <w:b/>
                <w:sz w:val="24"/>
                <w:szCs w:val="24"/>
                <w:highlight w:val="yellow"/>
                <w:lang w:val="uk-UA"/>
              </w:rPr>
            </w:pPr>
          </w:p>
          <w:p w14:paraId="0B03EC7B" w14:textId="77777777" w:rsidR="008C29FB" w:rsidRPr="0073691C" w:rsidRDefault="008C29FB" w:rsidP="008C29FB">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Не надходило</w:t>
            </w:r>
          </w:p>
          <w:p w14:paraId="3093E4AE" w14:textId="77777777" w:rsidR="008C29FB" w:rsidRPr="000F5C8B" w:rsidRDefault="008C29FB" w:rsidP="008C29FB">
            <w:pPr>
              <w:spacing w:after="0" w:line="240" w:lineRule="auto"/>
              <w:ind w:firstLine="144"/>
              <w:jc w:val="both"/>
              <w:rPr>
                <w:rFonts w:ascii="Times New Roman" w:hAnsi="Times New Roman" w:cs="Times New Roman"/>
                <w:sz w:val="24"/>
                <w:szCs w:val="24"/>
                <w:lang w:val="uk-UA"/>
              </w:rPr>
            </w:pPr>
          </w:p>
        </w:tc>
      </w:tr>
      <w:tr w:rsidR="008C29FB" w:rsidRPr="000B2924" w14:paraId="710579F8" w14:textId="77777777" w:rsidTr="007C3491">
        <w:tc>
          <w:tcPr>
            <w:tcW w:w="15304" w:type="dxa"/>
            <w:gridSpan w:val="3"/>
          </w:tcPr>
          <w:p w14:paraId="2C773C8E" w14:textId="77777777" w:rsidR="008C29FB" w:rsidRPr="009A5C3F" w:rsidRDefault="008C29FB" w:rsidP="008C29FB">
            <w:pPr>
              <w:spacing w:after="0" w:line="240" w:lineRule="auto"/>
              <w:ind w:firstLine="144"/>
              <w:jc w:val="center"/>
              <w:rPr>
                <w:rFonts w:ascii="Times New Roman" w:hAnsi="Times New Roman" w:cs="Times New Roman"/>
                <w:b/>
                <w:sz w:val="24"/>
                <w:szCs w:val="24"/>
                <w:lang w:val="uk-UA"/>
              </w:rPr>
            </w:pPr>
            <w:r w:rsidRPr="009A5C3F">
              <w:rPr>
                <w:rFonts w:ascii="Times New Roman" w:hAnsi="Times New Roman" w:cs="Times New Roman"/>
                <w:b/>
                <w:sz w:val="24"/>
                <w:szCs w:val="24"/>
                <w:lang w:val="uk-UA"/>
              </w:rPr>
              <w:t>ІНСТРУКЦІЯ щодо заповнення форми звітності № 7б-НКРЕКП-газ-моніторинг (квартальна)</w:t>
            </w:r>
          </w:p>
          <w:p w14:paraId="755ADC0A" w14:textId="77777777" w:rsidR="008C29FB" w:rsidRPr="009A5C3F" w:rsidRDefault="008C29FB" w:rsidP="008C29FB">
            <w:pPr>
              <w:spacing w:after="0" w:line="240" w:lineRule="auto"/>
              <w:ind w:firstLine="144"/>
              <w:jc w:val="center"/>
              <w:rPr>
                <w:rFonts w:ascii="Times New Roman" w:hAnsi="Times New Roman" w:cs="Times New Roman"/>
                <w:b/>
                <w:sz w:val="24"/>
                <w:szCs w:val="24"/>
                <w:lang w:val="uk-UA"/>
              </w:rPr>
            </w:pPr>
            <w:r w:rsidRPr="009A5C3F">
              <w:rPr>
                <w:rFonts w:ascii="Times New Roman" w:hAnsi="Times New Roman" w:cs="Times New Roman"/>
                <w:b/>
                <w:sz w:val="24"/>
                <w:szCs w:val="24"/>
                <w:lang w:val="uk-UA"/>
              </w:rPr>
              <w:t>«Звіт про застосування тарифів на послуги зберігання (закачування, відбір) природного газу»</w:t>
            </w:r>
          </w:p>
          <w:p w14:paraId="39B85E46" w14:textId="77777777" w:rsidR="008C29FB" w:rsidRPr="0073691C" w:rsidRDefault="008C29FB" w:rsidP="008C29FB">
            <w:pPr>
              <w:spacing w:after="0" w:line="240" w:lineRule="auto"/>
              <w:ind w:firstLine="144"/>
              <w:jc w:val="center"/>
              <w:rPr>
                <w:rFonts w:ascii="Times New Roman" w:hAnsi="Times New Roman" w:cs="Times New Roman"/>
                <w:b/>
                <w:sz w:val="24"/>
                <w:szCs w:val="24"/>
                <w:highlight w:val="yellow"/>
                <w:lang w:val="uk-UA"/>
              </w:rPr>
            </w:pPr>
            <w:r w:rsidRPr="009A5C3F">
              <w:rPr>
                <w:rFonts w:ascii="Times New Roman" w:hAnsi="Times New Roman" w:cs="Times New Roman"/>
                <w:b/>
                <w:sz w:val="24"/>
                <w:szCs w:val="24"/>
                <w:lang w:val="uk-UA"/>
              </w:rPr>
              <w:t>затвердженої Постановою Національної комісії, що здійснює державне регулювання у сферах енергетики та комунальних послуг від 07.07.2016 № 1234</w:t>
            </w:r>
          </w:p>
        </w:tc>
      </w:tr>
      <w:tr w:rsidR="004D0574" w:rsidRPr="004D0574" w14:paraId="108F929D" w14:textId="77777777" w:rsidTr="007C3491">
        <w:tc>
          <w:tcPr>
            <w:tcW w:w="6516" w:type="dxa"/>
          </w:tcPr>
          <w:p w14:paraId="294F974C" w14:textId="77777777" w:rsidR="006B1F70" w:rsidRDefault="006B1F70" w:rsidP="008C29FB">
            <w:pPr>
              <w:spacing w:after="0" w:line="240" w:lineRule="auto"/>
              <w:ind w:firstLine="242"/>
              <w:jc w:val="both"/>
              <w:rPr>
                <w:rFonts w:ascii="Times New Roman" w:hAnsi="Times New Roman" w:cs="Times New Roman"/>
                <w:b/>
                <w:i/>
                <w:noProof/>
                <w:shd w:val="clear" w:color="auto" w:fill="FFFFFF"/>
                <w:lang w:val="uk-UA"/>
              </w:rPr>
            </w:pPr>
          </w:p>
          <w:p w14:paraId="7A25176D" w14:textId="64890C73" w:rsidR="008C29FB" w:rsidRPr="007C3491" w:rsidRDefault="006B1F70" w:rsidP="008C29FB">
            <w:pPr>
              <w:spacing w:after="0" w:line="240" w:lineRule="auto"/>
              <w:ind w:firstLine="242"/>
              <w:jc w:val="both"/>
              <w:rPr>
                <w:rFonts w:ascii="Times New Roman" w:hAnsi="Times New Roman" w:cs="Times New Roman"/>
                <w:b/>
                <w:i/>
                <w:noProof/>
                <w:shd w:val="clear" w:color="auto" w:fill="FFFFFF"/>
                <w:lang w:val="uk-UA"/>
              </w:rPr>
            </w:pPr>
            <w:r>
              <w:rPr>
                <w:rFonts w:ascii="Times New Roman" w:hAnsi="Times New Roman" w:cs="Times New Roman"/>
                <w:b/>
                <w:i/>
                <w:noProof/>
                <w:shd w:val="clear" w:color="auto" w:fill="FFFFFF"/>
                <w:lang w:val="uk-UA"/>
              </w:rPr>
              <w:t xml:space="preserve">Редакція положень діючого нормативно-правового акту. </w:t>
            </w:r>
            <w:r w:rsidR="007C3491" w:rsidRPr="007C3491">
              <w:rPr>
                <w:rFonts w:ascii="Times New Roman" w:hAnsi="Times New Roman" w:cs="Times New Roman"/>
                <w:b/>
                <w:i/>
                <w:noProof/>
                <w:shd w:val="clear" w:color="auto" w:fill="FFFFFF"/>
                <w:lang w:val="uk-UA"/>
              </w:rPr>
              <w:t xml:space="preserve">Проєктом </w:t>
            </w:r>
            <w:r w:rsidR="0076154D">
              <w:rPr>
                <w:rFonts w:ascii="Times New Roman" w:hAnsi="Times New Roman" w:cs="Times New Roman"/>
                <w:b/>
                <w:i/>
                <w:noProof/>
                <w:shd w:val="clear" w:color="auto" w:fill="FFFFFF"/>
                <w:lang w:val="uk-UA"/>
              </w:rPr>
              <w:t>рішення</w:t>
            </w:r>
            <w:r w:rsidR="007C3491" w:rsidRPr="007C3491">
              <w:rPr>
                <w:rFonts w:ascii="Times New Roman" w:hAnsi="Times New Roman" w:cs="Times New Roman"/>
                <w:b/>
                <w:i/>
                <w:noProof/>
                <w:shd w:val="clear" w:color="auto" w:fill="FFFFFF"/>
                <w:lang w:val="uk-UA"/>
              </w:rPr>
              <w:t xml:space="preserve"> зміни </w:t>
            </w:r>
            <w:r>
              <w:rPr>
                <w:rFonts w:ascii="Times New Roman" w:hAnsi="Times New Roman" w:cs="Times New Roman"/>
                <w:b/>
                <w:i/>
                <w:noProof/>
                <w:shd w:val="clear" w:color="auto" w:fill="FFFFFF"/>
                <w:lang w:val="uk-UA"/>
              </w:rPr>
              <w:t xml:space="preserve">в зазначеній частині </w:t>
            </w:r>
            <w:r w:rsidR="007C3491" w:rsidRPr="007C3491">
              <w:rPr>
                <w:rFonts w:ascii="Times New Roman" w:hAnsi="Times New Roman" w:cs="Times New Roman"/>
                <w:b/>
                <w:i/>
                <w:noProof/>
                <w:shd w:val="clear" w:color="auto" w:fill="FFFFFF"/>
                <w:lang w:val="uk-UA"/>
              </w:rPr>
              <w:t>не передбачені</w:t>
            </w:r>
          </w:p>
          <w:p w14:paraId="548645A9" w14:textId="77777777" w:rsidR="006B1F70" w:rsidRPr="000632E0" w:rsidRDefault="006B1F70" w:rsidP="006B1F70">
            <w:pPr>
              <w:spacing w:after="0" w:line="240" w:lineRule="auto"/>
              <w:ind w:firstLine="709"/>
              <w:jc w:val="both"/>
              <w:rPr>
                <w:rFonts w:ascii="Times New Roman" w:eastAsia="Times New Roman" w:hAnsi="Times New Roman" w:cs="Times New Roman"/>
                <w:spacing w:val="1"/>
                <w:sz w:val="24"/>
                <w:szCs w:val="24"/>
                <w:lang w:val="uk-UA"/>
              </w:rPr>
            </w:pPr>
            <w:r w:rsidRPr="000632E0">
              <w:rPr>
                <w:rFonts w:ascii="Times New Roman" w:eastAsia="Times New Roman" w:hAnsi="Times New Roman" w:cs="Times New Roman"/>
                <w:spacing w:val="1"/>
                <w:sz w:val="24"/>
                <w:szCs w:val="24"/>
                <w:lang w:val="uk-UA"/>
              </w:rPr>
              <w:t xml:space="preserve">Пункт 1, Розділ ІІІ </w:t>
            </w:r>
          </w:p>
          <w:p w14:paraId="3E2B3E16" w14:textId="77777777" w:rsidR="006B1F70" w:rsidRPr="000632E0" w:rsidRDefault="006B1F70" w:rsidP="006B1F70">
            <w:pPr>
              <w:spacing w:after="0" w:line="240" w:lineRule="auto"/>
              <w:ind w:firstLine="709"/>
              <w:jc w:val="both"/>
              <w:rPr>
                <w:rFonts w:ascii="Times New Roman" w:eastAsia="Times New Roman" w:hAnsi="Times New Roman" w:cs="Times New Roman"/>
                <w:spacing w:val="1"/>
                <w:sz w:val="24"/>
                <w:szCs w:val="24"/>
                <w:lang w:val="uk-UA"/>
              </w:rPr>
            </w:pPr>
            <w:r w:rsidRPr="000632E0">
              <w:rPr>
                <w:rFonts w:ascii="Times New Roman" w:eastAsia="Times New Roman" w:hAnsi="Times New Roman" w:cs="Times New Roman"/>
                <w:spacing w:val="1"/>
                <w:sz w:val="24"/>
                <w:szCs w:val="24"/>
                <w:lang w:val="uk-UA"/>
              </w:rPr>
              <w:t xml:space="preserve">1. Форма № 7б передбачає звітність ліцензіата щодо виробничої собівартості продукції (робіт, послуг), адміністративних витрат, інших витрат операційної діяльності, фінансових витрат, інших витрат, доходу </w:t>
            </w:r>
            <w:r w:rsidRPr="000632E0">
              <w:rPr>
                <w:rFonts w:ascii="Times New Roman" w:eastAsia="Times New Roman" w:hAnsi="Times New Roman" w:cs="Times New Roman"/>
                <w:spacing w:val="1"/>
                <w:sz w:val="24"/>
                <w:szCs w:val="24"/>
                <w:lang w:val="uk-UA"/>
              </w:rPr>
              <w:lastRenderedPageBreak/>
              <w:t>(виручки) від реалізації продукції  (товарів, робіт, послуг), іншого операційного доходу та фінансового результату ліцензіата за кожен місяць звітного періоду у розрізі діяльності із зберігання (закачування, відбору) природного газу та інших  видів діяльності, складена на підставі даних бухгалтерського обліку (крім амортизації яка заповнюється відповідно до даних податкового обліку), а саме:</w:t>
            </w:r>
          </w:p>
          <w:p w14:paraId="7C00A602" w14:textId="77777777" w:rsidR="00196671" w:rsidRPr="007C3491" w:rsidRDefault="00196671" w:rsidP="008C29FB">
            <w:pPr>
              <w:spacing w:after="0" w:line="240" w:lineRule="auto"/>
              <w:ind w:firstLine="242"/>
              <w:jc w:val="both"/>
              <w:rPr>
                <w:rFonts w:ascii="Times New Roman" w:hAnsi="Times New Roman" w:cs="Times New Roman"/>
                <w:b/>
                <w:i/>
                <w:noProof/>
                <w:shd w:val="clear" w:color="auto" w:fill="FFFFFF"/>
                <w:lang w:val="uk-UA"/>
              </w:rPr>
            </w:pPr>
          </w:p>
        </w:tc>
        <w:tc>
          <w:tcPr>
            <w:tcW w:w="5245" w:type="dxa"/>
          </w:tcPr>
          <w:p w14:paraId="17410686" w14:textId="77777777" w:rsidR="00E83EE5" w:rsidRPr="000632E0" w:rsidRDefault="00E83EE5" w:rsidP="00E83EE5">
            <w:pPr>
              <w:spacing w:after="0"/>
              <w:jc w:val="both"/>
              <w:rPr>
                <w:rFonts w:ascii="Times New Roman" w:hAnsi="Times New Roman"/>
                <w:b/>
                <w:bCs/>
                <w:sz w:val="24"/>
                <w:szCs w:val="24"/>
                <w:lang w:val="uk-UA"/>
              </w:rPr>
            </w:pPr>
            <w:r w:rsidRPr="000632E0">
              <w:rPr>
                <w:rFonts w:ascii="Times New Roman" w:hAnsi="Times New Roman"/>
                <w:b/>
                <w:bCs/>
                <w:sz w:val="24"/>
                <w:szCs w:val="24"/>
                <w:lang w:val="uk-UA"/>
              </w:rPr>
              <w:lastRenderedPageBreak/>
              <w:t>АТ «УКРТРАНСГАЗ»</w:t>
            </w:r>
          </w:p>
          <w:p w14:paraId="34A4042B" w14:textId="77777777" w:rsidR="00E83EE5" w:rsidRPr="000632E0" w:rsidRDefault="00E83EE5" w:rsidP="00E83EE5">
            <w:pPr>
              <w:spacing w:after="0"/>
              <w:jc w:val="both"/>
              <w:rPr>
                <w:rFonts w:ascii="Times New Roman" w:hAnsi="Times New Roman"/>
                <w:b/>
                <w:bCs/>
                <w:sz w:val="24"/>
                <w:szCs w:val="24"/>
                <w:lang w:val="uk-UA"/>
              </w:rPr>
            </w:pPr>
            <w:r w:rsidRPr="000632E0">
              <w:rPr>
                <w:rFonts w:ascii="Times New Roman" w:hAnsi="Times New Roman"/>
                <w:b/>
                <w:bCs/>
                <w:sz w:val="24"/>
                <w:szCs w:val="24"/>
                <w:lang w:val="uk-UA"/>
              </w:rPr>
              <w:t>Пропозиція:</w:t>
            </w:r>
          </w:p>
          <w:p w14:paraId="1340B606" w14:textId="77777777" w:rsidR="008C29FB" w:rsidRPr="000632E0" w:rsidRDefault="008C29FB" w:rsidP="00E83EE5">
            <w:pPr>
              <w:spacing w:after="0"/>
              <w:jc w:val="both"/>
              <w:rPr>
                <w:rFonts w:ascii="Times New Roman" w:hAnsi="Times New Roman"/>
                <w:bCs/>
                <w:sz w:val="24"/>
                <w:szCs w:val="24"/>
                <w:lang w:val="uk-UA"/>
              </w:rPr>
            </w:pPr>
            <w:r w:rsidRPr="000632E0">
              <w:rPr>
                <w:rFonts w:ascii="Times New Roman" w:hAnsi="Times New Roman"/>
                <w:bCs/>
                <w:sz w:val="24"/>
                <w:szCs w:val="24"/>
                <w:lang w:val="uk-UA"/>
              </w:rPr>
              <w:t xml:space="preserve">Пункт 1, Розділ ІІІ </w:t>
            </w:r>
          </w:p>
          <w:p w14:paraId="3493B3D6" w14:textId="77777777" w:rsidR="008C29FB" w:rsidRPr="000632E0" w:rsidRDefault="008C29FB" w:rsidP="008C29FB">
            <w:pPr>
              <w:spacing w:after="0" w:line="240" w:lineRule="auto"/>
              <w:jc w:val="both"/>
              <w:rPr>
                <w:rFonts w:ascii="Times New Roman" w:eastAsia="Calibri" w:hAnsi="Times New Roman" w:cs="Arial"/>
                <w:bCs/>
                <w:sz w:val="24"/>
                <w:szCs w:val="24"/>
                <w:lang w:val="uk-UA"/>
              </w:rPr>
            </w:pPr>
            <w:r w:rsidRPr="000632E0">
              <w:rPr>
                <w:rFonts w:ascii="Times New Roman" w:eastAsia="Calibri" w:hAnsi="Times New Roman" w:cs="Arial"/>
                <w:bCs/>
                <w:sz w:val="24"/>
                <w:szCs w:val="24"/>
                <w:lang w:val="uk-UA"/>
              </w:rPr>
              <w:t> 1.</w:t>
            </w:r>
            <w:r w:rsidRPr="000632E0">
              <w:rPr>
                <w:rFonts w:ascii="Times New Roman" w:eastAsia="Calibri" w:hAnsi="Times New Roman" w:cs="Arial"/>
                <w:bCs/>
                <w:sz w:val="24"/>
                <w:szCs w:val="24"/>
              </w:rPr>
              <w:t> </w:t>
            </w:r>
            <w:r w:rsidRPr="000632E0">
              <w:rPr>
                <w:rFonts w:ascii="Times New Roman" w:eastAsia="Calibri" w:hAnsi="Times New Roman" w:cs="Arial"/>
                <w:bCs/>
                <w:sz w:val="24"/>
                <w:szCs w:val="24"/>
                <w:lang w:val="uk-UA"/>
              </w:rPr>
              <w:t xml:space="preserve">Форма № 7б передбачає звітність ліцензіата щодо виробничої собівартості продукції (робіт, послуг), адміністративних витрат, інших витрат операційної діяльності, фінансових витрат, інших витрат, доходу (виручки) від реалізації продукції </w:t>
            </w:r>
            <w:r w:rsidRPr="000632E0">
              <w:rPr>
                <w:rFonts w:ascii="Times New Roman" w:eastAsia="Calibri" w:hAnsi="Times New Roman" w:cs="Arial"/>
                <w:bCs/>
                <w:sz w:val="24"/>
                <w:szCs w:val="24"/>
                <w:lang w:val="uk-UA"/>
              </w:rPr>
              <w:lastRenderedPageBreak/>
              <w:t xml:space="preserve">(товарів, робіт, послуг), іншого операційного доходу та фінансового результату ліцензіата за кожен місяць звітного періоду у розрізі діяльності із зберігання (закачування, відбору) природного газу </w:t>
            </w:r>
            <w:r w:rsidRPr="000632E0">
              <w:rPr>
                <w:rFonts w:ascii="Times New Roman" w:eastAsia="Calibri" w:hAnsi="Times New Roman" w:cs="Arial"/>
                <w:b/>
                <w:bCs/>
                <w:strike/>
                <w:sz w:val="24"/>
                <w:szCs w:val="24"/>
                <w:lang w:val="uk-UA"/>
              </w:rPr>
              <w:t>та інших  видів діяльності</w:t>
            </w:r>
            <w:r w:rsidRPr="000632E0">
              <w:rPr>
                <w:rFonts w:ascii="Times New Roman" w:eastAsia="Calibri" w:hAnsi="Times New Roman" w:cs="Arial"/>
                <w:sz w:val="24"/>
                <w:szCs w:val="24"/>
                <w:lang w:val="uk-UA"/>
              </w:rPr>
              <w:t xml:space="preserve">, </w:t>
            </w:r>
            <w:r w:rsidRPr="000632E0">
              <w:rPr>
                <w:rFonts w:ascii="Times New Roman" w:eastAsia="Calibri" w:hAnsi="Times New Roman" w:cs="Arial"/>
                <w:bCs/>
                <w:sz w:val="24"/>
                <w:szCs w:val="24"/>
                <w:lang w:val="uk-UA"/>
              </w:rPr>
              <w:t xml:space="preserve">складена на підставі даних бухгалтерського обліку (крім амортизації, яка заповнюється відповідно до даних податкового обліку), </w:t>
            </w:r>
            <w:r w:rsidRPr="000632E0">
              <w:rPr>
                <w:rFonts w:ascii="Times New Roman" w:eastAsia="Calibri" w:hAnsi="Times New Roman" w:cs="Arial"/>
                <w:b/>
                <w:sz w:val="24"/>
                <w:szCs w:val="24"/>
                <w:u w:val="single"/>
                <w:lang w:val="uk-UA"/>
              </w:rPr>
              <w:t>та інших видів діяльності</w:t>
            </w:r>
            <w:r w:rsidRPr="000632E0">
              <w:rPr>
                <w:rFonts w:ascii="Times New Roman" w:eastAsia="Calibri" w:hAnsi="Times New Roman" w:cs="Arial"/>
                <w:bCs/>
                <w:sz w:val="24"/>
                <w:szCs w:val="24"/>
                <w:lang w:val="uk-UA"/>
              </w:rPr>
              <w:t>, а саме:</w:t>
            </w:r>
          </w:p>
          <w:p w14:paraId="2166E04D" w14:textId="77777777" w:rsidR="008C29FB" w:rsidRPr="000632E0" w:rsidRDefault="008C29FB" w:rsidP="008C29FB">
            <w:pPr>
              <w:spacing w:after="0" w:line="240" w:lineRule="auto"/>
              <w:ind w:firstLine="709"/>
              <w:jc w:val="both"/>
              <w:rPr>
                <w:rFonts w:ascii="Times New Roman" w:eastAsia="Times New Roman" w:hAnsi="Times New Roman" w:cs="Times New Roman"/>
                <w:spacing w:val="1"/>
                <w:sz w:val="24"/>
                <w:szCs w:val="24"/>
                <w:lang w:val="uk-UA"/>
              </w:rPr>
            </w:pPr>
            <w:r w:rsidRPr="000632E0">
              <w:rPr>
                <w:rFonts w:ascii="Times New Roman" w:eastAsia="Times New Roman" w:hAnsi="Times New Roman" w:cs="Times New Roman"/>
                <w:spacing w:val="1"/>
                <w:sz w:val="24"/>
                <w:szCs w:val="24"/>
                <w:lang w:val="uk-UA"/>
              </w:rPr>
              <w:t>…</w:t>
            </w:r>
          </w:p>
          <w:p w14:paraId="02B7AF5C" w14:textId="77777777" w:rsidR="008C29FB" w:rsidRPr="000632E0" w:rsidRDefault="008C29FB" w:rsidP="008C29FB">
            <w:pPr>
              <w:spacing w:after="0" w:line="240" w:lineRule="auto"/>
              <w:ind w:firstLine="709"/>
              <w:jc w:val="both"/>
              <w:rPr>
                <w:rFonts w:ascii="Times New Roman" w:eastAsia="Times New Roman" w:hAnsi="Times New Roman" w:cs="Times New Roman"/>
                <w:spacing w:val="1"/>
                <w:sz w:val="24"/>
                <w:szCs w:val="24"/>
                <w:lang w:val="uk-UA"/>
              </w:rPr>
            </w:pPr>
          </w:p>
          <w:p w14:paraId="5BCF178A" w14:textId="49DED2DA" w:rsidR="008C29FB" w:rsidRPr="000632E0" w:rsidRDefault="00542872" w:rsidP="008C29FB">
            <w:pPr>
              <w:spacing w:after="0" w:line="240" w:lineRule="auto"/>
              <w:jc w:val="both"/>
              <w:rPr>
                <w:rFonts w:ascii="Times New Roman" w:eastAsia="Times New Roman" w:hAnsi="Times New Roman" w:cs="Times New Roman"/>
                <w:b/>
                <w:spacing w:val="1"/>
                <w:sz w:val="24"/>
                <w:szCs w:val="24"/>
                <w:lang w:val="uk-UA"/>
              </w:rPr>
            </w:pPr>
            <w:r w:rsidRPr="000632E0">
              <w:rPr>
                <w:rFonts w:ascii="Times New Roman" w:eastAsia="Times New Roman" w:hAnsi="Times New Roman" w:cs="Times New Roman"/>
                <w:b/>
                <w:spacing w:val="1"/>
                <w:sz w:val="24"/>
                <w:szCs w:val="24"/>
                <w:lang w:val="uk-UA"/>
              </w:rPr>
              <w:t>Обґрунтування</w:t>
            </w:r>
            <w:r w:rsidR="008C29FB" w:rsidRPr="000632E0">
              <w:rPr>
                <w:rFonts w:ascii="Times New Roman" w:eastAsia="Times New Roman" w:hAnsi="Times New Roman" w:cs="Times New Roman"/>
                <w:b/>
                <w:spacing w:val="1"/>
                <w:sz w:val="24"/>
                <w:szCs w:val="24"/>
                <w:lang w:val="uk-UA"/>
              </w:rPr>
              <w:t>:</w:t>
            </w:r>
          </w:p>
          <w:p w14:paraId="32C6EF0A" w14:textId="77777777" w:rsidR="008C29FB" w:rsidRPr="000632E0" w:rsidRDefault="008C29FB" w:rsidP="008C29FB">
            <w:pPr>
              <w:spacing w:after="0" w:line="240" w:lineRule="auto"/>
              <w:jc w:val="both"/>
              <w:rPr>
                <w:rFonts w:ascii="Times New Roman" w:eastAsia="Times New Roman" w:hAnsi="Times New Roman" w:cs="Times New Roman"/>
                <w:spacing w:val="1"/>
                <w:sz w:val="24"/>
                <w:szCs w:val="24"/>
                <w:lang w:val="uk-UA"/>
              </w:rPr>
            </w:pPr>
            <w:r w:rsidRPr="000632E0">
              <w:rPr>
                <w:rFonts w:ascii="Times New Roman" w:eastAsia="Times New Roman" w:hAnsi="Times New Roman" w:cs="Times New Roman"/>
                <w:spacing w:val="1"/>
                <w:sz w:val="24"/>
                <w:szCs w:val="24"/>
                <w:lang w:val="uk-UA"/>
              </w:rPr>
              <w:t>   Відповідно до пункту 3 частини першої статті 17 Закону України «Про НКРЕКП» для ефективного виконання завдань державного регулювання у сферах енергетики та комунальних послуг Регулятор розробляє та затверджує нормативно-правові акти, зокрема, порядки (правила) організації обліку та звітності за видами ліцензованої діяльності та форми звітності суб’єктів господарювання, що провадять діяльність у сферах енергетики та комунальних послуг, та порядок їх подання.</w:t>
            </w:r>
          </w:p>
          <w:p w14:paraId="14CD1E50" w14:textId="77777777" w:rsidR="008C29FB" w:rsidRPr="000632E0" w:rsidRDefault="008C29FB" w:rsidP="008C29FB">
            <w:pPr>
              <w:spacing w:after="0" w:line="240" w:lineRule="auto"/>
              <w:jc w:val="both"/>
              <w:rPr>
                <w:rFonts w:ascii="Times New Roman" w:eastAsia="Times New Roman" w:hAnsi="Times New Roman" w:cs="Times New Roman"/>
                <w:spacing w:val="1"/>
                <w:sz w:val="24"/>
                <w:szCs w:val="24"/>
                <w:lang w:val="uk-UA"/>
              </w:rPr>
            </w:pPr>
            <w:r w:rsidRPr="000632E0">
              <w:rPr>
                <w:rFonts w:ascii="Times New Roman" w:eastAsia="Times New Roman" w:hAnsi="Times New Roman" w:cs="Times New Roman"/>
                <w:spacing w:val="1"/>
                <w:sz w:val="24"/>
                <w:szCs w:val="24"/>
                <w:lang w:val="uk-UA"/>
              </w:rPr>
              <w:t>Статтею 4 Закону України «Про бухгалтерський облік та фінансову звітність в Україні» визначено принцип послідовності, відповідно до якого має здійснюватися постійне (з року в рік) застосування підприємством обраної облікової політики. Зміна облікової політики можлива лише у випадках, передбачених національними положеннями (стандартами) бухгалтерського обліку, міжнародними стандартами фінансової звітності та національними положеннями (стандартами) бухгалтерського обліку у державному секторі, і повинна бути обґрунтована та розкрита у фінансовій звітності.</w:t>
            </w:r>
          </w:p>
          <w:p w14:paraId="1C10A813" w14:textId="77777777" w:rsidR="008C29FB" w:rsidRPr="000632E0" w:rsidRDefault="008C29FB" w:rsidP="008C29FB">
            <w:pPr>
              <w:spacing w:after="0" w:line="240" w:lineRule="auto"/>
              <w:jc w:val="both"/>
              <w:rPr>
                <w:rFonts w:ascii="Times New Roman" w:eastAsia="Times New Roman" w:hAnsi="Times New Roman" w:cs="Times New Roman"/>
                <w:spacing w:val="1"/>
                <w:sz w:val="24"/>
                <w:szCs w:val="24"/>
                <w:lang w:val="uk-UA"/>
              </w:rPr>
            </w:pPr>
            <w:r w:rsidRPr="000632E0">
              <w:rPr>
                <w:rFonts w:ascii="Times New Roman" w:eastAsia="Times New Roman" w:hAnsi="Times New Roman" w:cs="Times New Roman"/>
                <w:spacing w:val="1"/>
                <w:sz w:val="24"/>
                <w:szCs w:val="24"/>
                <w:lang w:val="uk-UA"/>
              </w:rPr>
              <w:lastRenderedPageBreak/>
              <w:t xml:space="preserve">Виконання вимог Інструкції щодо відображення показників амортизації (податкової) по іншим видам господарської діяльності фактично </w:t>
            </w:r>
            <w:proofErr w:type="spellStart"/>
            <w:r w:rsidRPr="000632E0">
              <w:rPr>
                <w:rFonts w:ascii="Times New Roman" w:eastAsia="Times New Roman" w:hAnsi="Times New Roman" w:cs="Times New Roman"/>
                <w:spacing w:val="1"/>
                <w:sz w:val="24"/>
                <w:szCs w:val="24"/>
                <w:lang w:val="uk-UA"/>
              </w:rPr>
              <w:t>означатиме</w:t>
            </w:r>
            <w:proofErr w:type="spellEnd"/>
            <w:r w:rsidRPr="000632E0">
              <w:rPr>
                <w:rFonts w:ascii="Times New Roman" w:eastAsia="Times New Roman" w:hAnsi="Times New Roman" w:cs="Times New Roman"/>
                <w:spacing w:val="1"/>
                <w:sz w:val="24"/>
                <w:szCs w:val="24"/>
                <w:lang w:val="uk-UA"/>
              </w:rPr>
              <w:t xml:space="preserve"> порушення принципу послідовності при веденні бухгалтерського обліку Товариством, адже потребуватиме необґрунтованих змін у веденні обліку господарських операцій при здійсненні видів діяльності, які не регулюються НКРЕКП.</w:t>
            </w:r>
          </w:p>
          <w:p w14:paraId="460C9F8B" w14:textId="77777777" w:rsidR="008C29FB" w:rsidRPr="000632E0" w:rsidRDefault="008C29FB" w:rsidP="008C29FB">
            <w:pPr>
              <w:spacing w:after="0" w:line="240" w:lineRule="auto"/>
              <w:jc w:val="both"/>
              <w:rPr>
                <w:rFonts w:ascii="Times New Roman" w:eastAsia="Times New Roman" w:hAnsi="Times New Roman" w:cs="Times New Roman"/>
                <w:b/>
                <w:spacing w:val="1"/>
                <w:sz w:val="24"/>
                <w:szCs w:val="24"/>
                <w:lang w:val="uk-UA"/>
              </w:rPr>
            </w:pPr>
            <w:r w:rsidRPr="000632E0">
              <w:rPr>
                <w:rFonts w:ascii="Times New Roman" w:eastAsia="Times New Roman" w:hAnsi="Times New Roman" w:cs="Times New Roman"/>
                <w:spacing w:val="1"/>
                <w:sz w:val="24"/>
                <w:szCs w:val="24"/>
                <w:lang w:val="uk-UA"/>
              </w:rPr>
              <w:t>Крім того, відповідно до абзацу другого частини першої статті 2 Закону України «Про природні монополії» передбачене цим Законом регулювання діяльності суб’єктів природних монополій та суб’єктів господарювання, що діють на суміжних ринках, не застосовується до діяльності таких суб’єктів у сферах, що не належать до природних монополій та суміжних ринків, визначених цим Законом.</w:t>
            </w:r>
          </w:p>
        </w:tc>
        <w:tc>
          <w:tcPr>
            <w:tcW w:w="3543" w:type="dxa"/>
          </w:tcPr>
          <w:p w14:paraId="6D516BA3" w14:textId="77777777" w:rsidR="008C29FB" w:rsidRPr="00F120B7" w:rsidRDefault="008C29FB" w:rsidP="006B1F70">
            <w:pPr>
              <w:spacing w:after="0" w:line="240" w:lineRule="auto"/>
              <w:jc w:val="both"/>
              <w:rPr>
                <w:rFonts w:ascii="Times New Roman" w:hAnsi="Times New Roman" w:cs="Times New Roman"/>
                <w:bCs/>
                <w:sz w:val="24"/>
                <w:szCs w:val="24"/>
                <w:lang w:val="uk-UA"/>
              </w:rPr>
            </w:pPr>
          </w:p>
          <w:p w14:paraId="679B4BBE" w14:textId="77777777" w:rsidR="008C29FB" w:rsidRPr="006B1F70" w:rsidRDefault="008C29FB" w:rsidP="006B1F70">
            <w:pPr>
              <w:spacing w:after="0" w:line="240" w:lineRule="auto"/>
              <w:jc w:val="both"/>
              <w:rPr>
                <w:rFonts w:ascii="Times New Roman" w:hAnsi="Times New Roman" w:cs="Times New Roman"/>
                <w:b/>
                <w:bCs/>
                <w:sz w:val="24"/>
                <w:szCs w:val="24"/>
                <w:lang w:val="uk-UA"/>
              </w:rPr>
            </w:pPr>
            <w:r w:rsidRPr="006B1F70">
              <w:rPr>
                <w:rFonts w:ascii="Times New Roman" w:hAnsi="Times New Roman" w:cs="Times New Roman"/>
                <w:b/>
                <w:bCs/>
                <w:sz w:val="24"/>
                <w:szCs w:val="24"/>
                <w:lang w:val="uk-UA"/>
              </w:rPr>
              <w:t>Попередньо відхиляється:</w:t>
            </w:r>
          </w:p>
          <w:p w14:paraId="09371702" w14:textId="77777777" w:rsidR="00F120B7" w:rsidRPr="006A286E" w:rsidRDefault="00F120B7" w:rsidP="006B1F70">
            <w:pPr>
              <w:spacing w:after="0" w:line="240" w:lineRule="auto"/>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Проєктом постанови передбачаються зміни виключно щодо </w:t>
            </w:r>
            <w:r w:rsidRPr="006A286E">
              <w:rPr>
                <w:rFonts w:ascii="Times New Roman" w:hAnsi="Times New Roman" w:cs="Times New Roman"/>
                <w:bCs/>
                <w:sz w:val="24"/>
                <w:szCs w:val="24"/>
                <w:lang w:val="uk-UA"/>
              </w:rPr>
              <w:t xml:space="preserve">розширення переліку інформації, що подається оператором газосховищ, в частині продуктів </w:t>
            </w:r>
            <w:r w:rsidRPr="006A286E">
              <w:rPr>
                <w:rFonts w:ascii="Times New Roman" w:hAnsi="Times New Roman" w:cs="Times New Roman"/>
                <w:bCs/>
                <w:sz w:val="24"/>
                <w:szCs w:val="24"/>
                <w:lang w:val="uk-UA"/>
              </w:rPr>
              <w:lastRenderedPageBreak/>
              <w:t>зберігання (закачування, відбору) природного газу</w:t>
            </w:r>
            <w:r>
              <w:rPr>
                <w:rFonts w:ascii="Times New Roman" w:hAnsi="Times New Roman" w:cs="Times New Roman"/>
                <w:bCs/>
                <w:sz w:val="24"/>
                <w:szCs w:val="24"/>
                <w:lang w:val="uk-UA"/>
              </w:rPr>
              <w:t xml:space="preserve">, шляхом </w:t>
            </w:r>
            <w:r w:rsidRPr="006A286E">
              <w:rPr>
                <w:rFonts w:ascii="Times New Roman" w:hAnsi="Times New Roman" w:cs="Times New Roman"/>
                <w:bCs/>
                <w:sz w:val="24"/>
                <w:szCs w:val="24"/>
                <w:lang w:val="uk-UA"/>
              </w:rPr>
              <w:t>удосконалення додатків до форми звітності</w:t>
            </w:r>
            <w:r>
              <w:rPr>
                <w:rFonts w:ascii="Times New Roman" w:hAnsi="Times New Roman" w:cs="Times New Roman"/>
                <w:bCs/>
                <w:sz w:val="24"/>
                <w:szCs w:val="24"/>
                <w:lang w:val="uk-UA"/>
              </w:rPr>
              <w:t>.</w:t>
            </w:r>
          </w:p>
          <w:p w14:paraId="67120AC3" w14:textId="4F60B0F0" w:rsidR="00A177EA" w:rsidRPr="00A177EA" w:rsidRDefault="00F120B7" w:rsidP="00A177EA">
            <w:pPr>
              <w:spacing w:after="0" w:line="240" w:lineRule="auto"/>
              <w:jc w:val="both"/>
              <w:rPr>
                <w:rFonts w:ascii="Times New Roman" w:hAnsi="Times New Roman" w:cs="Times New Roman"/>
                <w:bCs/>
                <w:sz w:val="24"/>
                <w:szCs w:val="24"/>
                <w:lang w:val="uk-UA"/>
              </w:rPr>
            </w:pPr>
            <w:r w:rsidRPr="00F120B7">
              <w:rPr>
                <w:rFonts w:ascii="Times New Roman" w:hAnsi="Times New Roman" w:cs="Times New Roman"/>
                <w:bCs/>
                <w:sz w:val="24"/>
                <w:szCs w:val="24"/>
                <w:lang w:val="uk-UA"/>
              </w:rPr>
              <w:t xml:space="preserve">Враховуючи, що проєкт Постанови не передбачає внесення змін до </w:t>
            </w:r>
            <w:r w:rsidR="00A177EA" w:rsidRPr="00A177EA">
              <w:rPr>
                <w:rFonts w:ascii="Times New Roman" w:hAnsi="Times New Roman" w:cs="Times New Roman"/>
                <w:bCs/>
                <w:sz w:val="24"/>
                <w:szCs w:val="24"/>
                <w:lang w:val="uk-UA"/>
              </w:rPr>
              <w:t>Інструкці</w:t>
            </w:r>
            <w:r w:rsidR="00861D44">
              <w:rPr>
                <w:rFonts w:ascii="Times New Roman" w:hAnsi="Times New Roman" w:cs="Times New Roman"/>
                <w:bCs/>
                <w:sz w:val="24"/>
                <w:szCs w:val="24"/>
                <w:lang w:val="uk-UA"/>
              </w:rPr>
              <w:t>ї</w:t>
            </w:r>
            <w:r w:rsidR="00A177EA" w:rsidRPr="00A177EA">
              <w:rPr>
                <w:rFonts w:ascii="Times New Roman" w:hAnsi="Times New Roman" w:cs="Times New Roman"/>
                <w:bCs/>
                <w:sz w:val="24"/>
                <w:szCs w:val="24"/>
                <w:lang w:val="uk-UA"/>
              </w:rPr>
              <w:t xml:space="preserve"> щодо заповнення форми звітності № 7б-НКРЕКП-газ-</w:t>
            </w:r>
          </w:p>
          <w:p w14:paraId="3A33C3E4" w14:textId="77777777" w:rsidR="00A177EA" w:rsidRPr="00A177EA" w:rsidRDefault="00A177EA" w:rsidP="00A177EA">
            <w:pPr>
              <w:spacing w:after="0" w:line="240" w:lineRule="auto"/>
              <w:jc w:val="both"/>
              <w:rPr>
                <w:rFonts w:ascii="Times New Roman" w:hAnsi="Times New Roman" w:cs="Times New Roman"/>
                <w:bCs/>
                <w:sz w:val="24"/>
                <w:szCs w:val="24"/>
                <w:lang w:val="uk-UA"/>
              </w:rPr>
            </w:pPr>
            <w:r w:rsidRPr="00A177EA">
              <w:rPr>
                <w:rFonts w:ascii="Times New Roman" w:hAnsi="Times New Roman" w:cs="Times New Roman"/>
                <w:bCs/>
                <w:sz w:val="24"/>
                <w:szCs w:val="24"/>
                <w:lang w:val="uk-UA"/>
              </w:rPr>
              <w:t>моніторинг (квартальна) «Звіт про застосування тарифів на послуги зберігання</w:t>
            </w:r>
          </w:p>
          <w:p w14:paraId="2D79D8DD" w14:textId="65996FBC" w:rsidR="00F120B7" w:rsidRPr="007C2FC3" w:rsidRDefault="00A177EA" w:rsidP="00A177EA">
            <w:pPr>
              <w:spacing w:after="0" w:line="240" w:lineRule="auto"/>
              <w:jc w:val="both"/>
              <w:rPr>
                <w:rFonts w:ascii="Times New Roman" w:hAnsi="Times New Roman" w:cs="Times New Roman"/>
                <w:bCs/>
                <w:sz w:val="24"/>
                <w:szCs w:val="24"/>
                <w:lang w:val="uk-UA"/>
              </w:rPr>
            </w:pPr>
            <w:r w:rsidRPr="00A177EA">
              <w:rPr>
                <w:rFonts w:ascii="Times New Roman" w:hAnsi="Times New Roman" w:cs="Times New Roman"/>
                <w:bCs/>
                <w:sz w:val="24"/>
                <w:szCs w:val="24"/>
                <w:lang w:val="uk-UA"/>
              </w:rPr>
              <w:t>(закачування, відбір) природного газу»</w:t>
            </w:r>
            <w:r w:rsidR="00F120B7" w:rsidRPr="00F120B7">
              <w:rPr>
                <w:rFonts w:ascii="Times New Roman" w:hAnsi="Times New Roman" w:cs="Times New Roman"/>
                <w:bCs/>
                <w:sz w:val="24"/>
                <w:szCs w:val="24"/>
                <w:lang w:val="uk-UA"/>
              </w:rPr>
              <w:t>, запропоновані зміни пропонується розглянути в рамках окремого проєкту</w:t>
            </w:r>
            <w:r w:rsidR="00E56BB3">
              <w:rPr>
                <w:rFonts w:ascii="Times New Roman" w:hAnsi="Times New Roman" w:cs="Times New Roman"/>
                <w:bCs/>
                <w:sz w:val="24"/>
                <w:szCs w:val="24"/>
                <w:lang w:val="uk-UA"/>
              </w:rPr>
              <w:t>.</w:t>
            </w:r>
          </w:p>
          <w:p w14:paraId="4BB597DB" w14:textId="5A8C5221" w:rsidR="008C29FB" w:rsidRPr="00F120B7" w:rsidRDefault="008C29FB" w:rsidP="006B1F70">
            <w:pPr>
              <w:spacing w:after="0" w:line="240" w:lineRule="auto"/>
              <w:jc w:val="both"/>
              <w:rPr>
                <w:rFonts w:ascii="Times New Roman" w:hAnsi="Times New Roman" w:cs="Times New Roman"/>
                <w:bCs/>
                <w:sz w:val="24"/>
                <w:szCs w:val="24"/>
                <w:lang w:val="uk-UA"/>
              </w:rPr>
            </w:pPr>
          </w:p>
        </w:tc>
      </w:tr>
      <w:tr w:rsidR="007A5B59" w:rsidRPr="000B2924" w14:paraId="47ADCD23" w14:textId="77777777" w:rsidTr="007C3491">
        <w:tc>
          <w:tcPr>
            <w:tcW w:w="15304" w:type="dxa"/>
            <w:gridSpan w:val="3"/>
          </w:tcPr>
          <w:p w14:paraId="6EF853A5" w14:textId="77777777" w:rsidR="007A5B59" w:rsidRPr="001F0CB5" w:rsidRDefault="007A5B59" w:rsidP="007A5B59">
            <w:pPr>
              <w:spacing w:after="0" w:line="240" w:lineRule="auto"/>
              <w:rPr>
                <w:rFonts w:ascii="Times New Roman" w:hAnsi="Times New Roman" w:cs="Times New Roman"/>
                <w:b/>
                <w:sz w:val="24"/>
                <w:szCs w:val="24"/>
                <w:lang w:val="uk-UA"/>
              </w:rPr>
            </w:pPr>
            <w:r>
              <w:rPr>
                <w:rFonts w:ascii="Times New Roman" w:eastAsia="Times New Roman" w:hAnsi="Times New Roman" w:cs="Times New Roman"/>
                <w:b/>
                <w:bCs/>
                <w:spacing w:val="1"/>
                <w:sz w:val="27"/>
                <w:szCs w:val="27"/>
                <w:lang w:val="uk-UA"/>
              </w:rPr>
              <w:lastRenderedPageBreak/>
              <w:t xml:space="preserve">                                                                         </w:t>
            </w:r>
            <w:r w:rsidRPr="00F2604B">
              <w:rPr>
                <w:rFonts w:ascii="Times New Roman" w:eastAsia="Times New Roman" w:hAnsi="Times New Roman" w:cs="Times New Roman"/>
                <w:b/>
                <w:bCs/>
                <w:spacing w:val="1"/>
                <w:sz w:val="27"/>
                <w:szCs w:val="27"/>
              </w:rPr>
              <w:t>Форма № 7б-НКРЕКП-газ-моніторинг (</w:t>
            </w:r>
            <w:proofErr w:type="spellStart"/>
            <w:r w:rsidRPr="00F2604B">
              <w:rPr>
                <w:rFonts w:ascii="Times New Roman" w:eastAsia="Times New Roman" w:hAnsi="Times New Roman" w:cs="Times New Roman"/>
                <w:b/>
                <w:bCs/>
                <w:spacing w:val="1"/>
                <w:sz w:val="27"/>
                <w:szCs w:val="27"/>
              </w:rPr>
              <w:t>квартальна</w:t>
            </w:r>
            <w:proofErr w:type="spellEnd"/>
            <w:r w:rsidRPr="00F2604B">
              <w:rPr>
                <w:rFonts w:ascii="Times New Roman" w:eastAsia="Times New Roman" w:hAnsi="Times New Roman" w:cs="Times New Roman"/>
                <w:b/>
                <w:bCs/>
                <w:spacing w:val="1"/>
                <w:sz w:val="27"/>
                <w:szCs w:val="27"/>
              </w:rPr>
              <w:t>)</w:t>
            </w:r>
          </w:p>
        </w:tc>
      </w:tr>
      <w:tr w:rsidR="004D0574" w:rsidRPr="0076154D" w14:paraId="0F7D38DA" w14:textId="77777777" w:rsidTr="007C3491">
        <w:trPr>
          <w:trHeight w:val="1464"/>
        </w:trPr>
        <w:tc>
          <w:tcPr>
            <w:tcW w:w="6516" w:type="dxa"/>
          </w:tcPr>
          <w:p w14:paraId="288A608F" w14:textId="429A26C3" w:rsidR="006B1F70" w:rsidRPr="007C3491" w:rsidRDefault="006B1F70" w:rsidP="006B1F70">
            <w:pPr>
              <w:spacing w:after="0" w:line="240" w:lineRule="auto"/>
              <w:ind w:firstLine="242"/>
              <w:jc w:val="both"/>
              <w:rPr>
                <w:rFonts w:ascii="Times New Roman" w:hAnsi="Times New Roman" w:cs="Times New Roman"/>
                <w:b/>
                <w:i/>
                <w:noProof/>
                <w:shd w:val="clear" w:color="auto" w:fill="FFFFFF"/>
                <w:lang w:val="uk-UA"/>
              </w:rPr>
            </w:pPr>
            <w:r>
              <w:rPr>
                <w:rFonts w:ascii="Times New Roman" w:hAnsi="Times New Roman" w:cs="Times New Roman"/>
                <w:b/>
                <w:i/>
                <w:noProof/>
                <w:shd w:val="clear" w:color="auto" w:fill="FFFFFF"/>
                <w:lang w:val="uk-UA"/>
              </w:rPr>
              <w:t xml:space="preserve">Редакція положень діючого нормативно-правового акту. </w:t>
            </w:r>
            <w:r w:rsidRPr="007C3491">
              <w:rPr>
                <w:rFonts w:ascii="Times New Roman" w:hAnsi="Times New Roman" w:cs="Times New Roman"/>
                <w:b/>
                <w:i/>
                <w:noProof/>
                <w:shd w:val="clear" w:color="auto" w:fill="FFFFFF"/>
                <w:lang w:val="uk-UA"/>
              </w:rPr>
              <w:t xml:space="preserve">Проєктом </w:t>
            </w:r>
            <w:r w:rsidR="00486671">
              <w:rPr>
                <w:rFonts w:ascii="Times New Roman" w:hAnsi="Times New Roman" w:cs="Times New Roman"/>
                <w:b/>
                <w:i/>
                <w:noProof/>
                <w:shd w:val="clear" w:color="auto" w:fill="FFFFFF"/>
                <w:lang w:val="uk-UA"/>
              </w:rPr>
              <w:t>рішення</w:t>
            </w:r>
            <w:r w:rsidRPr="007C3491">
              <w:rPr>
                <w:rFonts w:ascii="Times New Roman" w:hAnsi="Times New Roman" w:cs="Times New Roman"/>
                <w:b/>
                <w:i/>
                <w:noProof/>
                <w:shd w:val="clear" w:color="auto" w:fill="FFFFFF"/>
                <w:lang w:val="uk-UA"/>
              </w:rPr>
              <w:t xml:space="preserve"> зміни </w:t>
            </w:r>
            <w:r>
              <w:rPr>
                <w:rFonts w:ascii="Times New Roman" w:hAnsi="Times New Roman" w:cs="Times New Roman"/>
                <w:b/>
                <w:i/>
                <w:noProof/>
                <w:shd w:val="clear" w:color="auto" w:fill="FFFFFF"/>
                <w:lang w:val="uk-UA"/>
              </w:rPr>
              <w:t xml:space="preserve">в зазначеній частині </w:t>
            </w:r>
            <w:r w:rsidRPr="007C3491">
              <w:rPr>
                <w:rFonts w:ascii="Times New Roman" w:hAnsi="Times New Roman" w:cs="Times New Roman"/>
                <w:b/>
                <w:i/>
                <w:noProof/>
                <w:shd w:val="clear" w:color="auto" w:fill="FFFFFF"/>
                <w:lang w:val="uk-UA"/>
              </w:rPr>
              <w:t>не передбачені</w:t>
            </w:r>
          </w:p>
          <w:p w14:paraId="71A39CA4" w14:textId="273FA2A1" w:rsidR="007A5B59" w:rsidRPr="007A5B59" w:rsidRDefault="006B1F70" w:rsidP="007A5B59">
            <w:pPr>
              <w:spacing w:after="0" w:line="240" w:lineRule="auto"/>
              <w:ind w:firstLine="27"/>
              <w:jc w:val="both"/>
              <w:rPr>
                <w:rFonts w:ascii="Times New Roman" w:hAnsi="Times New Roman" w:cs="Times New Roman"/>
                <w:b/>
                <w:noProof/>
                <w:shd w:val="clear" w:color="auto" w:fill="FFFFFF"/>
                <w:lang w:val="uk-UA"/>
              </w:rPr>
            </w:pPr>
            <w:r>
              <w:rPr>
                <w:rFonts w:ascii="Times New Roman" w:hAnsi="Times New Roman" w:cs="Times New Roman"/>
                <w:b/>
                <w:noProof/>
                <w:shd w:val="clear" w:color="auto" w:fill="FFFFFF"/>
                <w:lang w:val="uk-UA"/>
              </w:rPr>
              <w:lastRenderedPageBreak/>
              <w:drawing>
                <wp:inline distT="0" distB="0" distL="0" distR="0" wp14:anchorId="4054DBFA" wp14:editId="0C81B8B7">
                  <wp:extent cx="3960111" cy="3814675"/>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3410" cy="3827485"/>
                          </a:xfrm>
                          <a:prstGeom prst="rect">
                            <a:avLst/>
                          </a:prstGeom>
                          <a:noFill/>
                        </pic:spPr>
                      </pic:pic>
                    </a:graphicData>
                  </a:graphic>
                </wp:inline>
              </w:drawing>
            </w:r>
          </w:p>
        </w:tc>
        <w:tc>
          <w:tcPr>
            <w:tcW w:w="5245" w:type="dxa"/>
          </w:tcPr>
          <w:p w14:paraId="2CBD331E" w14:textId="77777777" w:rsidR="00E83EE5" w:rsidRPr="00E83EE5" w:rsidRDefault="00E83EE5" w:rsidP="00E83EE5">
            <w:pPr>
              <w:spacing w:after="0"/>
              <w:jc w:val="both"/>
              <w:rPr>
                <w:rFonts w:ascii="Times New Roman" w:hAnsi="Times New Roman"/>
                <w:b/>
                <w:bCs/>
                <w:sz w:val="27"/>
                <w:szCs w:val="27"/>
                <w:lang w:val="uk-UA"/>
              </w:rPr>
            </w:pPr>
            <w:r w:rsidRPr="00E83EE5">
              <w:rPr>
                <w:rFonts w:ascii="Times New Roman" w:hAnsi="Times New Roman"/>
                <w:b/>
                <w:bCs/>
                <w:sz w:val="27"/>
                <w:szCs w:val="27"/>
                <w:lang w:val="uk-UA"/>
              </w:rPr>
              <w:lastRenderedPageBreak/>
              <w:t>АТ «УКРТРАНСГАЗ»</w:t>
            </w:r>
          </w:p>
          <w:p w14:paraId="715EE355" w14:textId="77777777" w:rsidR="007A5B59" w:rsidRDefault="00E83EE5" w:rsidP="00E83EE5">
            <w:pPr>
              <w:spacing w:after="0"/>
              <w:jc w:val="both"/>
              <w:rPr>
                <w:rFonts w:ascii="Times New Roman" w:hAnsi="Times New Roman"/>
                <w:b/>
                <w:bCs/>
                <w:sz w:val="27"/>
                <w:szCs w:val="27"/>
                <w:lang w:val="uk-UA"/>
              </w:rPr>
            </w:pPr>
            <w:r w:rsidRPr="00E83EE5">
              <w:rPr>
                <w:rFonts w:ascii="Times New Roman" w:hAnsi="Times New Roman"/>
                <w:b/>
                <w:bCs/>
                <w:sz w:val="27"/>
                <w:szCs w:val="27"/>
                <w:lang w:val="uk-UA"/>
              </w:rPr>
              <w:t>Пропозиція:</w:t>
            </w:r>
          </w:p>
          <w:p w14:paraId="6044211F" w14:textId="77777777" w:rsidR="00E83EE5" w:rsidRDefault="00E83EE5" w:rsidP="00E83EE5">
            <w:pPr>
              <w:spacing w:after="0"/>
              <w:jc w:val="both"/>
              <w:rPr>
                <w:rFonts w:ascii="Times New Roman" w:hAnsi="Times New Roman"/>
                <w:b/>
                <w:bCs/>
                <w:sz w:val="27"/>
                <w:szCs w:val="27"/>
                <w:lang w:val="uk-UA"/>
              </w:rPr>
            </w:pPr>
            <w:r>
              <w:rPr>
                <w:rFonts w:ascii="Times New Roman" w:hAnsi="Times New Roman"/>
                <w:b/>
                <w:bCs/>
                <w:noProof/>
                <w:sz w:val="27"/>
                <w:szCs w:val="27"/>
                <w:lang w:val="uk-UA"/>
              </w:rPr>
              <w:lastRenderedPageBreak/>
              <w:drawing>
                <wp:inline distT="0" distB="0" distL="0" distR="0" wp14:anchorId="552BA62C" wp14:editId="0B5D3E3D">
                  <wp:extent cx="3216155" cy="3175156"/>
                  <wp:effectExtent l="0" t="0" r="3810" b="63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47897" cy="3206493"/>
                          </a:xfrm>
                          <a:prstGeom prst="rect">
                            <a:avLst/>
                          </a:prstGeom>
                          <a:noFill/>
                        </pic:spPr>
                      </pic:pic>
                    </a:graphicData>
                  </a:graphic>
                </wp:inline>
              </w:drawing>
            </w:r>
          </w:p>
          <w:p w14:paraId="30B79C2C" w14:textId="4F5DD4A4" w:rsidR="00E83EE5" w:rsidRDefault="00542872" w:rsidP="00E83EE5">
            <w:pPr>
              <w:spacing w:after="0"/>
              <w:jc w:val="both"/>
              <w:rPr>
                <w:rFonts w:ascii="Times New Roman" w:hAnsi="Times New Roman"/>
                <w:b/>
                <w:bCs/>
                <w:sz w:val="27"/>
                <w:szCs w:val="27"/>
                <w:lang w:val="uk-UA"/>
              </w:rPr>
            </w:pPr>
            <w:r>
              <w:rPr>
                <w:rFonts w:ascii="Times New Roman" w:hAnsi="Times New Roman"/>
                <w:b/>
                <w:bCs/>
                <w:sz w:val="27"/>
                <w:szCs w:val="27"/>
                <w:lang w:val="uk-UA"/>
              </w:rPr>
              <w:t>Обґрунтування</w:t>
            </w:r>
            <w:r w:rsidR="00E83EE5">
              <w:rPr>
                <w:rFonts w:ascii="Times New Roman" w:hAnsi="Times New Roman"/>
                <w:b/>
                <w:bCs/>
                <w:sz w:val="27"/>
                <w:szCs w:val="27"/>
                <w:lang w:val="uk-UA"/>
              </w:rPr>
              <w:t>:</w:t>
            </w:r>
          </w:p>
          <w:p w14:paraId="0EEF0BC5" w14:textId="77777777" w:rsidR="00DE35F0" w:rsidRPr="000632E0" w:rsidRDefault="00D86EF7" w:rsidP="000632E0">
            <w:pPr>
              <w:spacing w:after="0" w:line="240" w:lineRule="auto"/>
              <w:jc w:val="both"/>
              <w:rPr>
                <w:rFonts w:ascii="Times New Roman" w:hAnsi="Times New Roman" w:cs="Times New Roman"/>
                <w:bCs/>
                <w:sz w:val="24"/>
                <w:szCs w:val="24"/>
                <w:lang w:val="uk-UA"/>
              </w:rPr>
            </w:pPr>
            <w:r w:rsidRPr="000632E0">
              <w:rPr>
                <w:rFonts w:ascii="Times New Roman" w:hAnsi="Times New Roman" w:cs="Times New Roman"/>
                <w:bCs/>
                <w:sz w:val="24"/>
                <w:szCs w:val="24"/>
                <w:lang w:val="uk-UA"/>
              </w:rPr>
              <w:t>   </w:t>
            </w:r>
            <w:r w:rsidR="00DE35F0" w:rsidRPr="000632E0">
              <w:rPr>
                <w:rFonts w:ascii="Times New Roman" w:hAnsi="Times New Roman" w:cs="Times New Roman"/>
                <w:bCs/>
                <w:sz w:val="24"/>
                <w:szCs w:val="24"/>
                <w:lang w:val="uk-UA"/>
              </w:rPr>
              <w:t>Відповідно до виконання пункту 1 Розділу ІІІ вимог ІНСТРУКЦІЇ щодо формування додатку 7б-НКРЕКП проводиться на підставі даних бухгалтерського обліку але «Прибуток (збиток)» (рядок 8.1 форми) згідно алгоритму розрахунку дорівнює «Дохід (виручка) від реалізації продукції (товарів, робіт, послуг), усього» (рядок 7.3) за мінусом «Витрати операційної діяльності, усього» (рядок 4) і не включає в розрахунок фінансового результату фінансові витрати, інші витрати, а також інші операційні доходи та інші доходи.</w:t>
            </w:r>
          </w:p>
          <w:p w14:paraId="03A3387F" w14:textId="77777777" w:rsidR="00DE35F0" w:rsidRPr="000632E0" w:rsidRDefault="00D86EF7" w:rsidP="000632E0">
            <w:pPr>
              <w:spacing w:after="0" w:line="240" w:lineRule="auto"/>
              <w:jc w:val="both"/>
              <w:rPr>
                <w:rFonts w:ascii="Times New Roman" w:hAnsi="Times New Roman" w:cs="Times New Roman"/>
                <w:bCs/>
                <w:sz w:val="24"/>
                <w:szCs w:val="24"/>
                <w:lang w:val="uk-UA"/>
              </w:rPr>
            </w:pPr>
            <w:r w:rsidRPr="000632E0">
              <w:rPr>
                <w:rFonts w:ascii="Times New Roman" w:hAnsi="Times New Roman" w:cs="Times New Roman"/>
                <w:bCs/>
                <w:sz w:val="24"/>
                <w:szCs w:val="24"/>
                <w:lang w:val="uk-UA"/>
              </w:rPr>
              <w:t>    </w:t>
            </w:r>
            <w:r w:rsidR="00DE35F0" w:rsidRPr="000632E0">
              <w:rPr>
                <w:rFonts w:ascii="Times New Roman" w:hAnsi="Times New Roman" w:cs="Times New Roman"/>
                <w:bCs/>
                <w:sz w:val="24"/>
                <w:szCs w:val="24"/>
                <w:lang w:val="uk-UA"/>
              </w:rPr>
              <w:t xml:space="preserve">У зв’язку з цим виникає розбіжність у формуванні показників фінансового результату між Додатком 7б-НКРЕКП та Форми 2 «Звіт про фінансові результати (Звіт про сукупний дохід)», що також подається в НКРЕКП у відповідності до постанови НКРЕКП «Про подання фінансової </w:t>
            </w:r>
            <w:r w:rsidR="00DE35F0" w:rsidRPr="000632E0">
              <w:rPr>
                <w:rFonts w:ascii="Times New Roman" w:hAnsi="Times New Roman" w:cs="Times New Roman"/>
                <w:bCs/>
                <w:sz w:val="24"/>
                <w:szCs w:val="24"/>
                <w:lang w:val="uk-UA"/>
              </w:rPr>
              <w:lastRenderedPageBreak/>
              <w:t xml:space="preserve">звітності суб’єктами господарювання у сферах енергетики та комунальних послуг до Національної комісії, що здійснює державне регулювання у сферах енергетики та комунальних послуг» від 17.02.2021 №254. </w:t>
            </w:r>
          </w:p>
          <w:p w14:paraId="27BB0EE5" w14:textId="77777777" w:rsidR="00DE35F0" w:rsidRPr="000632E0" w:rsidRDefault="00D86EF7" w:rsidP="000632E0">
            <w:pPr>
              <w:spacing w:after="0" w:line="240" w:lineRule="auto"/>
              <w:jc w:val="both"/>
              <w:rPr>
                <w:rFonts w:ascii="Times New Roman" w:hAnsi="Times New Roman" w:cs="Times New Roman"/>
                <w:bCs/>
                <w:sz w:val="24"/>
                <w:szCs w:val="24"/>
                <w:lang w:val="uk-UA"/>
              </w:rPr>
            </w:pPr>
            <w:r w:rsidRPr="000632E0">
              <w:rPr>
                <w:rFonts w:ascii="Times New Roman" w:hAnsi="Times New Roman" w:cs="Times New Roman"/>
                <w:bCs/>
                <w:sz w:val="24"/>
                <w:szCs w:val="24"/>
                <w:lang w:val="uk-UA"/>
              </w:rPr>
              <w:t>   </w:t>
            </w:r>
            <w:r w:rsidR="00DE35F0" w:rsidRPr="000632E0">
              <w:rPr>
                <w:rFonts w:ascii="Times New Roman" w:hAnsi="Times New Roman" w:cs="Times New Roman"/>
                <w:bCs/>
                <w:sz w:val="24"/>
                <w:szCs w:val="24"/>
                <w:lang w:val="uk-UA"/>
              </w:rPr>
              <w:t>Вважаємо за необхідне довідково доповнити додаток 7б-НКРЕКП показниками у відповідності до Форми 2 «Звіт про фінансові результати (Звіт про сукупний дохід)» наступними рядками:</w:t>
            </w:r>
          </w:p>
          <w:p w14:paraId="4E3727DB" w14:textId="77777777" w:rsidR="00DE35F0" w:rsidRPr="000632E0" w:rsidRDefault="00DE35F0" w:rsidP="000632E0">
            <w:pPr>
              <w:spacing w:after="0" w:line="240" w:lineRule="auto"/>
              <w:jc w:val="both"/>
              <w:rPr>
                <w:rFonts w:ascii="Times New Roman" w:hAnsi="Times New Roman" w:cs="Times New Roman"/>
                <w:bCs/>
                <w:sz w:val="24"/>
                <w:szCs w:val="24"/>
                <w:lang w:val="uk-UA"/>
              </w:rPr>
            </w:pPr>
            <w:r w:rsidRPr="000632E0">
              <w:rPr>
                <w:rFonts w:ascii="Times New Roman" w:hAnsi="Times New Roman" w:cs="Times New Roman"/>
                <w:bCs/>
                <w:sz w:val="24"/>
                <w:szCs w:val="24"/>
                <w:lang w:val="uk-UA"/>
              </w:rPr>
              <w:t>11. Чистий фінансовий результат (Форма 2):</w:t>
            </w:r>
          </w:p>
          <w:p w14:paraId="3500CD08" w14:textId="77777777" w:rsidR="00DE35F0" w:rsidRPr="000632E0" w:rsidRDefault="00DE35F0" w:rsidP="000632E0">
            <w:pPr>
              <w:spacing w:after="0" w:line="240" w:lineRule="auto"/>
              <w:jc w:val="both"/>
              <w:rPr>
                <w:rFonts w:ascii="Times New Roman" w:hAnsi="Times New Roman" w:cs="Times New Roman"/>
                <w:bCs/>
                <w:sz w:val="24"/>
                <w:szCs w:val="24"/>
                <w:lang w:val="uk-UA"/>
              </w:rPr>
            </w:pPr>
            <w:r w:rsidRPr="000632E0">
              <w:rPr>
                <w:rFonts w:ascii="Times New Roman" w:hAnsi="Times New Roman" w:cs="Times New Roman"/>
                <w:bCs/>
                <w:sz w:val="24"/>
                <w:szCs w:val="24"/>
                <w:lang w:val="uk-UA"/>
              </w:rPr>
              <w:t>прибуток</w:t>
            </w:r>
          </w:p>
          <w:p w14:paraId="7AC688E4" w14:textId="77777777" w:rsidR="00E83EE5" w:rsidRPr="00E86709" w:rsidRDefault="00DE35F0" w:rsidP="000632E0">
            <w:pPr>
              <w:spacing w:after="0" w:line="240" w:lineRule="auto"/>
              <w:jc w:val="both"/>
              <w:rPr>
                <w:rFonts w:ascii="Times New Roman" w:hAnsi="Times New Roman"/>
                <w:b/>
                <w:bCs/>
                <w:sz w:val="27"/>
                <w:szCs w:val="27"/>
                <w:lang w:val="uk-UA"/>
              </w:rPr>
            </w:pPr>
            <w:r w:rsidRPr="000632E0">
              <w:rPr>
                <w:rFonts w:ascii="Times New Roman" w:hAnsi="Times New Roman" w:cs="Times New Roman"/>
                <w:bCs/>
                <w:sz w:val="24"/>
                <w:szCs w:val="24"/>
                <w:lang w:val="uk-UA"/>
              </w:rPr>
              <w:t>збиток.</w:t>
            </w:r>
          </w:p>
        </w:tc>
        <w:tc>
          <w:tcPr>
            <w:tcW w:w="3543" w:type="dxa"/>
          </w:tcPr>
          <w:p w14:paraId="2D7E7CA1" w14:textId="77777777" w:rsidR="000F38E1" w:rsidRPr="000F38E1" w:rsidRDefault="000F38E1" w:rsidP="006B1F70">
            <w:pPr>
              <w:spacing w:after="0" w:line="240" w:lineRule="auto"/>
              <w:jc w:val="both"/>
              <w:rPr>
                <w:rFonts w:ascii="Times New Roman" w:hAnsi="Times New Roman" w:cs="Times New Roman"/>
                <w:b/>
                <w:sz w:val="24"/>
                <w:szCs w:val="24"/>
                <w:lang w:val="uk-UA"/>
              </w:rPr>
            </w:pPr>
            <w:r w:rsidRPr="000F38E1">
              <w:rPr>
                <w:rFonts w:ascii="Times New Roman" w:hAnsi="Times New Roman" w:cs="Times New Roman"/>
                <w:b/>
                <w:sz w:val="24"/>
                <w:szCs w:val="24"/>
                <w:lang w:val="uk-UA"/>
              </w:rPr>
              <w:lastRenderedPageBreak/>
              <w:t>Попередньо відхиляється:</w:t>
            </w:r>
          </w:p>
          <w:p w14:paraId="656F442D" w14:textId="77777777" w:rsidR="00F120B7" w:rsidRPr="006A286E" w:rsidRDefault="00F120B7" w:rsidP="006B1F70">
            <w:pPr>
              <w:spacing w:after="0" w:line="240" w:lineRule="auto"/>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Проєктом постанови передбачаються зміни виключно щодо </w:t>
            </w:r>
            <w:r w:rsidRPr="006A286E">
              <w:rPr>
                <w:rFonts w:ascii="Times New Roman" w:hAnsi="Times New Roman" w:cs="Times New Roman"/>
                <w:bCs/>
                <w:sz w:val="24"/>
                <w:szCs w:val="24"/>
                <w:lang w:val="uk-UA"/>
              </w:rPr>
              <w:t>розширення переліку інформації, що подається оператором газосховищ, в частині продуктів зберігання (закачування, відбору) природного газу</w:t>
            </w:r>
            <w:r>
              <w:rPr>
                <w:rFonts w:ascii="Times New Roman" w:hAnsi="Times New Roman" w:cs="Times New Roman"/>
                <w:bCs/>
                <w:sz w:val="24"/>
                <w:szCs w:val="24"/>
                <w:lang w:val="uk-UA"/>
              </w:rPr>
              <w:t xml:space="preserve">, шляхом </w:t>
            </w:r>
            <w:r w:rsidRPr="006A286E">
              <w:rPr>
                <w:rFonts w:ascii="Times New Roman" w:hAnsi="Times New Roman" w:cs="Times New Roman"/>
                <w:bCs/>
                <w:sz w:val="24"/>
                <w:szCs w:val="24"/>
                <w:lang w:val="uk-UA"/>
              </w:rPr>
              <w:t>удосконалення додатків до форми звітності</w:t>
            </w:r>
            <w:r>
              <w:rPr>
                <w:rFonts w:ascii="Times New Roman" w:hAnsi="Times New Roman" w:cs="Times New Roman"/>
                <w:bCs/>
                <w:sz w:val="24"/>
                <w:szCs w:val="24"/>
                <w:lang w:val="uk-UA"/>
              </w:rPr>
              <w:t>.</w:t>
            </w:r>
          </w:p>
          <w:p w14:paraId="78976E5A" w14:textId="6D88E77D" w:rsidR="00F120B7" w:rsidRPr="007C2FC3" w:rsidRDefault="00F120B7" w:rsidP="006B1F70">
            <w:pPr>
              <w:spacing w:after="0" w:line="240" w:lineRule="auto"/>
              <w:jc w:val="both"/>
              <w:rPr>
                <w:rFonts w:ascii="Times New Roman" w:hAnsi="Times New Roman" w:cs="Times New Roman"/>
                <w:bCs/>
                <w:sz w:val="24"/>
                <w:szCs w:val="24"/>
                <w:lang w:val="uk-UA"/>
              </w:rPr>
            </w:pPr>
            <w:r w:rsidRPr="00F120B7">
              <w:rPr>
                <w:rFonts w:ascii="Times New Roman" w:hAnsi="Times New Roman" w:cs="Times New Roman"/>
                <w:bCs/>
                <w:sz w:val="24"/>
                <w:szCs w:val="24"/>
                <w:lang w:val="uk-UA"/>
              </w:rPr>
              <w:t xml:space="preserve">Враховуючи, що </w:t>
            </w:r>
            <w:proofErr w:type="spellStart"/>
            <w:r w:rsidRPr="00F120B7">
              <w:rPr>
                <w:rFonts w:ascii="Times New Roman" w:hAnsi="Times New Roman" w:cs="Times New Roman"/>
                <w:bCs/>
                <w:sz w:val="24"/>
                <w:szCs w:val="24"/>
                <w:lang w:val="uk-UA"/>
              </w:rPr>
              <w:t>проєкт</w:t>
            </w:r>
            <w:proofErr w:type="spellEnd"/>
            <w:r w:rsidRPr="00F120B7">
              <w:rPr>
                <w:rFonts w:ascii="Times New Roman" w:hAnsi="Times New Roman" w:cs="Times New Roman"/>
                <w:bCs/>
                <w:sz w:val="24"/>
                <w:szCs w:val="24"/>
                <w:lang w:val="uk-UA"/>
              </w:rPr>
              <w:t xml:space="preserve"> Постанови передбачає </w:t>
            </w:r>
            <w:r w:rsidR="00486671" w:rsidRPr="00486671">
              <w:rPr>
                <w:rFonts w:ascii="Times New Roman" w:hAnsi="Times New Roman" w:cs="Times New Roman"/>
                <w:sz w:val="24"/>
                <w:szCs w:val="24"/>
                <w:lang w:val="uk-UA"/>
              </w:rPr>
              <w:t xml:space="preserve">внесення змін </w:t>
            </w:r>
            <w:r w:rsidR="00CE624B">
              <w:rPr>
                <w:rFonts w:ascii="Times New Roman" w:hAnsi="Times New Roman" w:cs="Times New Roman"/>
                <w:sz w:val="24"/>
                <w:szCs w:val="24"/>
                <w:lang w:val="uk-UA"/>
              </w:rPr>
              <w:t xml:space="preserve">виключно </w:t>
            </w:r>
            <w:bookmarkStart w:id="0" w:name="_GoBack"/>
            <w:bookmarkEnd w:id="0"/>
            <w:r w:rsidR="00486671" w:rsidRPr="00486671">
              <w:rPr>
                <w:rFonts w:ascii="Times New Roman" w:hAnsi="Times New Roman" w:cs="Times New Roman"/>
                <w:sz w:val="24"/>
                <w:szCs w:val="24"/>
                <w:lang w:val="uk-UA"/>
              </w:rPr>
              <w:t>до додатків</w:t>
            </w:r>
            <w:r w:rsidR="00486671">
              <w:rPr>
                <w:rFonts w:ascii="Times New Roman" w:hAnsi="Times New Roman" w:cs="Times New Roman"/>
                <w:sz w:val="24"/>
                <w:szCs w:val="24"/>
                <w:lang w:val="uk-UA"/>
              </w:rPr>
              <w:t xml:space="preserve"> 3 та 8</w:t>
            </w:r>
            <w:r w:rsidRPr="00F120B7">
              <w:rPr>
                <w:rFonts w:ascii="Times New Roman" w:hAnsi="Times New Roman" w:cs="Times New Roman"/>
                <w:bCs/>
                <w:sz w:val="24"/>
                <w:szCs w:val="24"/>
                <w:lang w:val="uk-UA"/>
              </w:rPr>
              <w:t xml:space="preserve"> </w:t>
            </w:r>
            <w:r w:rsidR="006971E1">
              <w:rPr>
                <w:rFonts w:ascii="Times New Roman" w:hAnsi="Times New Roman" w:cs="Times New Roman"/>
                <w:bCs/>
                <w:sz w:val="24"/>
                <w:szCs w:val="24"/>
                <w:lang w:val="uk-UA"/>
              </w:rPr>
              <w:t xml:space="preserve">до </w:t>
            </w:r>
            <w:r w:rsidR="00E56BB3" w:rsidRPr="00E56BB3">
              <w:rPr>
                <w:rFonts w:ascii="Times New Roman" w:hAnsi="Times New Roman" w:cs="Times New Roman"/>
                <w:bCs/>
                <w:sz w:val="24"/>
                <w:szCs w:val="24"/>
                <w:lang w:val="uk-UA"/>
              </w:rPr>
              <w:t>Форм</w:t>
            </w:r>
            <w:r w:rsidR="0064040A">
              <w:rPr>
                <w:rFonts w:ascii="Times New Roman" w:hAnsi="Times New Roman" w:cs="Times New Roman"/>
                <w:bCs/>
                <w:sz w:val="24"/>
                <w:szCs w:val="24"/>
                <w:lang w:val="uk-UA"/>
              </w:rPr>
              <w:t>и</w:t>
            </w:r>
            <w:r w:rsidR="00E56BB3" w:rsidRPr="00E56BB3">
              <w:rPr>
                <w:rFonts w:ascii="Times New Roman" w:hAnsi="Times New Roman" w:cs="Times New Roman"/>
                <w:bCs/>
                <w:sz w:val="24"/>
                <w:szCs w:val="24"/>
                <w:lang w:val="uk-UA"/>
              </w:rPr>
              <w:t xml:space="preserve"> № 7б-НКРЕКП-газ-моніторинг (квартальна)</w:t>
            </w:r>
            <w:r w:rsidR="00E56BB3" w:rsidRPr="00E56BB3">
              <w:rPr>
                <w:lang w:val="uk-UA"/>
              </w:rPr>
              <w:t xml:space="preserve"> </w:t>
            </w:r>
            <w:r w:rsidR="00E56BB3">
              <w:rPr>
                <w:lang w:val="uk-UA"/>
              </w:rPr>
              <w:t>«</w:t>
            </w:r>
            <w:r w:rsidR="00E56BB3" w:rsidRPr="00E56BB3">
              <w:rPr>
                <w:rFonts w:ascii="Times New Roman" w:hAnsi="Times New Roman" w:cs="Times New Roman"/>
                <w:bCs/>
                <w:sz w:val="24"/>
                <w:szCs w:val="24"/>
                <w:lang w:val="uk-UA"/>
              </w:rPr>
              <w:t xml:space="preserve">Звіт про застосування тарифів на послуги зберігання </w:t>
            </w:r>
            <w:r w:rsidR="00E56BB3" w:rsidRPr="00E56BB3">
              <w:rPr>
                <w:rFonts w:ascii="Times New Roman" w:hAnsi="Times New Roman" w:cs="Times New Roman"/>
                <w:bCs/>
                <w:sz w:val="24"/>
                <w:szCs w:val="24"/>
                <w:lang w:val="uk-UA"/>
              </w:rPr>
              <w:lastRenderedPageBreak/>
              <w:t>(закачування, відбір) природного газу</w:t>
            </w:r>
            <w:r w:rsidR="00E56BB3">
              <w:rPr>
                <w:rFonts w:ascii="Times New Roman" w:hAnsi="Times New Roman" w:cs="Times New Roman"/>
                <w:bCs/>
                <w:sz w:val="24"/>
                <w:szCs w:val="24"/>
                <w:lang w:val="uk-UA"/>
              </w:rPr>
              <w:t>»</w:t>
            </w:r>
            <w:r w:rsidRPr="00F120B7">
              <w:rPr>
                <w:rFonts w:ascii="Times New Roman" w:hAnsi="Times New Roman" w:cs="Times New Roman"/>
                <w:bCs/>
                <w:sz w:val="24"/>
                <w:szCs w:val="24"/>
                <w:lang w:val="uk-UA"/>
              </w:rPr>
              <w:t>, запропоновані зміни пропонується розглянути в рамках окремого проєкту</w:t>
            </w:r>
            <w:r w:rsidR="006971E1">
              <w:rPr>
                <w:rFonts w:ascii="Times New Roman" w:hAnsi="Times New Roman" w:cs="Times New Roman"/>
                <w:bCs/>
                <w:sz w:val="24"/>
                <w:szCs w:val="24"/>
                <w:lang w:val="uk-UA"/>
              </w:rPr>
              <w:t>.</w:t>
            </w:r>
          </w:p>
          <w:p w14:paraId="687FF23F" w14:textId="56815189" w:rsidR="00B31FAC" w:rsidRPr="001F0CB5" w:rsidRDefault="00B31FAC" w:rsidP="006B1F70">
            <w:pPr>
              <w:spacing w:after="0" w:line="240" w:lineRule="auto"/>
              <w:jc w:val="both"/>
              <w:rPr>
                <w:rFonts w:ascii="Times New Roman" w:hAnsi="Times New Roman" w:cs="Times New Roman"/>
                <w:b/>
                <w:sz w:val="24"/>
                <w:szCs w:val="24"/>
                <w:lang w:val="uk-UA"/>
              </w:rPr>
            </w:pPr>
          </w:p>
        </w:tc>
      </w:tr>
    </w:tbl>
    <w:p w14:paraId="51FAAE21" w14:textId="77777777" w:rsidR="007E47BB" w:rsidRPr="00C646A2" w:rsidRDefault="007E47BB" w:rsidP="00E0006B">
      <w:pPr>
        <w:pStyle w:val="a4"/>
        <w:spacing w:before="0" w:beforeAutospacing="0" w:after="0" w:afterAutospacing="0"/>
        <w:ind w:firstLine="709"/>
        <w:jc w:val="center"/>
        <w:rPr>
          <w:b/>
        </w:rPr>
      </w:pPr>
    </w:p>
    <w:sectPr w:rsidR="007E47BB" w:rsidRPr="00C646A2" w:rsidSect="005E73E8">
      <w:pgSz w:w="16838" w:h="11906" w:orient="landscape"/>
      <w:pgMar w:top="568" w:right="1103"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B0269"/>
    <w:multiLevelType w:val="hybridMultilevel"/>
    <w:tmpl w:val="E9A2A7C2"/>
    <w:lvl w:ilvl="0" w:tplc="D8EA2886">
      <w:start w:val="1"/>
      <w:numFmt w:val="decimal"/>
      <w:lvlText w:val="10.%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3DF22F0A"/>
    <w:multiLevelType w:val="hybridMultilevel"/>
    <w:tmpl w:val="990CD2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99A"/>
    <w:rsid w:val="000246DE"/>
    <w:rsid w:val="00031DA3"/>
    <w:rsid w:val="00040197"/>
    <w:rsid w:val="00046CF5"/>
    <w:rsid w:val="000478C0"/>
    <w:rsid w:val="000632E0"/>
    <w:rsid w:val="000655D7"/>
    <w:rsid w:val="0007080E"/>
    <w:rsid w:val="00072BBB"/>
    <w:rsid w:val="00080C55"/>
    <w:rsid w:val="000B2924"/>
    <w:rsid w:val="000C43F0"/>
    <w:rsid w:val="000E2D6E"/>
    <w:rsid w:val="000F0622"/>
    <w:rsid w:val="000F38E1"/>
    <w:rsid w:val="000F5C8B"/>
    <w:rsid w:val="001029DC"/>
    <w:rsid w:val="0011669A"/>
    <w:rsid w:val="00117684"/>
    <w:rsid w:val="00121CB5"/>
    <w:rsid w:val="00127918"/>
    <w:rsid w:val="00130C3F"/>
    <w:rsid w:val="00136CC1"/>
    <w:rsid w:val="0014406E"/>
    <w:rsid w:val="00144CDF"/>
    <w:rsid w:val="00152EF0"/>
    <w:rsid w:val="001562B4"/>
    <w:rsid w:val="001849BB"/>
    <w:rsid w:val="00185DB0"/>
    <w:rsid w:val="00191886"/>
    <w:rsid w:val="001963F1"/>
    <w:rsid w:val="00196671"/>
    <w:rsid w:val="001B4EB7"/>
    <w:rsid w:val="001D413E"/>
    <w:rsid w:val="001D71AF"/>
    <w:rsid w:val="001D7431"/>
    <w:rsid w:val="001E2320"/>
    <w:rsid w:val="001E77F5"/>
    <w:rsid w:val="001E7ADC"/>
    <w:rsid w:val="001E7BDD"/>
    <w:rsid w:val="001F0CB5"/>
    <w:rsid w:val="00201D8E"/>
    <w:rsid w:val="00210792"/>
    <w:rsid w:val="0022549D"/>
    <w:rsid w:val="0025307A"/>
    <w:rsid w:val="002601DF"/>
    <w:rsid w:val="002634E4"/>
    <w:rsid w:val="002A5B78"/>
    <w:rsid w:val="002A614C"/>
    <w:rsid w:val="002B771E"/>
    <w:rsid w:val="002D3265"/>
    <w:rsid w:val="003176A7"/>
    <w:rsid w:val="00317B33"/>
    <w:rsid w:val="00323A59"/>
    <w:rsid w:val="003261DA"/>
    <w:rsid w:val="003409AF"/>
    <w:rsid w:val="00345F6F"/>
    <w:rsid w:val="00354664"/>
    <w:rsid w:val="00357BBA"/>
    <w:rsid w:val="00362659"/>
    <w:rsid w:val="003737EF"/>
    <w:rsid w:val="00375C7C"/>
    <w:rsid w:val="0038199A"/>
    <w:rsid w:val="003828E2"/>
    <w:rsid w:val="00382E44"/>
    <w:rsid w:val="00383545"/>
    <w:rsid w:val="00391189"/>
    <w:rsid w:val="003C2831"/>
    <w:rsid w:val="003F539C"/>
    <w:rsid w:val="004224A0"/>
    <w:rsid w:val="00422DD1"/>
    <w:rsid w:val="00423FA1"/>
    <w:rsid w:val="00427516"/>
    <w:rsid w:val="00450866"/>
    <w:rsid w:val="004622BD"/>
    <w:rsid w:val="00486671"/>
    <w:rsid w:val="004877B3"/>
    <w:rsid w:val="004A31E8"/>
    <w:rsid w:val="004B18EA"/>
    <w:rsid w:val="004B57E5"/>
    <w:rsid w:val="004C2300"/>
    <w:rsid w:val="004D0574"/>
    <w:rsid w:val="004E5950"/>
    <w:rsid w:val="004E7CFE"/>
    <w:rsid w:val="004F2D47"/>
    <w:rsid w:val="00510F09"/>
    <w:rsid w:val="00513E28"/>
    <w:rsid w:val="00531746"/>
    <w:rsid w:val="00542872"/>
    <w:rsid w:val="00543F6B"/>
    <w:rsid w:val="00554FE8"/>
    <w:rsid w:val="00562B6D"/>
    <w:rsid w:val="00575AD0"/>
    <w:rsid w:val="00592DCB"/>
    <w:rsid w:val="005A5715"/>
    <w:rsid w:val="005C18A6"/>
    <w:rsid w:val="005C3DE4"/>
    <w:rsid w:val="005C5DBF"/>
    <w:rsid w:val="005D3D26"/>
    <w:rsid w:val="005E1EBB"/>
    <w:rsid w:val="005E6DB9"/>
    <w:rsid w:val="005E73E8"/>
    <w:rsid w:val="005F4591"/>
    <w:rsid w:val="005F5810"/>
    <w:rsid w:val="006216A1"/>
    <w:rsid w:val="0064040A"/>
    <w:rsid w:val="0064268E"/>
    <w:rsid w:val="0065167F"/>
    <w:rsid w:val="006971E1"/>
    <w:rsid w:val="006A286E"/>
    <w:rsid w:val="006A2C35"/>
    <w:rsid w:val="006A7844"/>
    <w:rsid w:val="006B08FC"/>
    <w:rsid w:val="006B1F70"/>
    <w:rsid w:val="006C6165"/>
    <w:rsid w:val="006E0E77"/>
    <w:rsid w:val="006E333D"/>
    <w:rsid w:val="006E3F4E"/>
    <w:rsid w:val="0071330A"/>
    <w:rsid w:val="0073691C"/>
    <w:rsid w:val="00744F05"/>
    <w:rsid w:val="007560AD"/>
    <w:rsid w:val="0076154D"/>
    <w:rsid w:val="007621B2"/>
    <w:rsid w:val="0076285C"/>
    <w:rsid w:val="0076786A"/>
    <w:rsid w:val="007739DD"/>
    <w:rsid w:val="00776520"/>
    <w:rsid w:val="00780005"/>
    <w:rsid w:val="00782C0B"/>
    <w:rsid w:val="00791ECE"/>
    <w:rsid w:val="0079252C"/>
    <w:rsid w:val="00792983"/>
    <w:rsid w:val="00797D22"/>
    <w:rsid w:val="007A5B59"/>
    <w:rsid w:val="007C2FC3"/>
    <w:rsid w:val="007C3491"/>
    <w:rsid w:val="007D62E8"/>
    <w:rsid w:val="007E47BB"/>
    <w:rsid w:val="007F0BB3"/>
    <w:rsid w:val="007F42F5"/>
    <w:rsid w:val="00807023"/>
    <w:rsid w:val="00807083"/>
    <w:rsid w:val="0081563D"/>
    <w:rsid w:val="00820228"/>
    <w:rsid w:val="00820453"/>
    <w:rsid w:val="0083418F"/>
    <w:rsid w:val="00836B12"/>
    <w:rsid w:val="00861D44"/>
    <w:rsid w:val="008C29FB"/>
    <w:rsid w:val="008D554C"/>
    <w:rsid w:val="0091476E"/>
    <w:rsid w:val="00915A7B"/>
    <w:rsid w:val="0092458A"/>
    <w:rsid w:val="00925A62"/>
    <w:rsid w:val="009412D9"/>
    <w:rsid w:val="00962E2A"/>
    <w:rsid w:val="0096623F"/>
    <w:rsid w:val="00975B97"/>
    <w:rsid w:val="00984615"/>
    <w:rsid w:val="009A0D9F"/>
    <w:rsid w:val="009A561C"/>
    <w:rsid w:val="009A5C3F"/>
    <w:rsid w:val="009C29DA"/>
    <w:rsid w:val="009C702B"/>
    <w:rsid w:val="009D6469"/>
    <w:rsid w:val="009E26A0"/>
    <w:rsid w:val="00A0042E"/>
    <w:rsid w:val="00A020AD"/>
    <w:rsid w:val="00A07BE4"/>
    <w:rsid w:val="00A16AA2"/>
    <w:rsid w:val="00A177EA"/>
    <w:rsid w:val="00A40DD6"/>
    <w:rsid w:val="00A42899"/>
    <w:rsid w:val="00A50577"/>
    <w:rsid w:val="00A6422D"/>
    <w:rsid w:val="00A72908"/>
    <w:rsid w:val="00A77A7A"/>
    <w:rsid w:val="00A8682A"/>
    <w:rsid w:val="00AA31C1"/>
    <w:rsid w:val="00AA44FC"/>
    <w:rsid w:val="00AB4846"/>
    <w:rsid w:val="00AB64AB"/>
    <w:rsid w:val="00AE0DDD"/>
    <w:rsid w:val="00AE1225"/>
    <w:rsid w:val="00AE26F0"/>
    <w:rsid w:val="00AE32AC"/>
    <w:rsid w:val="00AF02ED"/>
    <w:rsid w:val="00B032EE"/>
    <w:rsid w:val="00B062A9"/>
    <w:rsid w:val="00B153F3"/>
    <w:rsid w:val="00B31FAC"/>
    <w:rsid w:val="00B32462"/>
    <w:rsid w:val="00B41C61"/>
    <w:rsid w:val="00B61757"/>
    <w:rsid w:val="00B701B3"/>
    <w:rsid w:val="00B82A37"/>
    <w:rsid w:val="00B8307F"/>
    <w:rsid w:val="00B9539B"/>
    <w:rsid w:val="00BA211F"/>
    <w:rsid w:val="00BA4B2A"/>
    <w:rsid w:val="00C03B53"/>
    <w:rsid w:val="00C044F2"/>
    <w:rsid w:val="00C04FDF"/>
    <w:rsid w:val="00C405F6"/>
    <w:rsid w:val="00C41EFE"/>
    <w:rsid w:val="00C5038B"/>
    <w:rsid w:val="00C52BFC"/>
    <w:rsid w:val="00C646A2"/>
    <w:rsid w:val="00C80C45"/>
    <w:rsid w:val="00C85762"/>
    <w:rsid w:val="00C924F2"/>
    <w:rsid w:val="00CB0EF9"/>
    <w:rsid w:val="00CC2461"/>
    <w:rsid w:val="00CE0D56"/>
    <w:rsid w:val="00CE4E75"/>
    <w:rsid w:val="00CE624B"/>
    <w:rsid w:val="00D10A79"/>
    <w:rsid w:val="00D13FAB"/>
    <w:rsid w:val="00D54D45"/>
    <w:rsid w:val="00D66017"/>
    <w:rsid w:val="00D66AA6"/>
    <w:rsid w:val="00D86EF7"/>
    <w:rsid w:val="00D96FE9"/>
    <w:rsid w:val="00DA2F24"/>
    <w:rsid w:val="00DB5C20"/>
    <w:rsid w:val="00DC4465"/>
    <w:rsid w:val="00DC7738"/>
    <w:rsid w:val="00DC7E59"/>
    <w:rsid w:val="00DD2A1A"/>
    <w:rsid w:val="00DE35F0"/>
    <w:rsid w:val="00DE7BA4"/>
    <w:rsid w:val="00DF6194"/>
    <w:rsid w:val="00E0006B"/>
    <w:rsid w:val="00E21438"/>
    <w:rsid w:val="00E2192A"/>
    <w:rsid w:val="00E56BB3"/>
    <w:rsid w:val="00E83EE5"/>
    <w:rsid w:val="00E86709"/>
    <w:rsid w:val="00E87391"/>
    <w:rsid w:val="00E91CDF"/>
    <w:rsid w:val="00E97C9A"/>
    <w:rsid w:val="00EB679A"/>
    <w:rsid w:val="00EE5B18"/>
    <w:rsid w:val="00EF501F"/>
    <w:rsid w:val="00EF7C97"/>
    <w:rsid w:val="00F07759"/>
    <w:rsid w:val="00F11A2C"/>
    <w:rsid w:val="00F11A42"/>
    <w:rsid w:val="00F120B7"/>
    <w:rsid w:val="00F41A5B"/>
    <w:rsid w:val="00F80C39"/>
    <w:rsid w:val="00F87B26"/>
    <w:rsid w:val="00F91AAD"/>
    <w:rsid w:val="00FB10B0"/>
    <w:rsid w:val="00FC226E"/>
    <w:rsid w:val="00FD1347"/>
    <w:rsid w:val="00FD54C2"/>
    <w:rsid w:val="00FE11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D4831"/>
  <w15:chartTrackingRefBased/>
  <w15:docId w15:val="{0AE46050-5488-4991-B541-0919225A4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73E8"/>
    <w:pPr>
      <w:spacing w:after="200" w:line="276" w:lineRule="auto"/>
    </w:pPr>
    <w:rPr>
      <w:lang w:val="ru-RU"/>
    </w:rPr>
  </w:style>
  <w:style w:type="paragraph" w:styleId="3">
    <w:name w:val="heading 3"/>
    <w:basedOn w:val="a"/>
    <w:link w:val="30"/>
    <w:uiPriority w:val="9"/>
    <w:qFormat/>
    <w:rsid w:val="003737EF"/>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3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3737EF"/>
    <w:rPr>
      <w:rFonts w:ascii="Times New Roman" w:eastAsia="Times New Roman" w:hAnsi="Times New Roman" w:cs="Times New Roman"/>
      <w:b/>
      <w:bCs/>
      <w:sz w:val="27"/>
      <w:szCs w:val="27"/>
      <w:lang w:eastAsia="uk-UA"/>
    </w:rPr>
  </w:style>
  <w:style w:type="paragraph" w:styleId="a4">
    <w:name w:val="Normal (Web)"/>
    <w:basedOn w:val="a"/>
    <w:uiPriority w:val="99"/>
    <w:unhideWhenUsed/>
    <w:rsid w:val="003737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3737EF"/>
    <w:pPr>
      <w:spacing w:after="0" w:line="240" w:lineRule="auto"/>
      <w:ind w:left="720"/>
      <w:contextualSpacing/>
    </w:pPr>
    <w:rPr>
      <w:rFonts w:ascii="Calibri" w:eastAsia="Calibri" w:hAnsi="Calibri" w:cs="Times New Roman"/>
      <w:sz w:val="24"/>
      <w:szCs w:val="24"/>
      <w:lang w:val="en-US"/>
    </w:rPr>
  </w:style>
  <w:style w:type="paragraph" w:styleId="a6">
    <w:name w:val="Balloon Text"/>
    <w:basedOn w:val="a"/>
    <w:link w:val="a7"/>
    <w:uiPriority w:val="99"/>
    <w:semiHidden/>
    <w:unhideWhenUsed/>
    <w:rsid w:val="003176A7"/>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3176A7"/>
    <w:rPr>
      <w:rFonts w:ascii="Segoe UI" w:hAnsi="Segoe UI" w:cs="Segoe UI"/>
      <w:sz w:val="18"/>
      <w:szCs w:val="18"/>
      <w:lang w:val="ru-RU"/>
    </w:rPr>
  </w:style>
  <w:style w:type="paragraph" w:styleId="a8">
    <w:name w:val="Revision"/>
    <w:hidden/>
    <w:uiPriority w:val="99"/>
    <w:semiHidden/>
    <w:rsid w:val="007C2FC3"/>
    <w:pPr>
      <w:spacing w:after="0" w:line="240" w:lineRule="auto"/>
    </w:pPr>
    <w:rPr>
      <w:lang w:val="ru-RU"/>
    </w:rPr>
  </w:style>
  <w:style w:type="character" w:styleId="a9">
    <w:name w:val="annotation reference"/>
    <w:basedOn w:val="a0"/>
    <w:uiPriority w:val="99"/>
    <w:semiHidden/>
    <w:unhideWhenUsed/>
    <w:rsid w:val="007C3491"/>
    <w:rPr>
      <w:sz w:val="16"/>
      <w:szCs w:val="16"/>
    </w:rPr>
  </w:style>
  <w:style w:type="paragraph" w:styleId="aa">
    <w:name w:val="annotation text"/>
    <w:basedOn w:val="a"/>
    <w:link w:val="ab"/>
    <w:uiPriority w:val="99"/>
    <w:semiHidden/>
    <w:unhideWhenUsed/>
    <w:rsid w:val="007C3491"/>
    <w:pPr>
      <w:spacing w:line="240" w:lineRule="auto"/>
    </w:pPr>
    <w:rPr>
      <w:sz w:val="20"/>
      <w:szCs w:val="20"/>
    </w:rPr>
  </w:style>
  <w:style w:type="character" w:customStyle="1" w:styleId="ab">
    <w:name w:val="Текст примітки Знак"/>
    <w:basedOn w:val="a0"/>
    <w:link w:val="aa"/>
    <w:uiPriority w:val="99"/>
    <w:semiHidden/>
    <w:rsid w:val="007C3491"/>
    <w:rPr>
      <w:sz w:val="20"/>
      <w:szCs w:val="20"/>
      <w:lang w:val="ru-RU"/>
    </w:rPr>
  </w:style>
  <w:style w:type="paragraph" w:styleId="ac">
    <w:name w:val="annotation subject"/>
    <w:basedOn w:val="aa"/>
    <w:next w:val="aa"/>
    <w:link w:val="ad"/>
    <w:uiPriority w:val="99"/>
    <w:semiHidden/>
    <w:unhideWhenUsed/>
    <w:rsid w:val="007C3491"/>
    <w:rPr>
      <w:b/>
      <w:bCs/>
    </w:rPr>
  </w:style>
  <w:style w:type="character" w:customStyle="1" w:styleId="ad">
    <w:name w:val="Тема примітки Знак"/>
    <w:basedOn w:val="ab"/>
    <w:link w:val="ac"/>
    <w:uiPriority w:val="99"/>
    <w:semiHidden/>
    <w:rsid w:val="007C3491"/>
    <w:rPr>
      <w:b/>
      <w:bCs/>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02088">
      <w:bodyDiv w:val="1"/>
      <w:marLeft w:val="0"/>
      <w:marRight w:val="0"/>
      <w:marTop w:val="0"/>
      <w:marBottom w:val="0"/>
      <w:divBdr>
        <w:top w:val="none" w:sz="0" w:space="0" w:color="auto"/>
        <w:left w:val="none" w:sz="0" w:space="0" w:color="auto"/>
        <w:bottom w:val="none" w:sz="0" w:space="0" w:color="auto"/>
        <w:right w:val="none" w:sz="0" w:space="0" w:color="auto"/>
      </w:divBdr>
    </w:div>
    <w:div w:id="116340063">
      <w:bodyDiv w:val="1"/>
      <w:marLeft w:val="0"/>
      <w:marRight w:val="0"/>
      <w:marTop w:val="0"/>
      <w:marBottom w:val="0"/>
      <w:divBdr>
        <w:top w:val="none" w:sz="0" w:space="0" w:color="auto"/>
        <w:left w:val="none" w:sz="0" w:space="0" w:color="auto"/>
        <w:bottom w:val="none" w:sz="0" w:space="0" w:color="auto"/>
        <w:right w:val="none" w:sz="0" w:space="0" w:color="auto"/>
      </w:divBdr>
    </w:div>
    <w:div w:id="537158938">
      <w:bodyDiv w:val="1"/>
      <w:marLeft w:val="0"/>
      <w:marRight w:val="0"/>
      <w:marTop w:val="0"/>
      <w:marBottom w:val="0"/>
      <w:divBdr>
        <w:top w:val="none" w:sz="0" w:space="0" w:color="auto"/>
        <w:left w:val="none" w:sz="0" w:space="0" w:color="auto"/>
        <w:bottom w:val="none" w:sz="0" w:space="0" w:color="auto"/>
        <w:right w:val="none" w:sz="0" w:space="0" w:color="auto"/>
      </w:divBdr>
    </w:div>
    <w:div w:id="930236883">
      <w:bodyDiv w:val="1"/>
      <w:marLeft w:val="0"/>
      <w:marRight w:val="0"/>
      <w:marTop w:val="0"/>
      <w:marBottom w:val="0"/>
      <w:divBdr>
        <w:top w:val="none" w:sz="0" w:space="0" w:color="auto"/>
        <w:left w:val="none" w:sz="0" w:space="0" w:color="auto"/>
        <w:bottom w:val="none" w:sz="0" w:space="0" w:color="auto"/>
        <w:right w:val="none" w:sz="0" w:space="0" w:color="auto"/>
      </w:divBdr>
    </w:div>
    <w:div w:id="212758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98FB5-E086-4BE4-968D-991FD662B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6</Pages>
  <Words>5012</Words>
  <Characters>2858</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Кулажина</dc:creator>
  <cp:keywords/>
  <dc:description/>
  <cp:lastModifiedBy>Вікторія Шепіль</cp:lastModifiedBy>
  <cp:revision>46</cp:revision>
  <cp:lastPrinted>2024-07-03T08:31:00Z</cp:lastPrinted>
  <dcterms:created xsi:type="dcterms:W3CDTF">2024-07-02T09:27:00Z</dcterms:created>
  <dcterms:modified xsi:type="dcterms:W3CDTF">2024-07-03T08:52:00Z</dcterms:modified>
</cp:coreProperties>
</file>