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2682E" w14:textId="77777777" w:rsidR="00D01203" w:rsidRPr="00D01203" w:rsidRDefault="00D01203" w:rsidP="00D01203">
      <w:pPr>
        <w:spacing w:after="0" w:line="240" w:lineRule="auto"/>
        <w:jc w:val="center"/>
        <w:rPr>
          <w:rFonts w:ascii="Times New Roman" w:hAnsi="Times New Roman" w:cs="Times New Roman"/>
          <w:b/>
          <w:bCs/>
        </w:rPr>
      </w:pPr>
      <w:r w:rsidRPr="00D01203">
        <w:rPr>
          <w:rFonts w:ascii="Times New Roman" w:hAnsi="Times New Roman" w:cs="Times New Roman"/>
          <w:b/>
          <w:bCs/>
        </w:rPr>
        <w:t>УЗАГАЛЬНЕНІ ЗАУВАЖЕННЯ</w:t>
      </w:r>
    </w:p>
    <w:p w14:paraId="43938886" w14:textId="660231EE" w:rsidR="00E33158" w:rsidRPr="00985B6F" w:rsidRDefault="00D01203" w:rsidP="00D01203">
      <w:pPr>
        <w:spacing w:line="240" w:lineRule="auto"/>
        <w:jc w:val="center"/>
        <w:rPr>
          <w:rFonts w:ascii="Times New Roman" w:hAnsi="Times New Roman" w:cs="Times New Roman"/>
          <w:b/>
          <w:bCs/>
        </w:rPr>
      </w:pPr>
      <w:r w:rsidRPr="00D01203">
        <w:rPr>
          <w:rFonts w:ascii="Times New Roman" w:hAnsi="Times New Roman" w:cs="Times New Roman"/>
          <w:b/>
          <w:bCs/>
        </w:rPr>
        <w:t xml:space="preserve">та пропозиції до </w:t>
      </w:r>
      <w:proofErr w:type="spellStart"/>
      <w:r w:rsidRPr="00D01203">
        <w:rPr>
          <w:rFonts w:ascii="Times New Roman" w:hAnsi="Times New Roman" w:cs="Times New Roman"/>
          <w:b/>
          <w:bCs/>
        </w:rPr>
        <w:t>про</w:t>
      </w:r>
      <w:r>
        <w:rPr>
          <w:rFonts w:ascii="Times New Roman" w:hAnsi="Times New Roman" w:cs="Times New Roman"/>
          <w:b/>
          <w:bCs/>
        </w:rPr>
        <w:t>є</w:t>
      </w:r>
      <w:r w:rsidRPr="00D01203">
        <w:rPr>
          <w:rFonts w:ascii="Times New Roman" w:hAnsi="Times New Roman" w:cs="Times New Roman"/>
          <w:b/>
          <w:bCs/>
        </w:rPr>
        <w:t>кту</w:t>
      </w:r>
      <w:proofErr w:type="spellEnd"/>
      <w:r w:rsidRPr="00D01203">
        <w:rPr>
          <w:rFonts w:ascii="Times New Roman" w:hAnsi="Times New Roman" w:cs="Times New Roman"/>
          <w:b/>
          <w:bCs/>
        </w:rPr>
        <w:t xml:space="preserve"> рішення НКРЕКП, що має ознаки регуляторного </w:t>
      </w:r>
      <w:proofErr w:type="spellStart"/>
      <w:r w:rsidRPr="00D01203">
        <w:rPr>
          <w:rFonts w:ascii="Times New Roman" w:hAnsi="Times New Roman" w:cs="Times New Roman"/>
          <w:b/>
          <w:bCs/>
        </w:rPr>
        <w:t>акта</w:t>
      </w:r>
      <w:proofErr w:type="spellEnd"/>
      <w:r w:rsidR="00250C42" w:rsidRPr="00985B6F">
        <w:rPr>
          <w:rFonts w:ascii="Times New Roman" w:hAnsi="Times New Roman" w:cs="Times New Roman"/>
          <w:b/>
          <w:bCs/>
        </w:rPr>
        <w:t>, – постанови НКРЕКП «</w:t>
      </w:r>
      <w:r w:rsidR="000552B9" w:rsidRPr="000552B9">
        <w:rPr>
          <w:rFonts w:ascii="Times New Roman" w:hAnsi="Times New Roman" w:cs="Times New Roman"/>
          <w:b/>
          <w:bCs/>
        </w:rPr>
        <w:t>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bookmarkStart w:id="0" w:name="_GoBack"/>
      <w:bookmarkEnd w:id="0"/>
      <w:r w:rsidR="00250C42" w:rsidRPr="00985B6F">
        <w:rPr>
          <w:rFonts w:ascii="Times New Roman" w:hAnsi="Times New Roman" w:cs="Times New Roman"/>
          <w:b/>
          <w:bCs/>
        </w:rPr>
        <w:t xml:space="preserve">», опублікованого 05 квітня 2024 року (номер </w:t>
      </w:r>
      <w:proofErr w:type="spellStart"/>
      <w:r w:rsidR="00250C42" w:rsidRPr="00985B6F">
        <w:rPr>
          <w:rFonts w:ascii="Times New Roman" w:hAnsi="Times New Roman" w:cs="Times New Roman"/>
          <w:b/>
          <w:bCs/>
        </w:rPr>
        <w:t>проєкту</w:t>
      </w:r>
      <w:proofErr w:type="spellEnd"/>
      <w:r w:rsidR="00250C42" w:rsidRPr="00985B6F">
        <w:rPr>
          <w:rFonts w:ascii="Times New Roman" w:hAnsi="Times New Roman" w:cs="Times New Roman"/>
          <w:b/>
          <w:bCs/>
        </w:rPr>
        <w:t xml:space="preserve"> рішення: 54)</w:t>
      </w:r>
    </w:p>
    <w:p w14:paraId="2CA80371" w14:textId="77777777" w:rsidR="00250C42" w:rsidRPr="00985B6F" w:rsidRDefault="00250C42" w:rsidP="00EE3643">
      <w:pPr>
        <w:spacing w:line="240" w:lineRule="auto"/>
        <w:jc w:val="center"/>
        <w:rPr>
          <w:rFonts w:ascii="Times New Roman" w:eastAsia="Times New Roman" w:hAnsi="Times New Roman" w:cs="Times New Roman"/>
          <w:b/>
        </w:rPr>
      </w:pPr>
    </w:p>
    <w:tbl>
      <w:tblPr>
        <w:tblStyle w:val="a3"/>
        <w:tblW w:w="5000" w:type="pct"/>
        <w:tblLook w:val="04A0" w:firstRow="1" w:lastRow="0" w:firstColumn="1" w:lastColumn="0" w:noHBand="0" w:noVBand="1"/>
      </w:tblPr>
      <w:tblGrid>
        <w:gridCol w:w="5318"/>
        <w:gridCol w:w="5185"/>
        <w:gridCol w:w="4623"/>
      </w:tblGrid>
      <w:tr w:rsidR="00354626" w:rsidRPr="00985B6F" w14:paraId="2C6FD020" w14:textId="77777777" w:rsidTr="00250C42">
        <w:tc>
          <w:tcPr>
            <w:tcW w:w="1758" w:type="pct"/>
            <w:vAlign w:val="center"/>
          </w:tcPr>
          <w:p w14:paraId="0DE94F1B" w14:textId="3F1FC70A" w:rsidR="00354626" w:rsidRPr="00985B6F" w:rsidRDefault="00701FC1" w:rsidP="00985B6F">
            <w:pPr>
              <w:jc w:val="center"/>
              <w:rPr>
                <w:rFonts w:ascii="Times New Roman" w:hAnsi="Times New Roman" w:cs="Times New Roman"/>
                <w:b/>
                <w:shd w:val="clear" w:color="auto" w:fill="FFFFFF"/>
              </w:rPr>
            </w:pPr>
            <w:r w:rsidRPr="00985B6F">
              <w:rPr>
                <w:rFonts w:ascii="Times New Roman" w:hAnsi="Times New Roman" w:cs="Times New Roman"/>
                <w:b/>
                <w:shd w:val="clear" w:color="auto" w:fill="FFFFFF"/>
              </w:rPr>
              <w:t>Редакція проекту рішення НКРЕКП</w:t>
            </w:r>
          </w:p>
        </w:tc>
        <w:tc>
          <w:tcPr>
            <w:tcW w:w="1714" w:type="pct"/>
            <w:vAlign w:val="center"/>
          </w:tcPr>
          <w:p w14:paraId="4A8C6ACB" w14:textId="2720A954" w:rsidR="00354626" w:rsidRPr="00985B6F" w:rsidRDefault="00701FC1" w:rsidP="00985B6F">
            <w:pPr>
              <w:jc w:val="center"/>
              <w:rPr>
                <w:rFonts w:ascii="Times New Roman" w:hAnsi="Times New Roman" w:cs="Times New Roman"/>
                <w:b/>
                <w:shd w:val="clear" w:color="auto" w:fill="FFFFFF"/>
              </w:rPr>
            </w:pPr>
            <w:r w:rsidRPr="00985B6F">
              <w:rPr>
                <w:rFonts w:ascii="Times New Roman" w:hAnsi="Times New Roman" w:cs="Times New Roman"/>
                <w:b/>
                <w:shd w:val="clear" w:color="auto" w:fill="FFFFFF"/>
              </w:rPr>
              <w:t>Зауваження та пропозиції до проекту рішення НКРЕКП</w:t>
            </w:r>
          </w:p>
        </w:tc>
        <w:tc>
          <w:tcPr>
            <w:tcW w:w="1528" w:type="pct"/>
            <w:vAlign w:val="center"/>
          </w:tcPr>
          <w:p w14:paraId="07E9B921" w14:textId="14AE0019" w:rsidR="00354626" w:rsidRPr="00985B6F" w:rsidRDefault="008002A6" w:rsidP="00985B6F">
            <w:pPr>
              <w:jc w:val="center"/>
              <w:rPr>
                <w:rFonts w:ascii="Times New Roman" w:hAnsi="Times New Roman" w:cs="Times New Roman"/>
                <w:b/>
                <w:shd w:val="clear" w:color="auto" w:fill="FFFFFF"/>
              </w:rPr>
            </w:pPr>
            <w:r w:rsidRPr="00985B6F">
              <w:rPr>
                <w:rFonts w:ascii="Times New Roman" w:hAnsi="Times New Roman" w:cs="Times New Roman"/>
                <w:b/>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310C66" w:rsidRPr="00985B6F" w14:paraId="237231F0" w14:textId="77777777" w:rsidTr="00310C66">
        <w:trPr>
          <w:trHeight w:val="367"/>
        </w:trPr>
        <w:tc>
          <w:tcPr>
            <w:tcW w:w="5000" w:type="pct"/>
            <w:gridSpan w:val="3"/>
          </w:tcPr>
          <w:p w14:paraId="72FE5E3D" w14:textId="25D9D513" w:rsidR="00310C66" w:rsidRPr="00985B6F" w:rsidRDefault="00310C66" w:rsidP="00310C66">
            <w:pPr>
              <w:jc w:val="center"/>
              <w:rPr>
                <w:rFonts w:ascii="Times New Roman" w:hAnsi="Times New Roman" w:cs="Times New Roman"/>
                <w:b/>
                <w:shd w:val="clear" w:color="auto" w:fill="FFFFFF"/>
              </w:rPr>
            </w:pPr>
            <w:r w:rsidRPr="00310C66">
              <w:rPr>
                <w:rFonts w:ascii="Times New Roman" w:hAnsi="Times New Roman" w:cs="Times New Roman"/>
                <w:b/>
                <w:shd w:val="clear" w:color="auto" w:fill="FFFFFF"/>
              </w:rPr>
              <w:t xml:space="preserve">Додаток </w:t>
            </w:r>
            <w:r>
              <w:rPr>
                <w:rFonts w:ascii="Times New Roman" w:hAnsi="Times New Roman" w:cs="Times New Roman"/>
                <w:b/>
                <w:shd w:val="clear" w:color="auto" w:fill="FFFFFF"/>
              </w:rPr>
              <w:t>8</w:t>
            </w:r>
            <w:r w:rsidRPr="00310C66">
              <w:rPr>
                <w:rFonts w:ascii="Times New Roman" w:hAnsi="Times New Roman" w:cs="Times New Roman"/>
                <w:b/>
                <w:shd w:val="clear" w:color="auto" w:fill="FFFFFF"/>
              </w:rPr>
              <w:t xml:space="preserve"> «</w:t>
            </w:r>
            <w:r>
              <w:rPr>
                <w:rFonts w:ascii="Times New Roman" w:hAnsi="Times New Roman" w:cs="Times New Roman"/>
                <w:b/>
                <w:shd w:val="clear" w:color="auto" w:fill="FFFFFF"/>
              </w:rPr>
              <w:t>П</w:t>
            </w:r>
            <w:r w:rsidRPr="00310C66">
              <w:rPr>
                <w:rFonts w:ascii="Times New Roman" w:hAnsi="Times New Roman" w:cs="Times New Roman"/>
                <w:b/>
                <w:shd w:val="clear" w:color="auto" w:fill="FFFFFF"/>
              </w:rPr>
              <w:t>ерелік питань</w:t>
            </w:r>
            <w:r>
              <w:rPr>
                <w:rFonts w:ascii="Times New Roman" w:hAnsi="Times New Roman" w:cs="Times New Roman"/>
                <w:b/>
                <w:shd w:val="clear" w:color="auto" w:fill="FFFFFF"/>
              </w:rPr>
              <w:t xml:space="preserve"> </w:t>
            </w:r>
            <w:r w:rsidRPr="00310C66">
              <w:rPr>
                <w:rFonts w:ascii="Times New Roman" w:hAnsi="Times New Roman" w:cs="Times New Roman"/>
                <w:b/>
                <w:shd w:val="clear" w:color="auto" w:fill="FFFFFF"/>
              </w:rPr>
              <w:t>для перевірки дотримання вимог законодавства та ліцензійних умов суб'єктами господарської діяльності, які здійснюють постачання електричної енергії</w:t>
            </w:r>
            <w:r>
              <w:rPr>
                <w:rFonts w:ascii="Times New Roman" w:hAnsi="Times New Roman" w:cs="Times New Roman"/>
                <w:b/>
                <w:shd w:val="clear" w:color="auto" w:fill="FFFFFF"/>
              </w:rPr>
              <w:t>»</w:t>
            </w:r>
          </w:p>
        </w:tc>
      </w:tr>
      <w:tr w:rsidR="00310C66" w:rsidRPr="00985B6F" w14:paraId="61E1F3C2" w14:textId="77777777" w:rsidTr="00310C66">
        <w:trPr>
          <w:trHeight w:val="367"/>
        </w:trPr>
        <w:tc>
          <w:tcPr>
            <w:tcW w:w="1758" w:type="pct"/>
          </w:tcPr>
          <w:p w14:paraId="7C751F36" w14:textId="77777777" w:rsidR="00310C66" w:rsidRDefault="00310C66" w:rsidP="00310C66">
            <w:pPr>
              <w:jc w:val="both"/>
              <w:rPr>
                <w:rFonts w:ascii="Times New Roman" w:hAnsi="Times New Roman" w:cs="Times New Roman"/>
                <w:b/>
                <w:bCs/>
                <w:color w:val="C00000"/>
                <w:shd w:val="clear" w:color="auto" w:fill="FFFFFF"/>
              </w:rPr>
            </w:pPr>
            <w:r w:rsidRPr="00985B6F">
              <w:rPr>
                <w:rFonts w:ascii="Times New Roman" w:hAnsi="Times New Roman" w:cs="Times New Roman"/>
                <w:b/>
                <w:bCs/>
                <w:color w:val="C00000"/>
                <w:shd w:val="clear" w:color="auto" w:fill="FFFFFF"/>
              </w:rPr>
              <w:t>ЗМІНИ НЕ ПРОПОНУВАЛИСЬ</w:t>
            </w:r>
          </w:p>
          <w:p w14:paraId="624930EE" w14:textId="0EFB50C9" w:rsidR="00310C66" w:rsidRDefault="00310C66" w:rsidP="00310C66">
            <w:pPr>
              <w:jc w:val="both"/>
              <w:rPr>
                <w:rFonts w:ascii="Times New Roman" w:hAnsi="Times New Roman" w:cs="Times New Roman"/>
                <w:b/>
                <w:bCs/>
                <w:shd w:val="clear" w:color="auto" w:fill="FFFFFF"/>
              </w:rPr>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82"/>
              <w:gridCol w:w="4304"/>
            </w:tblGrid>
            <w:tr w:rsidR="00310C66" w14:paraId="6A79FDE3" w14:textId="77777777" w:rsidTr="00E009C1">
              <w:tc>
                <w:tcPr>
                  <w:tcW w:w="3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4F2E3137" w14:textId="77777777" w:rsidR="00310C66" w:rsidRPr="004A24FE" w:rsidRDefault="002C0F4B" w:rsidP="00310C66">
                  <w:pPr>
                    <w:pStyle w:val="tl"/>
                    <w:shd w:val="clear" w:color="auto" w:fill="FFFFFF"/>
                    <w:spacing w:before="0" w:beforeAutospacing="0" w:after="0" w:afterAutospacing="0"/>
                    <w:jc w:val="both"/>
                    <w:rPr>
                      <w:rFonts w:eastAsia="Calibri"/>
                      <w:bCs/>
                      <w:sz w:val="22"/>
                      <w:szCs w:val="22"/>
                      <w:lang w:val="uk-UA" w:eastAsia="en-US"/>
                    </w:rPr>
                  </w:pPr>
                  <w:hyperlink r:id="rId11" w:tgtFrame="_blank" w:history="1">
                    <w:r w:rsidR="00310C66" w:rsidRPr="004A24FE">
                      <w:rPr>
                        <w:rFonts w:eastAsia="Calibri"/>
                        <w:bCs/>
                        <w:sz w:val="22"/>
                        <w:szCs w:val="22"/>
                        <w:lang w:val="uk-UA" w:eastAsia="en-US"/>
                      </w:rPr>
                      <w:t>3.7</w:t>
                    </w:r>
                  </w:hyperlink>
                </w:p>
              </w:tc>
              <w:tc>
                <w:tcPr>
                  <w:tcW w:w="16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3A22F767" w14:textId="77777777" w:rsidR="00310C66" w:rsidRPr="004A24FE" w:rsidRDefault="002C0F4B" w:rsidP="00310C66">
                  <w:pPr>
                    <w:pStyle w:val="tl"/>
                    <w:shd w:val="clear" w:color="auto" w:fill="FFFFFF"/>
                    <w:spacing w:before="0" w:beforeAutospacing="0" w:after="0" w:afterAutospacing="0"/>
                    <w:jc w:val="both"/>
                    <w:rPr>
                      <w:rFonts w:eastAsia="Calibri"/>
                      <w:bCs/>
                      <w:sz w:val="22"/>
                      <w:szCs w:val="22"/>
                      <w:lang w:val="uk-UA" w:eastAsia="en-US"/>
                    </w:rPr>
                  </w:pPr>
                  <w:hyperlink r:id="rId12" w:tgtFrame="_blank" w:history="1">
                    <w:r w:rsidR="00310C66" w:rsidRPr="004A24FE">
                      <w:rPr>
                        <w:rFonts w:eastAsia="Calibri"/>
                        <w:bCs/>
                        <w:sz w:val="22"/>
                        <w:szCs w:val="22"/>
                        <w:lang w:val="uk-UA" w:eastAsia="en-US"/>
                      </w:rPr>
                      <w:t>При підготовці та/або подачі заявок (пропозицій) на ринку електричної енергії ліцензіат не вчиняє дії, які можуть призвести до маніпулювання цінами або до інших спотворень конкуренції на ринку</w:t>
                    </w:r>
                  </w:hyperlink>
                </w:p>
              </w:tc>
            </w:tr>
          </w:tbl>
          <w:p w14:paraId="5A56E079" w14:textId="77777777" w:rsidR="00310C66" w:rsidRPr="00310C66" w:rsidRDefault="00310C66" w:rsidP="00310C66">
            <w:pPr>
              <w:jc w:val="both"/>
              <w:rPr>
                <w:rFonts w:ascii="Times New Roman" w:hAnsi="Times New Roman" w:cs="Times New Roman"/>
                <w:b/>
                <w:bCs/>
                <w:shd w:val="clear" w:color="auto" w:fill="FFFFFF"/>
              </w:rPr>
            </w:pPr>
          </w:p>
          <w:p w14:paraId="297B204C" w14:textId="2F4333C6" w:rsidR="00310C66" w:rsidRPr="00310C66" w:rsidRDefault="00310C66" w:rsidP="00310C66">
            <w:pPr>
              <w:jc w:val="both"/>
              <w:rPr>
                <w:rFonts w:ascii="Times New Roman" w:hAnsi="Times New Roman" w:cs="Times New Roman"/>
                <w:b/>
                <w:bCs/>
                <w:color w:val="C00000"/>
                <w:shd w:val="clear" w:color="auto" w:fill="FFFFFF"/>
              </w:rPr>
            </w:pPr>
          </w:p>
        </w:tc>
        <w:tc>
          <w:tcPr>
            <w:tcW w:w="1714" w:type="pct"/>
          </w:tcPr>
          <w:p w14:paraId="036B2C0E" w14:textId="77777777" w:rsidR="00310C66" w:rsidRDefault="00310C66" w:rsidP="00310C66">
            <w:pPr>
              <w:jc w:val="both"/>
              <w:rPr>
                <w:rFonts w:ascii="Times New Roman" w:hAnsi="Times New Roman" w:cs="Times New Roman"/>
                <w:i/>
                <w:shd w:val="clear" w:color="auto" w:fill="FFFFFF"/>
              </w:rPr>
            </w:pPr>
            <w:r w:rsidRPr="00310C66">
              <w:rPr>
                <w:rFonts w:ascii="Times New Roman" w:hAnsi="Times New Roman" w:cs="Times New Roman"/>
                <w:i/>
                <w:shd w:val="clear" w:color="auto" w:fill="FFFFFF"/>
              </w:rPr>
              <w:t xml:space="preserve">ТОВ </w:t>
            </w:r>
            <w:r>
              <w:rPr>
                <w:rFonts w:ascii="Times New Roman" w:hAnsi="Times New Roman" w:cs="Times New Roman"/>
                <w:i/>
                <w:shd w:val="clear" w:color="auto" w:fill="FFFFFF"/>
              </w:rPr>
              <w:t>«</w:t>
            </w:r>
            <w:r w:rsidRPr="00310C66">
              <w:rPr>
                <w:rFonts w:ascii="Times New Roman" w:hAnsi="Times New Roman" w:cs="Times New Roman"/>
                <w:i/>
                <w:shd w:val="clear" w:color="auto" w:fill="FFFFFF"/>
              </w:rPr>
              <w:t>Д.ТРЕЙДІНГ</w:t>
            </w:r>
            <w:r>
              <w:rPr>
                <w:rFonts w:ascii="Times New Roman" w:hAnsi="Times New Roman" w:cs="Times New Roman"/>
                <w:i/>
                <w:shd w:val="clear" w:color="auto" w:fill="FFFFFF"/>
              </w:rPr>
              <w:t>»</w:t>
            </w:r>
          </w:p>
          <w:p w14:paraId="450FE69D" w14:textId="77777777" w:rsidR="00310C66" w:rsidRDefault="00310C66" w:rsidP="00310C66">
            <w:pPr>
              <w:jc w:val="both"/>
              <w:rPr>
                <w:rFonts w:ascii="Times New Roman" w:hAnsi="Times New Roman" w:cs="Times New Roman"/>
                <w:i/>
                <w:shd w:val="clear" w:color="auto" w:fill="FFFFFF"/>
              </w:rPr>
            </w:pPr>
          </w:p>
          <w:p w14:paraId="462547FC" w14:textId="77777777" w:rsidR="00310C66" w:rsidRDefault="00310C66" w:rsidP="00310C66">
            <w:pPr>
              <w:jc w:val="both"/>
              <w:rPr>
                <w:rFonts w:ascii="Times New Roman" w:eastAsia="Calibri" w:hAnsi="Times New Roman" w:cs="Times New Roman"/>
                <w:bCs/>
              </w:rPr>
            </w:pPr>
            <w:r>
              <w:rPr>
                <w:rFonts w:ascii="Times New Roman" w:eastAsia="Calibri" w:hAnsi="Times New Roman" w:cs="Times New Roman"/>
                <w:bCs/>
              </w:rPr>
              <w:t>Вилучити</w:t>
            </w:r>
          </w:p>
          <w:p w14:paraId="114B91D7" w14:textId="5AE30ECD" w:rsidR="00310C66" w:rsidRDefault="00310C66" w:rsidP="00310C66">
            <w:pPr>
              <w:jc w:val="both"/>
              <w:rPr>
                <w:rFonts w:ascii="Times New Roman" w:hAnsi="Times New Roman" w:cs="Times New Roman"/>
                <w:i/>
                <w:shd w:val="clear" w:color="auto" w:fill="FFFFFF"/>
              </w:rPr>
            </w:pPr>
          </w:p>
          <w:p w14:paraId="64E0CC71" w14:textId="77777777" w:rsidR="00310C66" w:rsidRPr="00985B6F" w:rsidRDefault="00310C66" w:rsidP="00310C66">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3D7E2F49" w14:textId="77777777" w:rsidR="00310C66" w:rsidRPr="00310C66" w:rsidRDefault="00310C66" w:rsidP="00310C66">
            <w:pPr>
              <w:jc w:val="both"/>
              <w:rPr>
                <w:rFonts w:ascii="Times New Roman" w:hAnsi="Times New Roman" w:cs="Times New Roman"/>
                <w:shd w:val="clear" w:color="auto" w:fill="FFFFFF"/>
              </w:rPr>
            </w:pPr>
            <w:r w:rsidRPr="00310C66">
              <w:rPr>
                <w:rFonts w:ascii="Times New Roman" w:hAnsi="Times New Roman" w:cs="Times New Roman"/>
                <w:shd w:val="clear" w:color="auto" w:fill="FFFFFF"/>
              </w:rPr>
              <w:t xml:space="preserve">Пунктом 3 Протоколу відкритого обговорення </w:t>
            </w:r>
            <w:proofErr w:type="spellStart"/>
            <w:r w:rsidRPr="00310C66">
              <w:rPr>
                <w:rFonts w:ascii="Times New Roman" w:hAnsi="Times New Roman" w:cs="Times New Roman"/>
                <w:shd w:val="clear" w:color="auto" w:fill="FFFFFF"/>
              </w:rPr>
              <w:t>проєкту</w:t>
            </w:r>
            <w:proofErr w:type="spellEnd"/>
            <w:r w:rsidRPr="00310C66">
              <w:rPr>
                <w:rFonts w:ascii="Times New Roman" w:hAnsi="Times New Roman" w:cs="Times New Roman"/>
                <w:shd w:val="clear" w:color="auto" w:fill="FFFFFF"/>
              </w:rPr>
              <w:t xml:space="preserve"> постанови НКРЕКП «Про затвердження Змін до деяких постанов НКРЕКП», що має ознаки регуляторного </w:t>
            </w:r>
            <w:proofErr w:type="spellStart"/>
            <w:r w:rsidRPr="00310C66">
              <w:rPr>
                <w:rFonts w:ascii="Times New Roman" w:hAnsi="Times New Roman" w:cs="Times New Roman"/>
                <w:shd w:val="clear" w:color="auto" w:fill="FFFFFF"/>
              </w:rPr>
              <w:t>акта</w:t>
            </w:r>
            <w:proofErr w:type="spellEnd"/>
            <w:r w:rsidRPr="00310C66">
              <w:rPr>
                <w:rFonts w:ascii="Times New Roman" w:hAnsi="Times New Roman" w:cs="Times New Roman"/>
                <w:shd w:val="clear" w:color="auto" w:fill="FFFFFF"/>
              </w:rPr>
              <w:t xml:space="preserve">, від 22.03.2024 № 29-П, передбачено розроблення </w:t>
            </w:r>
            <w:proofErr w:type="spellStart"/>
            <w:r w:rsidRPr="00310C66">
              <w:rPr>
                <w:rFonts w:ascii="Times New Roman" w:hAnsi="Times New Roman" w:cs="Times New Roman"/>
                <w:shd w:val="clear" w:color="auto" w:fill="FFFFFF"/>
              </w:rPr>
              <w:t>проєкту</w:t>
            </w:r>
            <w:proofErr w:type="spellEnd"/>
            <w:r w:rsidRPr="00310C66">
              <w:rPr>
                <w:rFonts w:ascii="Times New Roman" w:hAnsi="Times New Roman" w:cs="Times New Roman"/>
                <w:shd w:val="clear" w:color="auto" w:fill="FFFFFF"/>
              </w:rPr>
              <w:t xml:space="preserve"> змін до Порядку контролю з метою уточнення окремих його положень щодо непоширення його дії на порушення, що стосуються зловживань на оптовому енергетичному ринку.</w:t>
            </w:r>
          </w:p>
          <w:p w14:paraId="2CE8C5D5" w14:textId="77777777" w:rsidR="00310C66" w:rsidRPr="00310C66" w:rsidRDefault="00310C66" w:rsidP="00310C66">
            <w:pPr>
              <w:jc w:val="both"/>
              <w:rPr>
                <w:rFonts w:ascii="Times New Roman" w:hAnsi="Times New Roman" w:cs="Times New Roman"/>
                <w:shd w:val="clear" w:color="auto" w:fill="FFFFFF"/>
              </w:rPr>
            </w:pPr>
            <w:r w:rsidRPr="00310C66">
              <w:rPr>
                <w:rFonts w:ascii="Times New Roman" w:hAnsi="Times New Roman" w:cs="Times New Roman"/>
                <w:shd w:val="clear" w:color="auto" w:fill="FFFFFF"/>
              </w:rPr>
              <w:t xml:space="preserve">В Аналізі впливу </w:t>
            </w:r>
            <w:proofErr w:type="spellStart"/>
            <w:r w:rsidRPr="00310C66">
              <w:rPr>
                <w:rFonts w:ascii="Times New Roman" w:hAnsi="Times New Roman" w:cs="Times New Roman"/>
                <w:shd w:val="clear" w:color="auto" w:fill="FFFFFF"/>
              </w:rPr>
              <w:t>проєкту</w:t>
            </w:r>
            <w:proofErr w:type="spellEnd"/>
            <w:r w:rsidRPr="00310C66">
              <w:rPr>
                <w:rFonts w:ascii="Times New Roman" w:hAnsi="Times New Roman" w:cs="Times New Roman"/>
                <w:shd w:val="clear" w:color="auto" w:fill="FFFFFF"/>
              </w:rPr>
              <w:t xml:space="preserve"> 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має ознаки регуляторного </w:t>
            </w:r>
            <w:proofErr w:type="spellStart"/>
            <w:r w:rsidRPr="00310C66">
              <w:rPr>
                <w:rFonts w:ascii="Times New Roman" w:hAnsi="Times New Roman" w:cs="Times New Roman"/>
                <w:shd w:val="clear" w:color="auto" w:fill="FFFFFF"/>
              </w:rPr>
              <w:t>акта</w:t>
            </w:r>
            <w:proofErr w:type="spellEnd"/>
            <w:r w:rsidRPr="00310C66">
              <w:rPr>
                <w:rFonts w:ascii="Times New Roman" w:hAnsi="Times New Roman" w:cs="Times New Roman"/>
                <w:shd w:val="clear" w:color="auto" w:fill="FFFFFF"/>
              </w:rPr>
              <w:t>, також зазначено, що він розроблений з метою непоширення дії Порядку контролю на порушення, що стосуються зловживань на оптовому енергетичному ринку.</w:t>
            </w:r>
          </w:p>
          <w:p w14:paraId="7392DA4C" w14:textId="78FA4CB3" w:rsidR="00310C66" w:rsidRPr="00310C66" w:rsidRDefault="00310C66" w:rsidP="00310C66">
            <w:pPr>
              <w:jc w:val="both"/>
              <w:rPr>
                <w:rFonts w:ascii="Times New Roman" w:hAnsi="Times New Roman" w:cs="Times New Roman"/>
                <w:i/>
                <w:shd w:val="clear" w:color="auto" w:fill="FFFFFF"/>
              </w:rPr>
            </w:pPr>
            <w:r w:rsidRPr="00310C66">
              <w:rPr>
                <w:rFonts w:ascii="Times New Roman" w:hAnsi="Times New Roman" w:cs="Times New Roman"/>
                <w:shd w:val="clear" w:color="auto" w:fill="FFFFFF"/>
              </w:rPr>
              <w:t xml:space="preserve">Отже, враховуючи вищевикладене, пропонуємо прибрати з Переліку питань для перевірки дотримання вимог законодавства та ліцензійних умов провадження господарської діяльності з </w:t>
            </w:r>
            <w:r w:rsidRPr="00310C66">
              <w:rPr>
                <w:rFonts w:ascii="Times New Roman" w:hAnsi="Times New Roman" w:cs="Times New Roman"/>
                <w:shd w:val="clear" w:color="auto" w:fill="FFFFFF"/>
              </w:rPr>
              <w:lastRenderedPageBreak/>
              <w:t>перепродажу електричної енергії (</w:t>
            </w:r>
            <w:proofErr w:type="spellStart"/>
            <w:r w:rsidRPr="00310C66">
              <w:rPr>
                <w:rFonts w:ascii="Times New Roman" w:hAnsi="Times New Roman" w:cs="Times New Roman"/>
                <w:shd w:val="clear" w:color="auto" w:fill="FFFFFF"/>
              </w:rPr>
              <w:t>трейдерської</w:t>
            </w:r>
            <w:proofErr w:type="spellEnd"/>
            <w:r w:rsidRPr="00310C66">
              <w:rPr>
                <w:rFonts w:ascii="Times New Roman" w:hAnsi="Times New Roman" w:cs="Times New Roman"/>
                <w:shd w:val="clear" w:color="auto" w:fill="FFFFFF"/>
              </w:rPr>
              <w:t xml:space="preserve"> діяльності) та постачання електричної енергії, питання, що стосуються зловживань на оптовому енергетичному ринку, а саме питання маніпулювання цінами на оптових енергетичних ринках.</w:t>
            </w:r>
          </w:p>
        </w:tc>
        <w:tc>
          <w:tcPr>
            <w:tcW w:w="1528" w:type="pct"/>
          </w:tcPr>
          <w:p w14:paraId="0E3AB6B2" w14:textId="77777777" w:rsidR="00310C66" w:rsidRDefault="00A02DBE" w:rsidP="00A02DBE">
            <w:pPr>
              <w:jc w:val="both"/>
              <w:rPr>
                <w:rFonts w:ascii="Times New Roman" w:hAnsi="Times New Roman" w:cs="Times New Roman"/>
                <w:b/>
                <w:shd w:val="clear" w:color="auto" w:fill="FFFFFF"/>
              </w:rPr>
            </w:pPr>
            <w:r>
              <w:rPr>
                <w:rFonts w:ascii="Times New Roman" w:hAnsi="Times New Roman" w:cs="Times New Roman"/>
                <w:b/>
                <w:shd w:val="clear" w:color="auto" w:fill="FFFFFF"/>
              </w:rPr>
              <w:lastRenderedPageBreak/>
              <w:t>Не враховано</w:t>
            </w:r>
          </w:p>
          <w:p w14:paraId="1FB7F583" w14:textId="77777777" w:rsidR="00A02DBE" w:rsidRDefault="00A02DBE" w:rsidP="00A02DBE">
            <w:pPr>
              <w:jc w:val="both"/>
              <w:rPr>
                <w:rFonts w:ascii="Times New Roman" w:hAnsi="Times New Roman" w:cs="Times New Roman"/>
                <w:b/>
                <w:shd w:val="clear" w:color="auto" w:fill="FFFFFF"/>
              </w:rPr>
            </w:pPr>
          </w:p>
          <w:p w14:paraId="7BD5F4BD" w14:textId="77777777" w:rsidR="00A02DBE" w:rsidRDefault="00A02DBE" w:rsidP="00A02DBE">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ще не набрала чинності відповідна постанова </w:t>
            </w:r>
            <w:r w:rsidRPr="00A02DBE">
              <w:rPr>
                <w:rFonts w:ascii="Times New Roman" w:hAnsi="Times New Roman" w:cs="Times New Roman"/>
                <w:shd w:val="clear" w:color="auto" w:fill="FFFFFF"/>
              </w:rPr>
              <w:t>НКРЕКП «Про затвердження Змін до деяких постанов НКРЕКП»</w:t>
            </w:r>
            <w:r>
              <w:rPr>
                <w:rFonts w:ascii="Times New Roman" w:hAnsi="Times New Roman" w:cs="Times New Roman"/>
                <w:shd w:val="clear" w:color="auto" w:fill="FFFFFF"/>
              </w:rPr>
              <w:t>.</w:t>
            </w:r>
          </w:p>
          <w:p w14:paraId="63CD9BE1" w14:textId="749331BD" w:rsidR="00A02DBE" w:rsidRPr="00A02DBE" w:rsidRDefault="00A02DBE" w:rsidP="00A02DBE">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Проте відповідні зміни планується </w:t>
            </w:r>
            <w:proofErr w:type="spellStart"/>
            <w:r>
              <w:rPr>
                <w:rFonts w:ascii="Times New Roman" w:hAnsi="Times New Roman" w:cs="Times New Roman"/>
                <w:shd w:val="clear" w:color="auto" w:fill="FFFFFF"/>
              </w:rPr>
              <w:t>внести</w:t>
            </w:r>
            <w:proofErr w:type="spellEnd"/>
            <w:r>
              <w:rPr>
                <w:rFonts w:ascii="Times New Roman" w:hAnsi="Times New Roman" w:cs="Times New Roman"/>
                <w:shd w:val="clear" w:color="auto" w:fill="FFFFFF"/>
              </w:rPr>
              <w:t xml:space="preserve"> у найближчий час після набрання чинності вказаної постанови</w:t>
            </w:r>
          </w:p>
        </w:tc>
      </w:tr>
      <w:tr w:rsidR="00310C66" w:rsidRPr="00985B6F" w14:paraId="3252F476" w14:textId="77777777" w:rsidTr="00310C66">
        <w:trPr>
          <w:trHeight w:val="367"/>
        </w:trPr>
        <w:tc>
          <w:tcPr>
            <w:tcW w:w="5000" w:type="pct"/>
            <w:gridSpan w:val="3"/>
          </w:tcPr>
          <w:p w14:paraId="4A6225DA" w14:textId="1D2966F1" w:rsidR="00310C66" w:rsidRPr="00985B6F" w:rsidRDefault="00310C66" w:rsidP="00985B6F">
            <w:pPr>
              <w:jc w:val="center"/>
              <w:rPr>
                <w:rFonts w:ascii="Times New Roman" w:hAnsi="Times New Roman" w:cs="Times New Roman"/>
                <w:b/>
                <w:shd w:val="clear" w:color="auto" w:fill="FFFFFF"/>
              </w:rPr>
            </w:pPr>
            <w:r w:rsidRPr="00310C66">
              <w:rPr>
                <w:rFonts w:ascii="Times New Roman" w:hAnsi="Times New Roman" w:cs="Times New Roman"/>
                <w:b/>
                <w:shd w:val="clear" w:color="auto" w:fill="FFFFFF"/>
              </w:rPr>
              <w:t xml:space="preserve">Додаток </w:t>
            </w:r>
            <w:r>
              <w:rPr>
                <w:rFonts w:ascii="Times New Roman" w:hAnsi="Times New Roman" w:cs="Times New Roman"/>
                <w:b/>
                <w:shd w:val="clear" w:color="auto" w:fill="FFFFFF"/>
              </w:rPr>
              <w:t>9</w:t>
            </w:r>
            <w:r w:rsidRPr="00310C66">
              <w:rPr>
                <w:rFonts w:ascii="Times New Roman" w:hAnsi="Times New Roman" w:cs="Times New Roman"/>
                <w:b/>
                <w:shd w:val="clear" w:color="auto" w:fill="FFFFFF"/>
              </w:rPr>
              <w:t xml:space="preserve"> «</w:t>
            </w:r>
            <w:r>
              <w:rPr>
                <w:rFonts w:ascii="Times New Roman" w:hAnsi="Times New Roman" w:cs="Times New Roman"/>
                <w:b/>
                <w:shd w:val="clear" w:color="auto" w:fill="FFFFFF"/>
              </w:rPr>
              <w:t>П</w:t>
            </w:r>
            <w:r w:rsidRPr="00310C66">
              <w:rPr>
                <w:rFonts w:ascii="Times New Roman" w:hAnsi="Times New Roman" w:cs="Times New Roman"/>
                <w:b/>
                <w:shd w:val="clear" w:color="auto" w:fill="FFFFFF"/>
              </w:rPr>
              <w:t>ерелік питань</w:t>
            </w:r>
            <w:r>
              <w:rPr>
                <w:rFonts w:ascii="Times New Roman" w:hAnsi="Times New Roman" w:cs="Times New Roman"/>
                <w:b/>
                <w:shd w:val="clear" w:color="auto" w:fill="FFFFFF"/>
              </w:rPr>
              <w:t xml:space="preserve"> </w:t>
            </w:r>
            <w:r w:rsidRPr="00310C66">
              <w:rPr>
                <w:rFonts w:ascii="Times New Roman" w:hAnsi="Times New Roman" w:cs="Times New Roman"/>
                <w:b/>
                <w:shd w:val="clear" w:color="auto" w:fill="FFFFFF"/>
              </w:rPr>
              <w:t>для перевірки дотримання вимог законодавства та ліцензійних умов провадження господарської діяльності з перепродажу електричної енергії (</w:t>
            </w:r>
            <w:proofErr w:type="spellStart"/>
            <w:r w:rsidRPr="00310C66">
              <w:rPr>
                <w:rFonts w:ascii="Times New Roman" w:hAnsi="Times New Roman" w:cs="Times New Roman"/>
                <w:b/>
                <w:shd w:val="clear" w:color="auto" w:fill="FFFFFF"/>
              </w:rPr>
              <w:t>трейдерської</w:t>
            </w:r>
            <w:proofErr w:type="spellEnd"/>
            <w:r w:rsidRPr="00310C66">
              <w:rPr>
                <w:rFonts w:ascii="Times New Roman" w:hAnsi="Times New Roman" w:cs="Times New Roman"/>
                <w:b/>
                <w:shd w:val="clear" w:color="auto" w:fill="FFFFFF"/>
              </w:rPr>
              <w:t xml:space="preserve"> діяльності)</w:t>
            </w:r>
            <w:r>
              <w:rPr>
                <w:rFonts w:ascii="Times New Roman" w:hAnsi="Times New Roman" w:cs="Times New Roman"/>
                <w:b/>
                <w:shd w:val="clear" w:color="auto" w:fill="FFFFFF"/>
              </w:rPr>
              <w:t>»</w:t>
            </w:r>
          </w:p>
        </w:tc>
      </w:tr>
      <w:tr w:rsidR="00310C66" w:rsidRPr="00985B6F" w14:paraId="418B32A0" w14:textId="77777777" w:rsidTr="00310C66">
        <w:trPr>
          <w:trHeight w:val="367"/>
        </w:trPr>
        <w:tc>
          <w:tcPr>
            <w:tcW w:w="1758" w:type="pct"/>
          </w:tcPr>
          <w:p w14:paraId="7A4B8DD2" w14:textId="77777777" w:rsidR="00310C66" w:rsidRDefault="00310C66" w:rsidP="00310C66">
            <w:pPr>
              <w:jc w:val="both"/>
              <w:rPr>
                <w:rFonts w:ascii="Times New Roman" w:hAnsi="Times New Roman" w:cs="Times New Roman"/>
                <w:b/>
                <w:bCs/>
                <w:color w:val="C00000"/>
                <w:shd w:val="clear" w:color="auto" w:fill="FFFFFF"/>
              </w:rPr>
            </w:pPr>
            <w:r w:rsidRPr="00985B6F">
              <w:rPr>
                <w:rFonts w:ascii="Times New Roman" w:hAnsi="Times New Roman" w:cs="Times New Roman"/>
                <w:b/>
                <w:bCs/>
                <w:color w:val="C00000"/>
                <w:shd w:val="clear" w:color="auto" w:fill="FFFFFF"/>
              </w:rPr>
              <w:t>ЗМІНИ НЕ ПРОПОНУВАЛИСЬ</w:t>
            </w:r>
          </w:p>
          <w:p w14:paraId="332F04B7" w14:textId="77777777" w:rsidR="00310C66" w:rsidRDefault="00310C66" w:rsidP="00985B6F">
            <w:pPr>
              <w:jc w:val="center"/>
              <w:rPr>
                <w:rFonts w:ascii="Times New Roman" w:hAnsi="Times New Roman" w:cs="Times New Roman"/>
                <w:b/>
                <w:shd w:val="clear" w:color="auto" w:fill="FFFFFF"/>
              </w:rPr>
            </w:pPr>
          </w:p>
          <w:tbl>
            <w:tblPr>
              <w:tblW w:w="4651"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02"/>
              <w:gridCol w:w="3729"/>
            </w:tblGrid>
            <w:tr w:rsidR="00310C66" w:rsidRPr="000E42B2" w14:paraId="577AB729" w14:textId="77777777" w:rsidTr="00E009C1">
              <w:tc>
                <w:tcPr>
                  <w:tcW w:w="105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72987882" w14:textId="77777777" w:rsidR="00310C66" w:rsidRPr="004A24FE" w:rsidRDefault="002C0F4B" w:rsidP="00310C66">
                  <w:pPr>
                    <w:pStyle w:val="tl"/>
                    <w:shd w:val="clear" w:color="auto" w:fill="FFFFFF"/>
                    <w:spacing w:before="0" w:beforeAutospacing="0" w:after="0" w:afterAutospacing="0"/>
                    <w:jc w:val="both"/>
                    <w:rPr>
                      <w:rFonts w:eastAsia="Calibri"/>
                      <w:bCs/>
                      <w:sz w:val="22"/>
                      <w:szCs w:val="22"/>
                      <w:lang w:val="uk-UA" w:eastAsia="en-US"/>
                    </w:rPr>
                  </w:pPr>
                  <w:hyperlink r:id="rId13" w:tgtFrame="_blank" w:history="1">
                    <w:r w:rsidR="00310C66" w:rsidRPr="004A24FE">
                      <w:rPr>
                        <w:rFonts w:eastAsia="Calibri"/>
                        <w:bCs/>
                        <w:sz w:val="22"/>
                        <w:szCs w:val="22"/>
                        <w:lang w:val="uk-UA" w:eastAsia="en-US"/>
                      </w:rPr>
                      <w:t>3.8</w:t>
                    </w:r>
                  </w:hyperlink>
                </w:p>
              </w:tc>
              <w:tc>
                <w:tcPr>
                  <w:tcW w:w="3941"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5E53FF6C" w14:textId="77777777" w:rsidR="00310C66" w:rsidRPr="004A24FE" w:rsidRDefault="002C0F4B" w:rsidP="00310C66">
                  <w:pPr>
                    <w:pStyle w:val="tl"/>
                    <w:shd w:val="clear" w:color="auto" w:fill="FFFFFF"/>
                    <w:spacing w:before="0" w:beforeAutospacing="0" w:after="0" w:afterAutospacing="0"/>
                    <w:jc w:val="both"/>
                    <w:rPr>
                      <w:rFonts w:eastAsia="Calibri"/>
                      <w:bCs/>
                      <w:sz w:val="22"/>
                      <w:szCs w:val="22"/>
                      <w:lang w:val="uk-UA" w:eastAsia="en-US"/>
                    </w:rPr>
                  </w:pPr>
                  <w:hyperlink r:id="rId14" w:tgtFrame="_blank" w:history="1">
                    <w:r w:rsidR="00310C66" w:rsidRPr="004A24FE">
                      <w:rPr>
                        <w:rFonts w:eastAsia="Calibri"/>
                        <w:bCs/>
                        <w:sz w:val="22"/>
                        <w:szCs w:val="22"/>
                        <w:lang w:val="uk-UA" w:eastAsia="en-US"/>
                      </w:rPr>
                      <w:t>При підготовці та/або подачі заявок (пропозицій) на ринку електричної енергії ліцензіат не вчиняє дії, які можуть призвести до маніпулювання цінами або до інших спотворень конкуренції на ринку</w:t>
                    </w:r>
                  </w:hyperlink>
                </w:p>
              </w:tc>
            </w:tr>
            <w:tr w:rsidR="00310C66" w:rsidRPr="000E42B2" w14:paraId="01C8CDFC" w14:textId="77777777" w:rsidTr="00E009C1">
              <w:tc>
                <w:tcPr>
                  <w:tcW w:w="105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19D19370" w14:textId="77777777" w:rsidR="00310C66" w:rsidRPr="004A24FE" w:rsidRDefault="002C0F4B" w:rsidP="00310C66">
                  <w:pPr>
                    <w:pStyle w:val="tl"/>
                    <w:shd w:val="clear" w:color="auto" w:fill="FFFFFF"/>
                    <w:spacing w:before="0" w:beforeAutospacing="0" w:after="0" w:afterAutospacing="0"/>
                    <w:jc w:val="both"/>
                    <w:rPr>
                      <w:rFonts w:eastAsia="Calibri"/>
                      <w:bCs/>
                      <w:sz w:val="22"/>
                      <w:szCs w:val="22"/>
                      <w:lang w:val="uk-UA" w:eastAsia="en-US"/>
                    </w:rPr>
                  </w:pPr>
                  <w:hyperlink r:id="rId15" w:tgtFrame="_blank" w:history="1">
                    <w:r w:rsidR="00310C66" w:rsidRPr="004A24FE">
                      <w:rPr>
                        <w:rFonts w:eastAsia="Calibri"/>
                        <w:bCs/>
                        <w:sz w:val="22"/>
                        <w:szCs w:val="22"/>
                        <w:lang w:val="uk-UA" w:eastAsia="en-US"/>
                      </w:rPr>
                      <w:t>3.9</w:t>
                    </w:r>
                  </w:hyperlink>
                </w:p>
              </w:tc>
              <w:tc>
                <w:tcPr>
                  <w:tcW w:w="3941"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1811E69D" w14:textId="77777777" w:rsidR="00310C66" w:rsidRPr="004A24FE" w:rsidRDefault="002C0F4B" w:rsidP="00310C66">
                  <w:pPr>
                    <w:pStyle w:val="tl"/>
                    <w:shd w:val="clear" w:color="auto" w:fill="FFFFFF"/>
                    <w:spacing w:before="0" w:beforeAutospacing="0" w:after="0" w:afterAutospacing="0"/>
                    <w:jc w:val="both"/>
                    <w:rPr>
                      <w:rFonts w:eastAsia="Calibri"/>
                      <w:bCs/>
                      <w:sz w:val="22"/>
                      <w:szCs w:val="22"/>
                      <w:lang w:val="uk-UA" w:eastAsia="en-US"/>
                    </w:rPr>
                  </w:pPr>
                  <w:hyperlink r:id="rId16" w:tgtFrame="_blank" w:history="1">
                    <w:r w:rsidR="00310C66" w:rsidRPr="004A24FE">
                      <w:rPr>
                        <w:rFonts w:eastAsia="Calibri"/>
                        <w:bCs/>
                        <w:sz w:val="22"/>
                        <w:szCs w:val="22"/>
                        <w:lang w:val="uk-UA" w:eastAsia="en-US"/>
                      </w:rPr>
                      <w:t>Ліцензіат забезпечує конфіденційність інформації щодо своєї діяльності та інформації, отриманої від учасників ринку, розкриття якої може призвести до маніпулювання цінами або інших спотворень конкуренції на ринку, та дотримується вимог щодо надання, захисту, розкриття та оприлюднення інформації на ринку електричної енергії</w:t>
                    </w:r>
                  </w:hyperlink>
                </w:p>
              </w:tc>
            </w:tr>
          </w:tbl>
          <w:p w14:paraId="49B3145D" w14:textId="5C8D48CF" w:rsidR="00310C66" w:rsidRPr="00985B6F" w:rsidRDefault="00310C66" w:rsidP="00985B6F">
            <w:pPr>
              <w:jc w:val="center"/>
              <w:rPr>
                <w:rFonts w:ascii="Times New Roman" w:hAnsi="Times New Roman" w:cs="Times New Roman"/>
                <w:b/>
                <w:shd w:val="clear" w:color="auto" w:fill="FFFFFF"/>
              </w:rPr>
            </w:pPr>
          </w:p>
        </w:tc>
        <w:tc>
          <w:tcPr>
            <w:tcW w:w="1714" w:type="pct"/>
          </w:tcPr>
          <w:p w14:paraId="04F5D730" w14:textId="77777777" w:rsidR="00310C66" w:rsidRDefault="00310C66" w:rsidP="00310C66">
            <w:pPr>
              <w:jc w:val="both"/>
              <w:rPr>
                <w:rFonts w:ascii="Times New Roman" w:hAnsi="Times New Roman" w:cs="Times New Roman"/>
                <w:i/>
                <w:shd w:val="clear" w:color="auto" w:fill="FFFFFF"/>
              </w:rPr>
            </w:pPr>
            <w:r w:rsidRPr="00310C66">
              <w:rPr>
                <w:rFonts w:ascii="Times New Roman" w:hAnsi="Times New Roman" w:cs="Times New Roman"/>
                <w:i/>
                <w:shd w:val="clear" w:color="auto" w:fill="FFFFFF"/>
              </w:rPr>
              <w:t xml:space="preserve">ТОВ </w:t>
            </w:r>
            <w:r>
              <w:rPr>
                <w:rFonts w:ascii="Times New Roman" w:hAnsi="Times New Roman" w:cs="Times New Roman"/>
                <w:i/>
                <w:shd w:val="clear" w:color="auto" w:fill="FFFFFF"/>
              </w:rPr>
              <w:t>«</w:t>
            </w:r>
            <w:r w:rsidRPr="00310C66">
              <w:rPr>
                <w:rFonts w:ascii="Times New Roman" w:hAnsi="Times New Roman" w:cs="Times New Roman"/>
                <w:i/>
                <w:shd w:val="clear" w:color="auto" w:fill="FFFFFF"/>
              </w:rPr>
              <w:t>Д.ТРЕЙДІНГ</w:t>
            </w:r>
            <w:r>
              <w:rPr>
                <w:rFonts w:ascii="Times New Roman" w:hAnsi="Times New Roman" w:cs="Times New Roman"/>
                <w:i/>
                <w:shd w:val="clear" w:color="auto" w:fill="FFFFFF"/>
              </w:rPr>
              <w:t>»</w:t>
            </w:r>
          </w:p>
          <w:p w14:paraId="664CFDF7" w14:textId="77777777" w:rsidR="00310C66" w:rsidRDefault="00310C66" w:rsidP="00310C66">
            <w:pPr>
              <w:jc w:val="both"/>
              <w:rPr>
                <w:rFonts w:ascii="Times New Roman" w:hAnsi="Times New Roman" w:cs="Times New Roman"/>
                <w:i/>
                <w:shd w:val="clear" w:color="auto" w:fill="FFFFFF"/>
              </w:rPr>
            </w:pPr>
          </w:p>
          <w:p w14:paraId="32B7C90B" w14:textId="25BCA215" w:rsidR="00310C66" w:rsidRDefault="00310C66" w:rsidP="00310C66">
            <w:pPr>
              <w:jc w:val="both"/>
              <w:rPr>
                <w:rFonts w:ascii="Times New Roman" w:eastAsia="Calibri" w:hAnsi="Times New Roman" w:cs="Times New Roman"/>
                <w:bCs/>
              </w:rPr>
            </w:pPr>
            <w:r>
              <w:rPr>
                <w:rFonts w:ascii="Times New Roman" w:eastAsia="Calibri" w:hAnsi="Times New Roman" w:cs="Times New Roman"/>
                <w:bCs/>
              </w:rPr>
              <w:t>Вилучити</w:t>
            </w:r>
          </w:p>
          <w:p w14:paraId="50A2D19A" w14:textId="114FCFD9" w:rsidR="00310C66" w:rsidRDefault="00310C66" w:rsidP="00310C66">
            <w:pPr>
              <w:jc w:val="both"/>
              <w:rPr>
                <w:rFonts w:ascii="Times New Roman" w:eastAsia="Calibri" w:hAnsi="Times New Roman" w:cs="Times New Roman"/>
                <w:bCs/>
              </w:rPr>
            </w:pPr>
          </w:p>
          <w:p w14:paraId="26DC55A8" w14:textId="77777777" w:rsidR="00310C66" w:rsidRPr="00985B6F" w:rsidRDefault="00310C66" w:rsidP="00310C66">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6DCECBEB" w14:textId="77777777" w:rsidR="00310C66" w:rsidRPr="00310C66" w:rsidRDefault="00310C66" w:rsidP="00310C66">
            <w:pPr>
              <w:jc w:val="both"/>
              <w:rPr>
                <w:rFonts w:ascii="Times New Roman" w:hAnsi="Times New Roman" w:cs="Times New Roman"/>
                <w:shd w:val="clear" w:color="auto" w:fill="FFFFFF"/>
              </w:rPr>
            </w:pPr>
            <w:r w:rsidRPr="00310C66">
              <w:rPr>
                <w:rFonts w:ascii="Times New Roman" w:hAnsi="Times New Roman" w:cs="Times New Roman"/>
                <w:shd w:val="clear" w:color="auto" w:fill="FFFFFF"/>
              </w:rPr>
              <w:t xml:space="preserve">Пунктом 3 Протоколу відкритого обговорення </w:t>
            </w:r>
            <w:proofErr w:type="spellStart"/>
            <w:r w:rsidRPr="00310C66">
              <w:rPr>
                <w:rFonts w:ascii="Times New Roman" w:hAnsi="Times New Roman" w:cs="Times New Roman"/>
                <w:shd w:val="clear" w:color="auto" w:fill="FFFFFF"/>
              </w:rPr>
              <w:t>проєкту</w:t>
            </w:r>
            <w:proofErr w:type="spellEnd"/>
            <w:r w:rsidRPr="00310C66">
              <w:rPr>
                <w:rFonts w:ascii="Times New Roman" w:hAnsi="Times New Roman" w:cs="Times New Roman"/>
                <w:shd w:val="clear" w:color="auto" w:fill="FFFFFF"/>
              </w:rPr>
              <w:t xml:space="preserve"> постанови НКРЕКП «Про затвердження Змін до деяких постанов НКРЕКП», що має ознаки регуляторного </w:t>
            </w:r>
            <w:proofErr w:type="spellStart"/>
            <w:r w:rsidRPr="00310C66">
              <w:rPr>
                <w:rFonts w:ascii="Times New Roman" w:hAnsi="Times New Roman" w:cs="Times New Roman"/>
                <w:shd w:val="clear" w:color="auto" w:fill="FFFFFF"/>
              </w:rPr>
              <w:t>акта</w:t>
            </w:r>
            <w:proofErr w:type="spellEnd"/>
            <w:r w:rsidRPr="00310C66">
              <w:rPr>
                <w:rFonts w:ascii="Times New Roman" w:hAnsi="Times New Roman" w:cs="Times New Roman"/>
                <w:shd w:val="clear" w:color="auto" w:fill="FFFFFF"/>
              </w:rPr>
              <w:t xml:space="preserve">, від 22.03.2024 № 29-П, передбачено розроблення </w:t>
            </w:r>
            <w:proofErr w:type="spellStart"/>
            <w:r w:rsidRPr="00310C66">
              <w:rPr>
                <w:rFonts w:ascii="Times New Roman" w:hAnsi="Times New Roman" w:cs="Times New Roman"/>
                <w:shd w:val="clear" w:color="auto" w:fill="FFFFFF"/>
              </w:rPr>
              <w:t>проєкту</w:t>
            </w:r>
            <w:proofErr w:type="spellEnd"/>
            <w:r w:rsidRPr="00310C66">
              <w:rPr>
                <w:rFonts w:ascii="Times New Roman" w:hAnsi="Times New Roman" w:cs="Times New Roman"/>
                <w:shd w:val="clear" w:color="auto" w:fill="FFFFFF"/>
              </w:rPr>
              <w:t xml:space="preserve"> змін до Порядку контролю з метою уточнення окремих його положень щодо непоширення його дії на порушення, що стосуються зловживань на оптовому енергетичному ринку.</w:t>
            </w:r>
          </w:p>
          <w:p w14:paraId="3171F7EC" w14:textId="77777777" w:rsidR="00310C66" w:rsidRPr="00310C66" w:rsidRDefault="00310C66" w:rsidP="00310C66">
            <w:pPr>
              <w:jc w:val="both"/>
              <w:rPr>
                <w:rFonts w:ascii="Times New Roman" w:hAnsi="Times New Roman" w:cs="Times New Roman"/>
                <w:shd w:val="clear" w:color="auto" w:fill="FFFFFF"/>
              </w:rPr>
            </w:pPr>
            <w:r w:rsidRPr="00310C66">
              <w:rPr>
                <w:rFonts w:ascii="Times New Roman" w:hAnsi="Times New Roman" w:cs="Times New Roman"/>
                <w:shd w:val="clear" w:color="auto" w:fill="FFFFFF"/>
              </w:rPr>
              <w:t xml:space="preserve">В Аналізі впливу </w:t>
            </w:r>
            <w:proofErr w:type="spellStart"/>
            <w:r w:rsidRPr="00310C66">
              <w:rPr>
                <w:rFonts w:ascii="Times New Roman" w:hAnsi="Times New Roman" w:cs="Times New Roman"/>
                <w:shd w:val="clear" w:color="auto" w:fill="FFFFFF"/>
              </w:rPr>
              <w:t>проєкту</w:t>
            </w:r>
            <w:proofErr w:type="spellEnd"/>
            <w:r w:rsidRPr="00310C66">
              <w:rPr>
                <w:rFonts w:ascii="Times New Roman" w:hAnsi="Times New Roman" w:cs="Times New Roman"/>
                <w:shd w:val="clear" w:color="auto" w:fill="FFFFFF"/>
              </w:rPr>
              <w:t xml:space="preserve"> 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має ознаки регуляторного </w:t>
            </w:r>
            <w:proofErr w:type="spellStart"/>
            <w:r w:rsidRPr="00310C66">
              <w:rPr>
                <w:rFonts w:ascii="Times New Roman" w:hAnsi="Times New Roman" w:cs="Times New Roman"/>
                <w:shd w:val="clear" w:color="auto" w:fill="FFFFFF"/>
              </w:rPr>
              <w:t>акта</w:t>
            </w:r>
            <w:proofErr w:type="spellEnd"/>
            <w:r w:rsidRPr="00310C66">
              <w:rPr>
                <w:rFonts w:ascii="Times New Roman" w:hAnsi="Times New Roman" w:cs="Times New Roman"/>
                <w:shd w:val="clear" w:color="auto" w:fill="FFFFFF"/>
              </w:rPr>
              <w:t>, також зазначено, що він розроблений з метою непоширення дії Порядку контролю на порушення, що стосуються зловживань на оптовому енергетичному ринку.</w:t>
            </w:r>
          </w:p>
          <w:p w14:paraId="3DE57593" w14:textId="7C40F4D1" w:rsidR="00310C66" w:rsidRDefault="00310C66" w:rsidP="00310C66">
            <w:pPr>
              <w:jc w:val="both"/>
              <w:rPr>
                <w:rFonts w:ascii="Times New Roman" w:eastAsia="Calibri" w:hAnsi="Times New Roman" w:cs="Times New Roman"/>
                <w:bCs/>
              </w:rPr>
            </w:pPr>
            <w:r w:rsidRPr="00310C66">
              <w:rPr>
                <w:rFonts w:ascii="Times New Roman" w:hAnsi="Times New Roman" w:cs="Times New Roman"/>
                <w:shd w:val="clear" w:color="auto" w:fill="FFFFFF"/>
              </w:rPr>
              <w:t>Отже, враховуючи вищевикладене, пропонуємо прибрати з Переліку питань для перевірки дотримання вимог законодавства та ліцензійних умов провадження господарської діяльності з перепродажу електричної енергії (</w:t>
            </w:r>
            <w:proofErr w:type="spellStart"/>
            <w:r w:rsidRPr="00310C66">
              <w:rPr>
                <w:rFonts w:ascii="Times New Roman" w:hAnsi="Times New Roman" w:cs="Times New Roman"/>
                <w:shd w:val="clear" w:color="auto" w:fill="FFFFFF"/>
              </w:rPr>
              <w:t>трейдерської</w:t>
            </w:r>
            <w:proofErr w:type="spellEnd"/>
            <w:r w:rsidRPr="00310C66">
              <w:rPr>
                <w:rFonts w:ascii="Times New Roman" w:hAnsi="Times New Roman" w:cs="Times New Roman"/>
                <w:shd w:val="clear" w:color="auto" w:fill="FFFFFF"/>
              </w:rPr>
              <w:t xml:space="preserve"> діяльності) та постачання електричної енергії, питання, що стосуються зловживань на оптовому </w:t>
            </w:r>
            <w:r w:rsidRPr="00310C66">
              <w:rPr>
                <w:rFonts w:ascii="Times New Roman" w:hAnsi="Times New Roman" w:cs="Times New Roman"/>
                <w:shd w:val="clear" w:color="auto" w:fill="FFFFFF"/>
              </w:rPr>
              <w:lastRenderedPageBreak/>
              <w:t>енергетичному ринку, а саме питання маніпулювання цінами на оптових енергетичних ринках.</w:t>
            </w:r>
          </w:p>
          <w:p w14:paraId="76210450" w14:textId="77777777" w:rsidR="00310C66" w:rsidRPr="00985B6F" w:rsidRDefault="00310C66" w:rsidP="00985B6F">
            <w:pPr>
              <w:jc w:val="center"/>
              <w:rPr>
                <w:rFonts w:ascii="Times New Roman" w:hAnsi="Times New Roman" w:cs="Times New Roman"/>
                <w:b/>
                <w:shd w:val="clear" w:color="auto" w:fill="FFFFFF"/>
              </w:rPr>
            </w:pPr>
          </w:p>
        </w:tc>
        <w:tc>
          <w:tcPr>
            <w:tcW w:w="1528" w:type="pct"/>
          </w:tcPr>
          <w:p w14:paraId="3522E6AE" w14:textId="77777777" w:rsidR="00A02DBE" w:rsidRDefault="00A02DBE" w:rsidP="00A02DBE">
            <w:pPr>
              <w:jc w:val="both"/>
              <w:rPr>
                <w:rFonts w:ascii="Times New Roman" w:hAnsi="Times New Roman" w:cs="Times New Roman"/>
                <w:b/>
                <w:shd w:val="clear" w:color="auto" w:fill="FFFFFF"/>
              </w:rPr>
            </w:pPr>
            <w:r>
              <w:rPr>
                <w:rFonts w:ascii="Times New Roman" w:hAnsi="Times New Roman" w:cs="Times New Roman"/>
                <w:b/>
                <w:shd w:val="clear" w:color="auto" w:fill="FFFFFF"/>
              </w:rPr>
              <w:lastRenderedPageBreak/>
              <w:t>Не враховано</w:t>
            </w:r>
          </w:p>
          <w:p w14:paraId="16F876C8" w14:textId="77777777" w:rsidR="00A02DBE" w:rsidRDefault="00A02DBE" w:rsidP="00A02DBE">
            <w:pPr>
              <w:jc w:val="both"/>
              <w:rPr>
                <w:rFonts w:ascii="Times New Roman" w:hAnsi="Times New Roman" w:cs="Times New Roman"/>
                <w:b/>
                <w:shd w:val="clear" w:color="auto" w:fill="FFFFFF"/>
              </w:rPr>
            </w:pPr>
          </w:p>
          <w:p w14:paraId="54F19AC4" w14:textId="77777777" w:rsidR="00A02DBE" w:rsidRDefault="00A02DBE" w:rsidP="00A02DBE">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ще не набрала чинності відповідна постанова </w:t>
            </w:r>
            <w:r w:rsidRPr="00A02DBE">
              <w:rPr>
                <w:rFonts w:ascii="Times New Roman" w:hAnsi="Times New Roman" w:cs="Times New Roman"/>
                <w:shd w:val="clear" w:color="auto" w:fill="FFFFFF"/>
              </w:rPr>
              <w:t>НКРЕКП «Про затвердження Змін до деяких постанов НКРЕКП»</w:t>
            </w:r>
            <w:r>
              <w:rPr>
                <w:rFonts w:ascii="Times New Roman" w:hAnsi="Times New Roman" w:cs="Times New Roman"/>
                <w:shd w:val="clear" w:color="auto" w:fill="FFFFFF"/>
              </w:rPr>
              <w:t>.</w:t>
            </w:r>
          </w:p>
          <w:p w14:paraId="6BAF5CE2" w14:textId="53CB2F50" w:rsidR="00310C66" w:rsidRPr="00985B6F" w:rsidRDefault="00A02DBE" w:rsidP="00A02DBE">
            <w:pPr>
              <w:jc w:val="both"/>
              <w:rPr>
                <w:rFonts w:ascii="Times New Roman" w:hAnsi="Times New Roman" w:cs="Times New Roman"/>
                <w:b/>
                <w:shd w:val="clear" w:color="auto" w:fill="FFFFFF"/>
              </w:rPr>
            </w:pPr>
            <w:r>
              <w:rPr>
                <w:rFonts w:ascii="Times New Roman" w:hAnsi="Times New Roman" w:cs="Times New Roman"/>
                <w:shd w:val="clear" w:color="auto" w:fill="FFFFFF"/>
              </w:rPr>
              <w:t xml:space="preserve">Проте відповідні зміни планується </w:t>
            </w:r>
            <w:proofErr w:type="spellStart"/>
            <w:r>
              <w:rPr>
                <w:rFonts w:ascii="Times New Roman" w:hAnsi="Times New Roman" w:cs="Times New Roman"/>
                <w:shd w:val="clear" w:color="auto" w:fill="FFFFFF"/>
              </w:rPr>
              <w:t>внести</w:t>
            </w:r>
            <w:proofErr w:type="spellEnd"/>
            <w:r>
              <w:rPr>
                <w:rFonts w:ascii="Times New Roman" w:hAnsi="Times New Roman" w:cs="Times New Roman"/>
                <w:shd w:val="clear" w:color="auto" w:fill="FFFFFF"/>
              </w:rPr>
              <w:t xml:space="preserve"> у найближчий час після набрання чинності вказаної постанови</w:t>
            </w:r>
          </w:p>
        </w:tc>
      </w:tr>
      <w:tr w:rsidR="005133E6" w:rsidRPr="00985B6F" w14:paraId="6DD0EEC6" w14:textId="77777777" w:rsidTr="00250C42">
        <w:trPr>
          <w:trHeight w:val="367"/>
        </w:trPr>
        <w:tc>
          <w:tcPr>
            <w:tcW w:w="5000" w:type="pct"/>
            <w:gridSpan w:val="3"/>
          </w:tcPr>
          <w:p w14:paraId="1DB2C233" w14:textId="7EFD0841" w:rsidR="005133E6" w:rsidRPr="00985B6F" w:rsidRDefault="005133E6" w:rsidP="00985B6F">
            <w:pPr>
              <w:jc w:val="center"/>
              <w:rPr>
                <w:rFonts w:ascii="Times New Roman" w:hAnsi="Times New Roman" w:cs="Times New Roman"/>
                <w:b/>
                <w:shd w:val="clear" w:color="auto" w:fill="FFFFFF"/>
              </w:rPr>
            </w:pPr>
            <w:r w:rsidRPr="00985B6F">
              <w:rPr>
                <w:rFonts w:ascii="Times New Roman" w:hAnsi="Times New Roman" w:cs="Times New Roman"/>
                <w:b/>
                <w:shd w:val="clear" w:color="auto" w:fill="FFFFFF"/>
              </w:rPr>
              <w:t>Додаток 27 «Методика 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r w:rsidR="00310C66">
              <w:rPr>
                <w:rFonts w:ascii="Times New Roman" w:hAnsi="Times New Roman" w:cs="Times New Roman"/>
                <w:b/>
                <w:shd w:val="clear" w:color="auto" w:fill="FFFFFF"/>
              </w:rPr>
              <w:t>»</w:t>
            </w:r>
          </w:p>
        </w:tc>
      </w:tr>
      <w:tr w:rsidR="005133E6" w:rsidRPr="00985B6F" w14:paraId="573202D3" w14:textId="77777777" w:rsidTr="00250C42">
        <w:trPr>
          <w:trHeight w:val="367"/>
        </w:trPr>
        <w:tc>
          <w:tcPr>
            <w:tcW w:w="1758" w:type="pct"/>
          </w:tcPr>
          <w:p w14:paraId="3B7011DA" w14:textId="2C0EB0B8" w:rsidR="00250C42" w:rsidRPr="00985B6F" w:rsidRDefault="00250C42" w:rsidP="00985B6F">
            <w:pPr>
              <w:jc w:val="both"/>
              <w:rPr>
                <w:rFonts w:ascii="Times New Roman" w:hAnsi="Times New Roman" w:cs="Times New Roman"/>
                <w:b/>
                <w:bCs/>
                <w:color w:val="C00000"/>
                <w:shd w:val="clear" w:color="auto" w:fill="FFFFFF"/>
              </w:rPr>
            </w:pPr>
            <w:r w:rsidRPr="00985B6F">
              <w:rPr>
                <w:rFonts w:ascii="Times New Roman" w:hAnsi="Times New Roman" w:cs="Times New Roman"/>
                <w:b/>
                <w:bCs/>
                <w:color w:val="C00000"/>
                <w:shd w:val="clear" w:color="auto" w:fill="FFFFFF"/>
              </w:rPr>
              <w:t>ЗМІНИ НЕ ПРОПОНУВАЛИСЬ</w:t>
            </w:r>
          </w:p>
          <w:p w14:paraId="540227E1" w14:textId="77777777" w:rsidR="00250C42" w:rsidRPr="00985B6F" w:rsidRDefault="00250C42" w:rsidP="00985B6F">
            <w:pPr>
              <w:jc w:val="both"/>
              <w:rPr>
                <w:rFonts w:ascii="Times New Roman" w:hAnsi="Times New Roman" w:cs="Times New Roman"/>
                <w:bCs/>
                <w:shd w:val="clear" w:color="auto" w:fill="FFFFFF"/>
              </w:rPr>
            </w:pPr>
          </w:p>
          <w:p w14:paraId="6C2F6D77" w14:textId="5569B99A" w:rsidR="005133E6" w:rsidRPr="00985B6F" w:rsidRDefault="005133E6" w:rsidP="00985B6F">
            <w:pPr>
              <w:jc w:val="both"/>
              <w:rPr>
                <w:rFonts w:ascii="Times New Roman" w:hAnsi="Times New Roman" w:cs="Times New Roman"/>
              </w:rPr>
            </w:pPr>
            <w:r w:rsidRPr="00985B6F">
              <w:rPr>
                <w:rFonts w:ascii="Times New Roman" w:hAnsi="Times New Roman" w:cs="Times New Roman"/>
                <w:bCs/>
                <w:shd w:val="clear" w:color="auto" w:fill="FFFFFF"/>
              </w:rPr>
              <w:t xml:space="preserve">4. </w:t>
            </w:r>
            <w:r w:rsidRPr="00985B6F">
              <w:rPr>
                <w:rFonts w:ascii="Times New Roman" w:hAnsi="Times New Roman" w:cs="Times New Roman"/>
              </w:rPr>
              <w:t>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0F89179A" w14:textId="69B08286" w:rsidR="005133E6" w:rsidRPr="00985B6F" w:rsidRDefault="005133E6" w:rsidP="00985B6F">
            <w:pPr>
              <w:jc w:val="both"/>
              <w:rPr>
                <w:rFonts w:ascii="Times New Roman" w:hAnsi="Times New Roman" w:cs="Times New Roman"/>
              </w:rPr>
            </w:pPr>
            <w:r w:rsidRPr="00985B6F">
              <w:rPr>
                <w:rFonts w:ascii="Times New Roman" w:hAnsi="Times New Roman" w:cs="Times New Roman"/>
              </w:rPr>
              <w:t>….</w:t>
            </w:r>
          </w:p>
          <w:p w14:paraId="27BB3149" w14:textId="77777777" w:rsidR="005133E6" w:rsidRPr="00985B6F" w:rsidRDefault="005133E6" w:rsidP="00985B6F">
            <w:pPr>
              <w:jc w:val="both"/>
              <w:rPr>
                <w:rFonts w:ascii="Times New Roman" w:hAnsi="Times New Roman" w:cs="Times New Roman"/>
              </w:rPr>
            </w:pPr>
            <w:r w:rsidRPr="00985B6F">
              <w:rPr>
                <w:rFonts w:ascii="Times New Roman" w:hAnsi="Times New Roman" w:cs="Times New Roman"/>
              </w:rPr>
              <w:t>13) фактична сума витрат відповідно до даних за формою звітності № 1- НКРЕКП-передача електричної енергії за статтями:</w:t>
            </w:r>
          </w:p>
          <w:p w14:paraId="3A82DA1A" w14:textId="77777777" w:rsidR="005133E6" w:rsidRPr="00985B6F" w:rsidRDefault="005133E6" w:rsidP="00985B6F">
            <w:pPr>
              <w:jc w:val="both"/>
              <w:rPr>
                <w:rFonts w:ascii="Times New Roman" w:hAnsi="Times New Roman" w:cs="Times New Roman"/>
                <w:bCs/>
              </w:rPr>
            </w:pPr>
            <w:r w:rsidRPr="00985B6F">
              <w:rPr>
                <w:rFonts w:ascii="Times New Roman" w:hAnsi="Times New Roman" w:cs="Times New Roman"/>
                <w:bCs/>
              </w:rPr>
              <w:t>….</w:t>
            </w:r>
          </w:p>
          <w:p w14:paraId="6C248BDD" w14:textId="3EED4E62" w:rsidR="005133E6" w:rsidRPr="00985B6F" w:rsidRDefault="005133E6" w:rsidP="00985B6F">
            <w:pPr>
              <w:jc w:val="both"/>
              <w:rPr>
                <w:rFonts w:ascii="Times New Roman" w:hAnsi="Times New Roman" w:cs="Times New Roman"/>
                <w:bCs/>
                <w:shd w:val="clear" w:color="auto" w:fill="FFFFFF"/>
              </w:rPr>
            </w:pPr>
            <w:r w:rsidRPr="00985B6F">
              <w:rPr>
                <w:rFonts w:ascii="Times New Roman" w:hAnsi="Times New Roman" w:cs="Times New Roman"/>
              </w:rPr>
              <w:t>«Сировина і матеріали», «Витрати на паспортизацію будівель і споруд та державну реєстрацію речових прав на нерухоме майно», в тому числі «витрати на оформлення прав користування земельними ділянками» з урахуванням капіталізованих витрат за бухгалтерським обліком при виконанні діяльності з передачі електричної енергії відповідно до графи 11 «Інше» (фактично);»</w:t>
            </w:r>
          </w:p>
        </w:tc>
        <w:tc>
          <w:tcPr>
            <w:tcW w:w="1714" w:type="pct"/>
          </w:tcPr>
          <w:p w14:paraId="7C8F074D" w14:textId="77777777" w:rsidR="00250C42" w:rsidRPr="00985B6F" w:rsidRDefault="00250C42" w:rsidP="00985B6F">
            <w:pPr>
              <w:jc w:val="both"/>
              <w:rPr>
                <w:rFonts w:ascii="Times New Roman" w:hAnsi="Times New Roman" w:cs="Times New Roman"/>
                <w:bCs/>
                <w:i/>
                <w:shd w:val="clear" w:color="auto" w:fill="FFFFFF"/>
              </w:rPr>
            </w:pPr>
            <w:r w:rsidRPr="00985B6F">
              <w:rPr>
                <w:rFonts w:ascii="Times New Roman" w:hAnsi="Times New Roman" w:cs="Times New Roman"/>
                <w:bCs/>
                <w:i/>
                <w:shd w:val="clear" w:color="auto" w:fill="FFFFFF"/>
              </w:rPr>
              <w:t>НЕК «УКРЕНЕРГО»</w:t>
            </w:r>
          </w:p>
          <w:p w14:paraId="34C3332A" w14:textId="77777777" w:rsidR="00250C42" w:rsidRPr="00985B6F" w:rsidRDefault="00250C42" w:rsidP="00985B6F">
            <w:pPr>
              <w:jc w:val="both"/>
              <w:rPr>
                <w:rFonts w:ascii="Times New Roman" w:hAnsi="Times New Roman" w:cs="Times New Roman"/>
                <w:bCs/>
                <w:shd w:val="clear" w:color="auto" w:fill="FFFFFF"/>
              </w:rPr>
            </w:pPr>
          </w:p>
          <w:p w14:paraId="51D82A2F" w14:textId="161813FB" w:rsidR="005133E6" w:rsidRPr="00985B6F" w:rsidRDefault="005133E6" w:rsidP="00985B6F">
            <w:pPr>
              <w:jc w:val="both"/>
              <w:rPr>
                <w:rFonts w:ascii="Times New Roman" w:hAnsi="Times New Roman" w:cs="Times New Roman"/>
              </w:rPr>
            </w:pPr>
            <w:r w:rsidRPr="00985B6F">
              <w:rPr>
                <w:rFonts w:ascii="Times New Roman" w:hAnsi="Times New Roman" w:cs="Times New Roman"/>
                <w:bCs/>
                <w:shd w:val="clear" w:color="auto" w:fill="FFFFFF"/>
              </w:rPr>
              <w:t xml:space="preserve">4. </w:t>
            </w:r>
            <w:r w:rsidRPr="00985B6F">
              <w:rPr>
                <w:rFonts w:ascii="Times New Roman" w:hAnsi="Times New Roman" w:cs="Times New Roman"/>
              </w:rPr>
              <w:t>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6CD72CE8" w14:textId="77777777" w:rsidR="005133E6" w:rsidRPr="00985B6F" w:rsidRDefault="005133E6" w:rsidP="00985B6F">
            <w:pPr>
              <w:jc w:val="both"/>
              <w:rPr>
                <w:rFonts w:ascii="Times New Roman" w:hAnsi="Times New Roman" w:cs="Times New Roman"/>
              </w:rPr>
            </w:pPr>
            <w:r w:rsidRPr="00985B6F">
              <w:rPr>
                <w:rFonts w:ascii="Times New Roman" w:hAnsi="Times New Roman" w:cs="Times New Roman"/>
              </w:rPr>
              <w:t>….</w:t>
            </w:r>
          </w:p>
          <w:p w14:paraId="15E2A656" w14:textId="77777777" w:rsidR="005133E6" w:rsidRPr="00985B6F" w:rsidRDefault="005133E6" w:rsidP="00985B6F">
            <w:pPr>
              <w:jc w:val="both"/>
              <w:rPr>
                <w:rFonts w:ascii="Times New Roman" w:hAnsi="Times New Roman" w:cs="Times New Roman"/>
              </w:rPr>
            </w:pPr>
            <w:r w:rsidRPr="00985B6F">
              <w:rPr>
                <w:rFonts w:ascii="Times New Roman" w:hAnsi="Times New Roman" w:cs="Times New Roman"/>
              </w:rPr>
              <w:t>13) фактична сума витрат відповідно до даних за формою звітності № 1- НКРЕКП-передача електричної енергії за статтями:</w:t>
            </w:r>
          </w:p>
          <w:p w14:paraId="3313F401" w14:textId="77777777" w:rsidR="005133E6" w:rsidRPr="00985B6F" w:rsidRDefault="005133E6" w:rsidP="00985B6F">
            <w:pPr>
              <w:jc w:val="both"/>
              <w:rPr>
                <w:rFonts w:ascii="Times New Roman" w:hAnsi="Times New Roman" w:cs="Times New Roman"/>
                <w:bCs/>
              </w:rPr>
            </w:pPr>
            <w:r w:rsidRPr="00985B6F">
              <w:rPr>
                <w:rFonts w:ascii="Times New Roman" w:hAnsi="Times New Roman" w:cs="Times New Roman"/>
                <w:bCs/>
              </w:rPr>
              <w:t>….</w:t>
            </w:r>
          </w:p>
          <w:p w14:paraId="460428C3" w14:textId="77777777" w:rsidR="005133E6" w:rsidRPr="00985B6F" w:rsidRDefault="005133E6" w:rsidP="00985B6F">
            <w:pPr>
              <w:jc w:val="both"/>
              <w:rPr>
                <w:rFonts w:ascii="Times New Roman" w:hAnsi="Times New Roman" w:cs="Times New Roman"/>
              </w:rPr>
            </w:pPr>
            <w:r w:rsidRPr="00985B6F">
              <w:rPr>
                <w:rFonts w:ascii="Times New Roman" w:hAnsi="Times New Roman" w:cs="Times New Roman"/>
              </w:rPr>
              <w:t xml:space="preserve">«Сировина і матеріали», «Витрати на паспортизацію будівель і споруд та державну реєстрацію речових прав на нерухоме майно», в тому числі «витрати на оформлення прав користування земельними ділянками», </w:t>
            </w:r>
            <w:r w:rsidRPr="00985B6F">
              <w:rPr>
                <w:rFonts w:ascii="Times New Roman" w:hAnsi="Times New Roman" w:cs="Times New Roman"/>
                <w:b/>
                <w:bCs/>
              </w:rPr>
              <w:t>«витрати на охорону праці»</w:t>
            </w:r>
            <w:r w:rsidRPr="00985B6F">
              <w:rPr>
                <w:rFonts w:ascii="Times New Roman" w:hAnsi="Times New Roman" w:cs="Times New Roman"/>
              </w:rPr>
              <w:t xml:space="preserve"> з урахуванням капіталізованих витрат за бухгалтерським обліком при виконанні діяльності з передачі електричної енергії відповідно до графи 11 «Інше» (фактично);»</w:t>
            </w:r>
          </w:p>
          <w:p w14:paraId="19294AEE" w14:textId="77777777" w:rsidR="008002A6" w:rsidRPr="00985B6F" w:rsidRDefault="008002A6" w:rsidP="00985B6F">
            <w:pPr>
              <w:jc w:val="both"/>
              <w:rPr>
                <w:rFonts w:ascii="Times New Roman" w:hAnsi="Times New Roman" w:cs="Times New Roman"/>
                <w:bCs/>
                <w:shd w:val="clear" w:color="auto" w:fill="FFFFFF"/>
              </w:rPr>
            </w:pPr>
          </w:p>
          <w:p w14:paraId="1CD25C58" w14:textId="77777777" w:rsidR="008002A6"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51169A57" w14:textId="5F2DCFFF"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Cs/>
                <w:shd w:val="clear" w:color="auto" w:fill="FFFFFF"/>
              </w:rPr>
              <w:t xml:space="preserve">На виконання вимог Наказу Міністерства енергетики від 12.08.2023 №242 НЕК «Укренерго» здійснила заходи щодо встановлення </w:t>
            </w:r>
            <w:r w:rsidRPr="00985B6F">
              <w:rPr>
                <w:rFonts w:ascii="Times New Roman" w:hAnsi="Times New Roman" w:cs="Times New Roman"/>
              </w:rPr>
              <w:t>захисних споруд цивільного захисту, які були капіталізовані відповідно до вимог Міжнародних стандартів бухгалтерського обліку та звітності, та вимагають відображення у звітності 1-НКРЕКП.</w:t>
            </w:r>
          </w:p>
        </w:tc>
        <w:tc>
          <w:tcPr>
            <w:tcW w:w="1528" w:type="pct"/>
          </w:tcPr>
          <w:p w14:paraId="39AA8ADF" w14:textId="77777777" w:rsidR="005133E6" w:rsidRDefault="005133E6" w:rsidP="00985B6F">
            <w:pPr>
              <w:jc w:val="both"/>
              <w:rPr>
                <w:rFonts w:ascii="Times New Roman" w:hAnsi="Times New Roman" w:cs="Times New Roman"/>
                <w:bCs/>
                <w:shd w:val="clear" w:color="auto" w:fill="FFFFFF"/>
              </w:rPr>
            </w:pPr>
          </w:p>
          <w:p w14:paraId="7AA38FFB" w14:textId="77777777" w:rsidR="00A66D81" w:rsidRDefault="00A66D81" w:rsidP="00985B6F">
            <w:pPr>
              <w:jc w:val="both"/>
              <w:rPr>
                <w:rFonts w:ascii="Times New Roman" w:hAnsi="Times New Roman" w:cs="Times New Roman"/>
                <w:bCs/>
                <w:shd w:val="clear" w:color="auto" w:fill="FFFFFF"/>
              </w:rPr>
            </w:pPr>
          </w:p>
          <w:p w14:paraId="575C7CE3" w14:textId="77777777" w:rsidR="00A66D81" w:rsidRPr="00A02DBE" w:rsidRDefault="00A66D81" w:rsidP="00985B6F">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7F6318F1" w14:textId="37BAB9D3" w:rsidR="00A66D81" w:rsidRPr="00A02DBE" w:rsidRDefault="00A66D81" w:rsidP="00985B6F">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03651061" w14:textId="3A00084E" w:rsidR="00A66D81" w:rsidRPr="00A66D81" w:rsidRDefault="00A66D81" w:rsidP="00985B6F">
            <w:pPr>
              <w:jc w:val="both"/>
              <w:rPr>
                <w:rFonts w:ascii="Times New Roman" w:hAnsi="Times New Roman" w:cs="Times New Roman"/>
                <w:b/>
                <w:shd w:val="clear" w:color="auto" w:fill="FFFFFF"/>
              </w:rPr>
            </w:pPr>
            <w:r w:rsidRPr="00A02DBE">
              <w:rPr>
                <w:rFonts w:ascii="Times New Roman" w:hAnsi="Times New Roman" w:cs="Times New Roman"/>
                <w:shd w:val="clear" w:color="auto" w:fill="FFFFFF"/>
              </w:rPr>
              <w:t xml:space="preserve">Пропонується </w:t>
            </w:r>
            <w:r w:rsidR="00A02DBE" w:rsidRPr="00A02DBE">
              <w:rPr>
                <w:rFonts w:ascii="Times New Roman" w:hAnsi="Times New Roman" w:cs="Times New Roman"/>
                <w:shd w:val="clear" w:color="auto" w:fill="FFFFFF"/>
              </w:rPr>
              <w:t xml:space="preserve">більш детально </w:t>
            </w:r>
            <w:r w:rsidRPr="00A02DBE">
              <w:rPr>
                <w:rFonts w:ascii="Times New Roman" w:hAnsi="Times New Roman" w:cs="Times New Roman"/>
                <w:shd w:val="clear" w:color="auto" w:fill="FFFFFF"/>
              </w:rPr>
              <w:t xml:space="preserve">розглянути </w:t>
            </w:r>
            <w:r w:rsidR="00A02DBE" w:rsidRPr="00A02DBE">
              <w:rPr>
                <w:rFonts w:ascii="Times New Roman" w:hAnsi="Times New Roman" w:cs="Times New Roman"/>
                <w:shd w:val="clear" w:color="auto" w:fill="FFFFFF"/>
              </w:rPr>
              <w:t xml:space="preserve">відповідні пропозиції </w:t>
            </w:r>
            <w:r w:rsidRPr="00A02DBE">
              <w:rPr>
                <w:rFonts w:ascii="Times New Roman" w:hAnsi="Times New Roman" w:cs="Times New Roman"/>
                <w:shd w:val="clear" w:color="auto" w:fill="FFFFFF"/>
              </w:rPr>
              <w:t xml:space="preserve">під час формування наступних змін до </w:t>
            </w:r>
            <w:r w:rsidR="00A02DBE" w:rsidRPr="00A02DBE">
              <w:rPr>
                <w:rFonts w:ascii="Times New Roman" w:hAnsi="Times New Roman" w:cs="Times New Roman"/>
                <w:shd w:val="clear" w:color="auto" w:fill="FFFFFF"/>
              </w:rPr>
              <w:t>відповідного додатку до Порядку контролю</w:t>
            </w:r>
          </w:p>
        </w:tc>
      </w:tr>
      <w:tr w:rsidR="004630FF" w:rsidRPr="00985B6F" w14:paraId="2DC4DA66" w14:textId="77777777" w:rsidTr="00250C42">
        <w:trPr>
          <w:trHeight w:val="367"/>
        </w:trPr>
        <w:tc>
          <w:tcPr>
            <w:tcW w:w="5000" w:type="pct"/>
            <w:gridSpan w:val="3"/>
          </w:tcPr>
          <w:p w14:paraId="58902AC0" w14:textId="06F1FA3E" w:rsidR="004630FF" w:rsidRPr="00985B6F" w:rsidRDefault="005133E6" w:rsidP="00985B6F">
            <w:pPr>
              <w:jc w:val="center"/>
              <w:rPr>
                <w:rFonts w:ascii="Times New Roman" w:hAnsi="Times New Roman" w:cs="Times New Roman"/>
                <w:b/>
                <w:shd w:val="clear" w:color="auto" w:fill="FFFFFF"/>
              </w:rPr>
            </w:pPr>
            <w:r w:rsidRPr="00985B6F">
              <w:rPr>
                <w:rFonts w:ascii="Times New Roman" w:hAnsi="Times New Roman" w:cs="Times New Roman"/>
                <w:b/>
                <w:shd w:val="clear" w:color="auto" w:fill="FFFFFF"/>
              </w:rPr>
              <w:t>Додаток 28 «Методика визначення сум надлишково отриманого або недоотриманого доходу оператора системи передачі від здійснення діяльності з диспетчерського (</w:t>
            </w:r>
            <w:proofErr w:type="spellStart"/>
            <w:r w:rsidRPr="00985B6F">
              <w:rPr>
                <w:rFonts w:ascii="Times New Roman" w:hAnsi="Times New Roman" w:cs="Times New Roman"/>
                <w:b/>
                <w:shd w:val="clear" w:color="auto" w:fill="FFFFFF"/>
              </w:rPr>
              <w:t>оперативно</w:t>
            </w:r>
            <w:proofErr w:type="spellEnd"/>
            <w:r w:rsidRPr="00985B6F">
              <w:rPr>
                <w:rFonts w:ascii="Times New Roman" w:hAnsi="Times New Roman" w:cs="Times New Roman"/>
                <w:b/>
                <w:shd w:val="clear" w:color="auto" w:fill="FFFFFF"/>
              </w:rPr>
              <w:t>-технологічного) управління</w:t>
            </w:r>
          </w:p>
        </w:tc>
      </w:tr>
      <w:tr w:rsidR="00F86AEA" w:rsidRPr="00985B6F" w14:paraId="460DE926" w14:textId="77777777" w:rsidTr="00250C42">
        <w:trPr>
          <w:trHeight w:val="367"/>
        </w:trPr>
        <w:tc>
          <w:tcPr>
            <w:tcW w:w="1758" w:type="pct"/>
          </w:tcPr>
          <w:p w14:paraId="2E0CBE7C"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hAnsi="Times New Roman" w:cs="Times New Roman"/>
                <w:b/>
                <w:bCs/>
                <w:color w:val="C00000"/>
                <w:shd w:val="clear" w:color="auto" w:fill="FFFFFF"/>
              </w:rPr>
              <w:lastRenderedPageBreak/>
              <w:t>ЗМІНИ НЕ ПРОПОНУВАЛИСЬ</w:t>
            </w:r>
            <w:r w:rsidRPr="00985B6F">
              <w:rPr>
                <w:rFonts w:ascii="Times New Roman" w:eastAsiaTheme="minorEastAsia" w:hAnsi="Times New Roman" w:cs="Times New Roman"/>
                <w:shd w:val="clear" w:color="auto" w:fill="FFFFFF"/>
                <w:lang w:eastAsia="uk-UA"/>
              </w:rPr>
              <w:t xml:space="preserve"> </w:t>
            </w:r>
          </w:p>
          <w:p w14:paraId="6EC281D6"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7FDA365D" w14:textId="39F45DE2" w:rsidR="00521DF2" w:rsidRPr="00985B6F" w:rsidRDefault="00521DF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 xml:space="preserve">4. </w:t>
            </w:r>
            <w:r w:rsidR="005133E6" w:rsidRPr="00985B6F">
              <w:rPr>
                <w:rFonts w:ascii="Times New Roman" w:hAnsi="Times New Roman" w:cs="Times New Roman"/>
                <w:bCs/>
                <w:shd w:val="clear" w:color="auto" w:fill="FFFFFF"/>
              </w:rPr>
              <w:t>З метою визначення об’єктивної суми коштів, отриманої для фінансування ОСП від здійснення діяльності з диспетчерського (</w:t>
            </w:r>
            <w:proofErr w:type="spellStart"/>
            <w:r w:rsidR="005133E6" w:rsidRPr="00985B6F">
              <w:rPr>
                <w:rFonts w:ascii="Times New Roman" w:hAnsi="Times New Roman" w:cs="Times New Roman"/>
                <w:bCs/>
                <w:shd w:val="clear" w:color="auto" w:fill="FFFFFF"/>
              </w:rPr>
              <w:t>оперативно</w:t>
            </w:r>
            <w:proofErr w:type="spellEnd"/>
            <w:r w:rsidR="005133E6" w:rsidRPr="00985B6F">
              <w:rPr>
                <w:rFonts w:ascii="Times New Roman" w:hAnsi="Times New Roman" w:cs="Times New Roman"/>
                <w:bCs/>
                <w:shd w:val="clear" w:color="auto" w:fill="FFFFFF"/>
              </w:rPr>
              <w:t>-технологічного) управління, при проведенні планових або позапланових перевірок в акті перевірки фіксуються такі показники:</w:t>
            </w:r>
          </w:p>
          <w:p w14:paraId="46ACAEA6" w14:textId="755A7640" w:rsidR="00F86AEA" w:rsidRPr="00985B6F" w:rsidRDefault="00B66046" w:rsidP="00985B6F">
            <w:pPr>
              <w:jc w:val="both"/>
              <w:rPr>
                <w:rStyle w:val="st42"/>
                <w:rFonts w:ascii="Times New Roman" w:hAnsi="Times New Roman" w:cs="Times New Roman"/>
              </w:rPr>
            </w:pPr>
            <w:r w:rsidRPr="00985B6F">
              <w:rPr>
                <w:rStyle w:val="st42"/>
                <w:rFonts w:ascii="Times New Roman" w:hAnsi="Times New Roman" w:cs="Times New Roman"/>
              </w:rPr>
              <w:t>….</w:t>
            </w:r>
          </w:p>
          <w:p w14:paraId="6BE42091" w14:textId="77777777" w:rsidR="00804829" w:rsidRPr="00985B6F" w:rsidRDefault="00804829" w:rsidP="00985B6F">
            <w:pPr>
              <w:jc w:val="both"/>
              <w:rPr>
                <w:rFonts w:ascii="Times New Roman" w:hAnsi="Times New Roman" w:cs="Times New Roman"/>
              </w:rPr>
            </w:pPr>
            <w:r w:rsidRPr="00985B6F">
              <w:rPr>
                <w:rFonts w:ascii="Times New Roman" w:hAnsi="Times New Roman" w:cs="Times New Roman"/>
              </w:rPr>
              <w:t>5) фактична сума нарахованих витрат на врегулювання системних обмежень у звітному році (помісячно). У тому числі окремо зазначити суму сальдованого збору за небаланс електричної енергії (субрахунок UA-1) станом на початок та кінець звітного року, а також сум нарахувань та списань за звітний рік (помісячно), розрахованих відповідно до Правил ринку, затверджених постановою НКРЕКП від 14 березня 2018 року № 307 (далі – Правила ринку), на підставі даних:</w:t>
            </w:r>
          </w:p>
          <w:p w14:paraId="23509DFE" w14:textId="77777777" w:rsidR="00804829" w:rsidRPr="00985B6F" w:rsidRDefault="00804829" w:rsidP="00985B6F">
            <w:pPr>
              <w:ind w:firstLine="458"/>
              <w:jc w:val="both"/>
              <w:rPr>
                <w:rFonts w:ascii="Times New Roman" w:hAnsi="Times New Roman" w:cs="Times New Roman"/>
              </w:rPr>
            </w:pPr>
            <w:r w:rsidRPr="00985B6F">
              <w:rPr>
                <w:rFonts w:ascii="Times New Roman" w:hAnsi="Times New Roman" w:cs="Times New Roman"/>
              </w:rPr>
              <w:t>сальдованого значення нарахувань та списань за активовану балансуючу електричну енергію всіх постачальників послуг з балансування (CINSTQ), розрахованого відповідно до Правил ринку;</w:t>
            </w:r>
          </w:p>
          <w:p w14:paraId="6B5B3E65" w14:textId="77777777" w:rsidR="00804829" w:rsidRPr="00985B6F" w:rsidRDefault="00804829" w:rsidP="00985B6F">
            <w:pPr>
              <w:ind w:firstLine="458"/>
              <w:jc w:val="both"/>
              <w:rPr>
                <w:rFonts w:ascii="Times New Roman" w:hAnsi="Times New Roman" w:cs="Times New Roman"/>
              </w:rPr>
            </w:pPr>
            <w:r w:rsidRPr="00985B6F">
              <w:rPr>
                <w:rFonts w:ascii="Times New Roman" w:hAnsi="Times New Roman" w:cs="Times New Roman"/>
              </w:rPr>
              <w:t xml:space="preserve">сальдованого значення нарахувань та списань за небаланс електричної енергії всіх сторін, відповідальних за баланс (CIEQ), що розраховується відповідно до Правил ринку; </w:t>
            </w:r>
          </w:p>
          <w:p w14:paraId="0A8CAE90" w14:textId="77777777" w:rsidR="00804829" w:rsidRPr="00985B6F" w:rsidRDefault="00804829" w:rsidP="00985B6F">
            <w:pPr>
              <w:ind w:firstLine="458"/>
              <w:jc w:val="both"/>
              <w:rPr>
                <w:rFonts w:ascii="Times New Roman" w:hAnsi="Times New Roman" w:cs="Times New Roman"/>
              </w:rPr>
            </w:pPr>
            <w:r w:rsidRPr="00985B6F">
              <w:rPr>
                <w:rFonts w:ascii="Times New Roman" w:hAnsi="Times New Roman" w:cs="Times New Roman"/>
              </w:rPr>
              <w:t xml:space="preserve">сальдованого значення нарахувань та списань за отримання/надання аварійної допомоги відповідно до договорів, укладених з операторами систем передачі суміжних держав та позапланових </w:t>
            </w:r>
            <w:proofErr w:type="spellStart"/>
            <w:r w:rsidRPr="00985B6F">
              <w:rPr>
                <w:rFonts w:ascii="Times New Roman" w:hAnsi="Times New Roman" w:cs="Times New Roman"/>
              </w:rPr>
              <w:t>перетоків</w:t>
            </w:r>
            <w:proofErr w:type="spellEnd"/>
            <w:r w:rsidRPr="00985B6F">
              <w:rPr>
                <w:rFonts w:ascii="Times New Roman" w:hAnsi="Times New Roman" w:cs="Times New Roman"/>
              </w:rPr>
              <w:t xml:space="preserve"> електричної енергії. </w:t>
            </w:r>
          </w:p>
          <w:p w14:paraId="396B9E65" w14:textId="2675A6CC" w:rsidR="00804829" w:rsidRPr="00985B6F" w:rsidRDefault="00804829" w:rsidP="00985B6F">
            <w:pPr>
              <w:ind w:firstLine="458"/>
              <w:jc w:val="both"/>
              <w:rPr>
                <w:rFonts w:ascii="Times New Roman" w:hAnsi="Times New Roman" w:cs="Times New Roman"/>
              </w:rPr>
            </w:pPr>
            <w:r w:rsidRPr="00985B6F">
              <w:rPr>
                <w:rFonts w:ascii="Times New Roman" w:hAnsi="Times New Roman" w:cs="Times New Roman"/>
              </w:rPr>
              <w:t xml:space="preserve">Сума збору за небаланс електричної енергії (субрахунок UA-1) за звітний рік дорівнює сумі сальдованих значень нарахувань та списань за активовану балансуючу електричну енергію всіх постачальників послуг з балансування (CINSTQ) та </w:t>
            </w:r>
            <w:r w:rsidRPr="00985B6F">
              <w:rPr>
                <w:rFonts w:ascii="Times New Roman" w:hAnsi="Times New Roman" w:cs="Times New Roman"/>
              </w:rPr>
              <w:lastRenderedPageBreak/>
              <w:t>нарахувань та списань за небаланс електричної енергії всіх сторін, відповідальних за баланс (CIEQ).»;</w:t>
            </w:r>
          </w:p>
          <w:p w14:paraId="6D3C1427" w14:textId="77777777" w:rsidR="001E2275" w:rsidRPr="00985B6F" w:rsidRDefault="001E2275" w:rsidP="00985B6F">
            <w:pPr>
              <w:jc w:val="both"/>
              <w:rPr>
                <w:rStyle w:val="st42"/>
                <w:rFonts w:ascii="Times New Roman" w:hAnsi="Times New Roman" w:cs="Times New Roman"/>
              </w:rPr>
            </w:pPr>
          </w:p>
          <w:p w14:paraId="447DE217" w14:textId="77777777" w:rsidR="001E2275" w:rsidRPr="00985B6F" w:rsidRDefault="001E2275" w:rsidP="00985B6F">
            <w:pPr>
              <w:jc w:val="both"/>
              <w:rPr>
                <w:rStyle w:val="st42"/>
                <w:rFonts w:ascii="Times New Roman" w:hAnsi="Times New Roman" w:cs="Times New Roman"/>
              </w:rPr>
            </w:pPr>
          </w:p>
          <w:p w14:paraId="3170ECE5" w14:textId="77777777" w:rsidR="001E2275" w:rsidRPr="00985B6F" w:rsidRDefault="001E2275" w:rsidP="00985B6F">
            <w:pPr>
              <w:jc w:val="both"/>
              <w:rPr>
                <w:rStyle w:val="st42"/>
                <w:rFonts w:ascii="Times New Roman" w:hAnsi="Times New Roman" w:cs="Times New Roman"/>
              </w:rPr>
            </w:pPr>
          </w:p>
          <w:p w14:paraId="3EFC5524" w14:textId="77777777" w:rsidR="001E2275" w:rsidRPr="00985B6F" w:rsidRDefault="001E2275" w:rsidP="00985B6F">
            <w:pPr>
              <w:jc w:val="both"/>
              <w:rPr>
                <w:rStyle w:val="st42"/>
                <w:rFonts w:ascii="Times New Roman" w:hAnsi="Times New Roman" w:cs="Times New Roman"/>
              </w:rPr>
            </w:pPr>
          </w:p>
          <w:p w14:paraId="4DA28609" w14:textId="77777777" w:rsidR="001E2275" w:rsidRPr="00985B6F" w:rsidRDefault="001E2275" w:rsidP="00985B6F">
            <w:pPr>
              <w:jc w:val="both"/>
              <w:rPr>
                <w:rStyle w:val="st42"/>
                <w:rFonts w:ascii="Times New Roman" w:hAnsi="Times New Roman" w:cs="Times New Roman"/>
              </w:rPr>
            </w:pPr>
          </w:p>
          <w:p w14:paraId="79AD5A4D" w14:textId="77777777" w:rsidR="001E2275" w:rsidRPr="00985B6F" w:rsidRDefault="001E2275" w:rsidP="00985B6F">
            <w:pPr>
              <w:jc w:val="both"/>
              <w:rPr>
                <w:rStyle w:val="st42"/>
                <w:rFonts w:ascii="Times New Roman" w:hAnsi="Times New Roman" w:cs="Times New Roman"/>
              </w:rPr>
            </w:pPr>
          </w:p>
          <w:p w14:paraId="41E4DDA6" w14:textId="77777777" w:rsidR="001E2275" w:rsidRPr="00985B6F" w:rsidRDefault="001E2275" w:rsidP="00985B6F">
            <w:pPr>
              <w:jc w:val="both"/>
              <w:rPr>
                <w:rStyle w:val="st42"/>
                <w:rFonts w:ascii="Times New Roman" w:hAnsi="Times New Roman" w:cs="Times New Roman"/>
              </w:rPr>
            </w:pPr>
          </w:p>
          <w:p w14:paraId="252137F0" w14:textId="77777777" w:rsidR="001E2275" w:rsidRPr="00985B6F" w:rsidRDefault="001E2275" w:rsidP="00985B6F">
            <w:pPr>
              <w:jc w:val="both"/>
              <w:rPr>
                <w:rStyle w:val="st42"/>
                <w:rFonts w:ascii="Times New Roman" w:hAnsi="Times New Roman" w:cs="Times New Roman"/>
              </w:rPr>
            </w:pPr>
          </w:p>
          <w:p w14:paraId="6F066B27" w14:textId="77777777" w:rsidR="001E2275" w:rsidRPr="00985B6F" w:rsidRDefault="001E2275" w:rsidP="00985B6F">
            <w:pPr>
              <w:jc w:val="both"/>
              <w:rPr>
                <w:rStyle w:val="st42"/>
                <w:rFonts w:ascii="Times New Roman" w:hAnsi="Times New Roman" w:cs="Times New Roman"/>
              </w:rPr>
            </w:pPr>
          </w:p>
          <w:p w14:paraId="7B65A552" w14:textId="77777777" w:rsidR="001E2275" w:rsidRPr="00985B6F" w:rsidRDefault="001E2275" w:rsidP="00985B6F">
            <w:pPr>
              <w:jc w:val="both"/>
              <w:rPr>
                <w:rStyle w:val="st42"/>
                <w:rFonts w:ascii="Times New Roman" w:hAnsi="Times New Roman" w:cs="Times New Roman"/>
              </w:rPr>
            </w:pPr>
          </w:p>
          <w:p w14:paraId="3CF792AC" w14:textId="77777777" w:rsidR="001E2275" w:rsidRPr="00985B6F" w:rsidRDefault="001E2275" w:rsidP="00985B6F">
            <w:pPr>
              <w:jc w:val="both"/>
              <w:rPr>
                <w:rStyle w:val="st42"/>
                <w:rFonts w:ascii="Times New Roman" w:hAnsi="Times New Roman" w:cs="Times New Roman"/>
              </w:rPr>
            </w:pPr>
          </w:p>
          <w:p w14:paraId="48071893" w14:textId="77777777" w:rsidR="001E2275" w:rsidRPr="00985B6F" w:rsidRDefault="001E2275" w:rsidP="00985B6F">
            <w:pPr>
              <w:jc w:val="both"/>
              <w:rPr>
                <w:rStyle w:val="st42"/>
                <w:rFonts w:ascii="Times New Roman" w:hAnsi="Times New Roman" w:cs="Times New Roman"/>
              </w:rPr>
            </w:pPr>
          </w:p>
          <w:p w14:paraId="5463B453" w14:textId="77777777" w:rsidR="001E2275" w:rsidRPr="00985B6F" w:rsidRDefault="001E2275" w:rsidP="00985B6F">
            <w:pPr>
              <w:jc w:val="both"/>
              <w:rPr>
                <w:rStyle w:val="st42"/>
                <w:rFonts w:ascii="Times New Roman" w:hAnsi="Times New Roman" w:cs="Times New Roman"/>
              </w:rPr>
            </w:pPr>
          </w:p>
          <w:p w14:paraId="60E89DF9" w14:textId="77777777" w:rsidR="001E2275" w:rsidRPr="00985B6F" w:rsidRDefault="001E2275" w:rsidP="00985B6F">
            <w:pPr>
              <w:jc w:val="both"/>
              <w:rPr>
                <w:rStyle w:val="st42"/>
                <w:rFonts w:ascii="Times New Roman" w:hAnsi="Times New Roman" w:cs="Times New Roman"/>
              </w:rPr>
            </w:pPr>
          </w:p>
          <w:p w14:paraId="696C3EFB" w14:textId="77777777" w:rsidR="001E2275" w:rsidRPr="00985B6F" w:rsidRDefault="001E2275" w:rsidP="00985B6F">
            <w:pPr>
              <w:jc w:val="both"/>
              <w:rPr>
                <w:rStyle w:val="st42"/>
                <w:rFonts w:ascii="Times New Roman" w:hAnsi="Times New Roman" w:cs="Times New Roman"/>
              </w:rPr>
            </w:pPr>
          </w:p>
          <w:p w14:paraId="093C5577" w14:textId="77777777" w:rsidR="001E2275" w:rsidRPr="00985B6F" w:rsidRDefault="001E2275" w:rsidP="00985B6F">
            <w:pPr>
              <w:jc w:val="both"/>
              <w:rPr>
                <w:rStyle w:val="st42"/>
                <w:rFonts w:ascii="Times New Roman" w:hAnsi="Times New Roman" w:cs="Times New Roman"/>
              </w:rPr>
            </w:pPr>
          </w:p>
          <w:p w14:paraId="32AC00A5" w14:textId="77777777" w:rsidR="001E2275" w:rsidRPr="00985B6F" w:rsidRDefault="001E2275" w:rsidP="00985B6F">
            <w:pPr>
              <w:jc w:val="both"/>
              <w:rPr>
                <w:rStyle w:val="st42"/>
                <w:rFonts w:ascii="Times New Roman" w:hAnsi="Times New Roman" w:cs="Times New Roman"/>
              </w:rPr>
            </w:pPr>
          </w:p>
          <w:p w14:paraId="4DA9F41E" w14:textId="77777777" w:rsidR="001E2275" w:rsidRPr="00985B6F" w:rsidRDefault="001E2275" w:rsidP="00985B6F">
            <w:pPr>
              <w:jc w:val="both"/>
              <w:rPr>
                <w:rStyle w:val="st42"/>
                <w:rFonts w:ascii="Times New Roman" w:hAnsi="Times New Roman" w:cs="Times New Roman"/>
              </w:rPr>
            </w:pPr>
          </w:p>
          <w:p w14:paraId="027117F7" w14:textId="77777777" w:rsidR="001E2275" w:rsidRPr="00985B6F" w:rsidRDefault="001E2275" w:rsidP="00985B6F">
            <w:pPr>
              <w:jc w:val="both"/>
              <w:rPr>
                <w:rStyle w:val="st42"/>
                <w:rFonts w:ascii="Times New Roman" w:hAnsi="Times New Roman" w:cs="Times New Roman"/>
              </w:rPr>
            </w:pPr>
          </w:p>
          <w:p w14:paraId="70F45754" w14:textId="77777777" w:rsidR="001E2275" w:rsidRPr="00985B6F" w:rsidRDefault="001E2275" w:rsidP="00985B6F">
            <w:pPr>
              <w:jc w:val="both"/>
              <w:rPr>
                <w:rStyle w:val="st42"/>
                <w:rFonts w:ascii="Times New Roman" w:hAnsi="Times New Roman" w:cs="Times New Roman"/>
              </w:rPr>
            </w:pPr>
          </w:p>
          <w:p w14:paraId="3AC5C8DF" w14:textId="77777777" w:rsidR="001E2275" w:rsidRPr="00985B6F" w:rsidRDefault="001E2275" w:rsidP="00985B6F">
            <w:pPr>
              <w:jc w:val="both"/>
              <w:rPr>
                <w:rStyle w:val="st42"/>
                <w:rFonts w:ascii="Times New Roman" w:hAnsi="Times New Roman" w:cs="Times New Roman"/>
              </w:rPr>
            </w:pPr>
          </w:p>
          <w:p w14:paraId="382EF996" w14:textId="77777777" w:rsidR="001E2275" w:rsidRPr="00985B6F" w:rsidRDefault="001E2275" w:rsidP="00985B6F">
            <w:pPr>
              <w:jc w:val="both"/>
              <w:rPr>
                <w:rStyle w:val="st42"/>
                <w:rFonts w:ascii="Times New Roman" w:hAnsi="Times New Roman" w:cs="Times New Roman"/>
              </w:rPr>
            </w:pPr>
          </w:p>
          <w:p w14:paraId="4CA8283E" w14:textId="77777777" w:rsidR="00546D0F" w:rsidRPr="00985B6F" w:rsidRDefault="00546D0F" w:rsidP="00985B6F">
            <w:pPr>
              <w:jc w:val="both"/>
              <w:rPr>
                <w:rStyle w:val="st42"/>
                <w:rFonts w:ascii="Times New Roman" w:hAnsi="Times New Roman" w:cs="Times New Roman"/>
              </w:rPr>
            </w:pPr>
          </w:p>
          <w:p w14:paraId="681328B5" w14:textId="77777777" w:rsidR="00546D0F" w:rsidRPr="00985B6F" w:rsidRDefault="00546D0F" w:rsidP="00985B6F">
            <w:pPr>
              <w:jc w:val="both"/>
              <w:rPr>
                <w:rStyle w:val="st42"/>
                <w:rFonts w:ascii="Times New Roman" w:hAnsi="Times New Roman" w:cs="Times New Roman"/>
              </w:rPr>
            </w:pPr>
          </w:p>
          <w:p w14:paraId="1D1CFFC7" w14:textId="77777777" w:rsidR="00546D0F" w:rsidRPr="00985B6F" w:rsidRDefault="00546D0F" w:rsidP="00985B6F">
            <w:pPr>
              <w:jc w:val="both"/>
              <w:rPr>
                <w:rStyle w:val="st42"/>
                <w:rFonts w:ascii="Times New Roman" w:hAnsi="Times New Roman" w:cs="Times New Roman"/>
              </w:rPr>
            </w:pPr>
          </w:p>
          <w:p w14:paraId="51F1163E" w14:textId="77777777" w:rsidR="00546D0F" w:rsidRPr="00985B6F" w:rsidRDefault="00546D0F" w:rsidP="00985B6F">
            <w:pPr>
              <w:jc w:val="both"/>
              <w:rPr>
                <w:rStyle w:val="st42"/>
                <w:rFonts w:ascii="Times New Roman" w:hAnsi="Times New Roman" w:cs="Times New Roman"/>
              </w:rPr>
            </w:pPr>
          </w:p>
          <w:p w14:paraId="78AA1F98" w14:textId="77777777" w:rsidR="00546D0F" w:rsidRPr="00985B6F" w:rsidRDefault="00546D0F" w:rsidP="00985B6F">
            <w:pPr>
              <w:jc w:val="both"/>
              <w:rPr>
                <w:rStyle w:val="st42"/>
                <w:rFonts w:ascii="Times New Roman" w:hAnsi="Times New Roman" w:cs="Times New Roman"/>
              </w:rPr>
            </w:pPr>
          </w:p>
          <w:p w14:paraId="3ACE8901" w14:textId="77777777" w:rsidR="00546D0F" w:rsidRPr="00985B6F" w:rsidRDefault="00546D0F" w:rsidP="00985B6F">
            <w:pPr>
              <w:jc w:val="both"/>
              <w:rPr>
                <w:rStyle w:val="st42"/>
                <w:rFonts w:ascii="Times New Roman" w:hAnsi="Times New Roman" w:cs="Times New Roman"/>
              </w:rPr>
            </w:pPr>
          </w:p>
          <w:p w14:paraId="39AF1DFD" w14:textId="77777777" w:rsidR="00546D0F" w:rsidRPr="00985B6F" w:rsidRDefault="00546D0F" w:rsidP="00985B6F">
            <w:pPr>
              <w:jc w:val="both"/>
              <w:rPr>
                <w:rStyle w:val="st42"/>
                <w:rFonts w:ascii="Times New Roman" w:hAnsi="Times New Roman" w:cs="Times New Roman"/>
              </w:rPr>
            </w:pPr>
          </w:p>
          <w:p w14:paraId="3953EBDD" w14:textId="77777777" w:rsidR="00546D0F" w:rsidRPr="00985B6F" w:rsidRDefault="00546D0F" w:rsidP="00985B6F">
            <w:pPr>
              <w:jc w:val="both"/>
              <w:rPr>
                <w:rStyle w:val="st42"/>
                <w:rFonts w:ascii="Times New Roman" w:hAnsi="Times New Roman" w:cs="Times New Roman"/>
              </w:rPr>
            </w:pPr>
          </w:p>
          <w:p w14:paraId="1BA38508" w14:textId="77777777" w:rsidR="00546D0F" w:rsidRPr="00985B6F" w:rsidRDefault="00546D0F" w:rsidP="00985B6F">
            <w:pPr>
              <w:jc w:val="both"/>
              <w:rPr>
                <w:rStyle w:val="st42"/>
                <w:rFonts w:ascii="Times New Roman" w:hAnsi="Times New Roman" w:cs="Times New Roman"/>
              </w:rPr>
            </w:pPr>
          </w:p>
          <w:p w14:paraId="26C69D70" w14:textId="77777777" w:rsidR="00546D0F" w:rsidRPr="00985B6F" w:rsidRDefault="00546D0F" w:rsidP="00985B6F">
            <w:pPr>
              <w:jc w:val="both"/>
              <w:rPr>
                <w:rStyle w:val="st42"/>
                <w:rFonts w:ascii="Times New Roman" w:hAnsi="Times New Roman" w:cs="Times New Roman"/>
              </w:rPr>
            </w:pPr>
          </w:p>
          <w:p w14:paraId="118BEE90" w14:textId="77777777" w:rsidR="00546D0F" w:rsidRPr="00985B6F" w:rsidRDefault="00546D0F" w:rsidP="00985B6F">
            <w:pPr>
              <w:jc w:val="both"/>
              <w:rPr>
                <w:rStyle w:val="st42"/>
                <w:rFonts w:ascii="Times New Roman" w:hAnsi="Times New Roman" w:cs="Times New Roman"/>
              </w:rPr>
            </w:pPr>
          </w:p>
          <w:p w14:paraId="6C371C32" w14:textId="06E6CB6E" w:rsidR="001E2275" w:rsidRPr="00985B6F" w:rsidRDefault="001E2275" w:rsidP="00985B6F">
            <w:pPr>
              <w:jc w:val="both"/>
              <w:rPr>
                <w:rStyle w:val="st42"/>
                <w:rFonts w:ascii="Times New Roman" w:hAnsi="Times New Roman" w:cs="Times New Roman"/>
              </w:rPr>
            </w:pPr>
          </w:p>
          <w:p w14:paraId="5F16DF13" w14:textId="0B78CAE0" w:rsidR="00250C42" w:rsidRPr="00985B6F" w:rsidRDefault="00250C42" w:rsidP="00985B6F">
            <w:pPr>
              <w:jc w:val="both"/>
              <w:rPr>
                <w:rStyle w:val="st42"/>
                <w:rFonts w:ascii="Times New Roman" w:hAnsi="Times New Roman" w:cs="Times New Roman"/>
              </w:rPr>
            </w:pPr>
          </w:p>
          <w:p w14:paraId="340BA73A" w14:textId="3E1B2A39" w:rsidR="00250C42" w:rsidRPr="00985B6F" w:rsidRDefault="00250C42" w:rsidP="00985B6F">
            <w:pPr>
              <w:jc w:val="both"/>
              <w:rPr>
                <w:rStyle w:val="st42"/>
                <w:rFonts w:ascii="Times New Roman" w:hAnsi="Times New Roman" w:cs="Times New Roman"/>
              </w:rPr>
            </w:pPr>
          </w:p>
          <w:p w14:paraId="332F917E" w14:textId="42ED5EDF" w:rsidR="00250C42" w:rsidRPr="00985B6F" w:rsidRDefault="00250C42" w:rsidP="00985B6F">
            <w:pPr>
              <w:jc w:val="both"/>
              <w:rPr>
                <w:rStyle w:val="st42"/>
                <w:rFonts w:ascii="Times New Roman" w:hAnsi="Times New Roman" w:cs="Times New Roman"/>
              </w:rPr>
            </w:pPr>
          </w:p>
          <w:p w14:paraId="275D7185" w14:textId="46D8D35B" w:rsidR="00250C42" w:rsidRPr="00985B6F" w:rsidRDefault="00250C42" w:rsidP="00985B6F">
            <w:pPr>
              <w:jc w:val="both"/>
              <w:rPr>
                <w:rStyle w:val="st42"/>
                <w:rFonts w:ascii="Times New Roman" w:hAnsi="Times New Roman" w:cs="Times New Roman"/>
              </w:rPr>
            </w:pPr>
          </w:p>
          <w:p w14:paraId="07313450" w14:textId="05B083E8" w:rsidR="00250C42" w:rsidRPr="00985B6F" w:rsidRDefault="00250C42" w:rsidP="00985B6F">
            <w:pPr>
              <w:jc w:val="both"/>
              <w:rPr>
                <w:rStyle w:val="st42"/>
                <w:rFonts w:ascii="Times New Roman" w:hAnsi="Times New Roman" w:cs="Times New Roman"/>
              </w:rPr>
            </w:pPr>
          </w:p>
          <w:p w14:paraId="5FC12083" w14:textId="0F093B80" w:rsidR="00250C42" w:rsidRPr="00985B6F" w:rsidRDefault="00250C42" w:rsidP="00985B6F">
            <w:pPr>
              <w:jc w:val="both"/>
              <w:rPr>
                <w:rStyle w:val="st42"/>
                <w:rFonts w:ascii="Times New Roman" w:hAnsi="Times New Roman" w:cs="Times New Roman"/>
              </w:rPr>
            </w:pPr>
          </w:p>
          <w:p w14:paraId="703C6547" w14:textId="58065572" w:rsidR="00250C42" w:rsidRPr="00985B6F" w:rsidRDefault="00250C42" w:rsidP="00985B6F">
            <w:pPr>
              <w:jc w:val="both"/>
              <w:rPr>
                <w:rStyle w:val="st42"/>
                <w:rFonts w:ascii="Times New Roman" w:hAnsi="Times New Roman" w:cs="Times New Roman"/>
              </w:rPr>
            </w:pPr>
          </w:p>
          <w:p w14:paraId="0608CB9D" w14:textId="1A77E74E" w:rsidR="00250C42" w:rsidRPr="00985B6F" w:rsidRDefault="00250C42" w:rsidP="00985B6F">
            <w:pPr>
              <w:jc w:val="both"/>
              <w:rPr>
                <w:rStyle w:val="st42"/>
                <w:rFonts w:ascii="Times New Roman" w:hAnsi="Times New Roman" w:cs="Times New Roman"/>
              </w:rPr>
            </w:pPr>
          </w:p>
          <w:p w14:paraId="04F167B1" w14:textId="3C23A84C" w:rsidR="00250C42" w:rsidRPr="00985B6F" w:rsidRDefault="00250C42" w:rsidP="00985B6F">
            <w:pPr>
              <w:jc w:val="both"/>
              <w:rPr>
                <w:rStyle w:val="st42"/>
                <w:rFonts w:ascii="Times New Roman" w:hAnsi="Times New Roman" w:cs="Times New Roman"/>
              </w:rPr>
            </w:pPr>
          </w:p>
          <w:p w14:paraId="3EFC51E3" w14:textId="70DE48FA" w:rsidR="00250C42" w:rsidRPr="00985B6F" w:rsidRDefault="00250C42" w:rsidP="00985B6F">
            <w:pPr>
              <w:jc w:val="both"/>
              <w:rPr>
                <w:rStyle w:val="st42"/>
                <w:rFonts w:ascii="Times New Roman" w:hAnsi="Times New Roman" w:cs="Times New Roman"/>
              </w:rPr>
            </w:pPr>
          </w:p>
          <w:p w14:paraId="1AA2A505" w14:textId="6CA17094" w:rsidR="00250C42" w:rsidRPr="00985B6F" w:rsidRDefault="00250C42" w:rsidP="00985B6F">
            <w:pPr>
              <w:jc w:val="both"/>
              <w:rPr>
                <w:rStyle w:val="st42"/>
                <w:rFonts w:ascii="Times New Roman" w:hAnsi="Times New Roman" w:cs="Times New Roman"/>
              </w:rPr>
            </w:pPr>
          </w:p>
          <w:p w14:paraId="0868CDB6" w14:textId="37A880FB" w:rsidR="00250C42" w:rsidRPr="00985B6F" w:rsidRDefault="00250C42" w:rsidP="00985B6F">
            <w:pPr>
              <w:jc w:val="both"/>
              <w:rPr>
                <w:rStyle w:val="st42"/>
                <w:rFonts w:ascii="Times New Roman" w:hAnsi="Times New Roman" w:cs="Times New Roman"/>
              </w:rPr>
            </w:pPr>
          </w:p>
          <w:p w14:paraId="5668EA0F" w14:textId="11E8293A" w:rsidR="00250C42" w:rsidRPr="00985B6F" w:rsidRDefault="00250C42" w:rsidP="00985B6F">
            <w:pPr>
              <w:jc w:val="both"/>
              <w:rPr>
                <w:rStyle w:val="st42"/>
                <w:rFonts w:ascii="Times New Roman" w:hAnsi="Times New Roman" w:cs="Times New Roman"/>
              </w:rPr>
            </w:pPr>
          </w:p>
          <w:p w14:paraId="12825F81" w14:textId="2E968BA4" w:rsidR="00250C42" w:rsidRPr="00985B6F" w:rsidRDefault="00250C42" w:rsidP="00985B6F">
            <w:pPr>
              <w:jc w:val="both"/>
              <w:rPr>
                <w:rStyle w:val="st42"/>
                <w:rFonts w:ascii="Times New Roman" w:hAnsi="Times New Roman" w:cs="Times New Roman"/>
              </w:rPr>
            </w:pPr>
          </w:p>
          <w:p w14:paraId="6077D9C2" w14:textId="70E9D6BE" w:rsidR="00250C42" w:rsidRPr="00985B6F" w:rsidRDefault="00250C42" w:rsidP="00985B6F">
            <w:pPr>
              <w:jc w:val="both"/>
              <w:rPr>
                <w:rStyle w:val="st42"/>
                <w:rFonts w:ascii="Times New Roman" w:hAnsi="Times New Roman" w:cs="Times New Roman"/>
              </w:rPr>
            </w:pPr>
          </w:p>
          <w:p w14:paraId="55E02D1C" w14:textId="142F6F34" w:rsidR="00250C42" w:rsidRPr="00985B6F" w:rsidRDefault="00250C42" w:rsidP="00985B6F">
            <w:pPr>
              <w:jc w:val="both"/>
              <w:rPr>
                <w:rStyle w:val="st42"/>
                <w:rFonts w:ascii="Times New Roman" w:hAnsi="Times New Roman" w:cs="Times New Roman"/>
              </w:rPr>
            </w:pPr>
          </w:p>
          <w:p w14:paraId="7AC9E42C" w14:textId="2E43545C" w:rsidR="00250C42" w:rsidRPr="00985B6F" w:rsidRDefault="00250C42" w:rsidP="00985B6F">
            <w:pPr>
              <w:jc w:val="both"/>
              <w:rPr>
                <w:rStyle w:val="st42"/>
                <w:rFonts w:ascii="Times New Roman" w:hAnsi="Times New Roman" w:cs="Times New Roman"/>
              </w:rPr>
            </w:pPr>
          </w:p>
          <w:p w14:paraId="6808284F" w14:textId="1BFF4534" w:rsidR="00250C42" w:rsidRPr="00985B6F" w:rsidRDefault="00250C42" w:rsidP="00985B6F">
            <w:pPr>
              <w:jc w:val="both"/>
              <w:rPr>
                <w:rStyle w:val="st42"/>
                <w:rFonts w:ascii="Times New Roman" w:hAnsi="Times New Roman" w:cs="Times New Roman"/>
              </w:rPr>
            </w:pPr>
          </w:p>
          <w:p w14:paraId="2B0EA1F3" w14:textId="6B67BABF" w:rsidR="00250C42" w:rsidRPr="00985B6F" w:rsidRDefault="00250C42" w:rsidP="00985B6F">
            <w:pPr>
              <w:jc w:val="both"/>
              <w:rPr>
                <w:rStyle w:val="st42"/>
                <w:rFonts w:ascii="Times New Roman" w:hAnsi="Times New Roman" w:cs="Times New Roman"/>
              </w:rPr>
            </w:pPr>
          </w:p>
          <w:p w14:paraId="05741891" w14:textId="51DF2ACC" w:rsidR="00250C42" w:rsidRPr="00985B6F" w:rsidRDefault="00250C42" w:rsidP="00985B6F">
            <w:pPr>
              <w:jc w:val="both"/>
              <w:rPr>
                <w:rStyle w:val="st42"/>
                <w:rFonts w:ascii="Times New Roman" w:hAnsi="Times New Roman" w:cs="Times New Roman"/>
              </w:rPr>
            </w:pPr>
          </w:p>
          <w:p w14:paraId="7979AFD2" w14:textId="4C5AF1B7" w:rsidR="00250C42" w:rsidRPr="00985B6F" w:rsidRDefault="00250C42" w:rsidP="00985B6F">
            <w:pPr>
              <w:jc w:val="both"/>
              <w:rPr>
                <w:rStyle w:val="st42"/>
                <w:rFonts w:ascii="Times New Roman" w:hAnsi="Times New Roman" w:cs="Times New Roman"/>
              </w:rPr>
            </w:pPr>
          </w:p>
          <w:p w14:paraId="57F7DF02" w14:textId="5B332E49" w:rsidR="00250C42" w:rsidRPr="00985B6F" w:rsidRDefault="00250C42" w:rsidP="00985B6F">
            <w:pPr>
              <w:jc w:val="both"/>
              <w:rPr>
                <w:rStyle w:val="st42"/>
                <w:rFonts w:ascii="Times New Roman" w:hAnsi="Times New Roman" w:cs="Times New Roman"/>
              </w:rPr>
            </w:pPr>
          </w:p>
          <w:p w14:paraId="55838933" w14:textId="32334BD6" w:rsidR="00250C42" w:rsidRPr="00985B6F" w:rsidRDefault="00250C42" w:rsidP="00985B6F">
            <w:pPr>
              <w:jc w:val="both"/>
              <w:rPr>
                <w:rStyle w:val="st42"/>
                <w:rFonts w:ascii="Times New Roman" w:hAnsi="Times New Roman" w:cs="Times New Roman"/>
              </w:rPr>
            </w:pPr>
          </w:p>
          <w:p w14:paraId="74F11034" w14:textId="5F079552" w:rsidR="00250C42" w:rsidRPr="00985B6F" w:rsidRDefault="00250C42" w:rsidP="00985B6F">
            <w:pPr>
              <w:jc w:val="both"/>
              <w:rPr>
                <w:rStyle w:val="st42"/>
                <w:rFonts w:ascii="Times New Roman" w:hAnsi="Times New Roman" w:cs="Times New Roman"/>
              </w:rPr>
            </w:pPr>
          </w:p>
          <w:p w14:paraId="40F86380" w14:textId="140DF0E2" w:rsidR="00250C42" w:rsidRPr="00985B6F" w:rsidRDefault="00250C42" w:rsidP="00985B6F">
            <w:pPr>
              <w:jc w:val="both"/>
              <w:rPr>
                <w:rStyle w:val="st42"/>
                <w:rFonts w:ascii="Times New Roman" w:hAnsi="Times New Roman" w:cs="Times New Roman"/>
              </w:rPr>
            </w:pPr>
          </w:p>
          <w:p w14:paraId="75DEB73C" w14:textId="7C286E48" w:rsidR="00250C42" w:rsidRPr="00985B6F" w:rsidRDefault="00250C42" w:rsidP="00985B6F">
            <w:pPr>
              <w:jc w:val="both"/>
              <w:rPr>
                <w:rStyle w:val="st42"/>
                <w:rFonts w:ascii="Times New Roman" w:hAnsi="Times New Roman" w:cs="Times New Roman"/>
              </w:rPr>
            </w:pPr>
          </w:p>
          <w:p w14:paraId="361BB92B" w14:textId="609B6795" w:rsidR="00250C42" w:rsidRPr="00985B6F" w:rsidRDefault="00250C42" w:rsidP="00985B6F">
            <w:pPr>
              <w:jc w:val="both"/>
              <w:rPr>
                <w:rStyle w:val="st42"/>
                <w:rFonts w:ascii="Times New Roman" w:hAnsi="Times New Roman" w:cs="Times New Roman"/>
              </w:rPr>
            </w:pPr>
          </w:p>
          <w:p w14:paraId="44E1AB7A" w14:textId="207C33D3" w:rsidR="00250C42" w:rsidRPr="00985B6F" w:rsidRDefault="00250C42" w:rsidP="00985B6F">
            <w:pPr>
              <w:jc w:val="both"/>
              <w:rPr>
                <w:rStyle w:val="st42"/>
                <w:rFonts w:ascii="Times New Roman" w:hAnsi="Times New Roman" w:cs="Times New Roman"/>
              </w:rPr>
            </w:pPr>
          </w:p>
          <w:p w14:paraId="57DCEA96" w14:textId="51205A87" w:rsidR="00250C42" w:rsidRPr="00985B6F" w:rsidRDefault="00250C42" w:rsidP="00985B6F">
            <w:pPr>
              <w:jc w:val="both"/>
              <w:rPr>
                <w:rStyle w:val="st42"/>
                <w:rFonts w:ascii="Times New Roman" w:hAnsi="Times New Roman" w:cs="Times New Roman"/>
              </w:rPr>
            </w:pPr>
          </w:p>
          <w:p w14:paraId="613DC54F" w14:textId="19C7407E" w:rsidR="00250C42" w:rsidRPr="00985B6F" w:rsidRDefault="00250C42" w:rsidP="00985B6F">
            <w:pPr>
              <w:jc w:val="both"/>
              <w:rPr>
                <w:rStyle w:val="st42"/>
                <w:rFonts w:ascii="Times New Roman" w:hAnsi="Times New Roman" w:cs="Times New Roman"/>
              </w:rPr>
            </w:pPr>
          </w:p>
          <w:p w14:paraId="0C01DE9E" w14:textId="3EC619C2" w:rsidR="00250C42" w:rsidRPr="00985B6F" w:rsidRDefault="00250C42" w:rsidP="00985B6F">
            <w:pPr>
              <w:jc w:val="both"/>
              <w:rPr>
                <w:rStyle w:val="st42"/>
                <w:rFonts w:ascii="Times New Roman" w:hAnsi="Times New Roman" w:cs="Times New Roman"/>
              </w:rPr>
            </w:pPr>
          </w:p>
          <w:p w14:paraId="50D6F075" w14:textId="60D38F32" w:rsidR="00250C42" w:rsidRPr="00985B6F" w:rsidRDefault="00250C42" w:rsidP="00985B6F">
            <w:pPr>
              <w:jc w:val="both"/>
              <w:rPr>
                <w:rStyle w:val="st42"/>
                <w:rFonts w:ascii="Times New Roman" w:hAnsi="Times New Roman" w:cs="Times New Roman"/>
              </w:rPr>
            </w:pPr>
          </w:p>
          <w:p w14:paraId="2F295113" w14:textId="5F180C8F" w:rsidR="00250C42" w:rsidRPr="00985B6F" w:rsidRDefault="00250C42" w:rsidP="00985B6F">
            <w:pPr>
              <w:jc w:val="both"/>
              <w:rPr>
                <w:rStyle w:val="st42"/>
                <w:rFonts w:ascii="Times New Roman" w:hAnsi="Times New Roman" w:cs="Times New Roman"/>
              </w:rPr>
            </w:pPr>
          </w:p>
          <w:p w14:paraId="38A6AECE" w14:textId="6D8CDB0B" w:rsidR="00250C42" w:rsidRPr="00985B6F" w:rsidRDefault="00250C42" w:rsidP="00985B6F">
            <w:pPr>
              <w:jc w:val="both"/>
              <w:rPr>
                <w:rStyle w:val="st42"/>
                <w:rFonts w:ascii="Times New Roman" w:hAnsi="Times New Roman" w:cs="Times New Roman"/>
              </w:rPr>
            </w:pPr>
          </w:p>
          <w:p w14:paraId="4FBC1667" w14:textId="7DB44C59" w:rsidR="00250C42" w:rsidRPr="00985B6F" w:rsidRDefault="00250C42" w:rsidP="00985B6F">
            <w:pPr>
              <w:jc w:val="both"/>
              <w:rPr>
                <w:rStyle w:val="st42"/>
                <w:rFonts w:ascii="Times New Roman" w:hAnsi="Times New Roman" w:cs="Times New Roman"/>
              </w:rPr>
            </w:pPr>
          </w:p>
          <w:p w14:paraId="08E1F7DC" w14:textId="5FEE5A68" w:rsidR="00250C42" w:rsidRPr="00985B6F" w:rsidRDefault="00250C42" w:rsidP="00985B6F">
            <w:pPr>
              <w:jc w:val="both"/>
              <w:rPr>
                <w:rStyle w:val="st42"/>
                <w:rFonts w:ascii="Times New Roman" w:hAnsi="Times New Roman" w:cs="Times New Roman"/>
              </w:rPr>
            </w:pPr>
          </w:p>
          <w:p w14:paraId="560F3D6B" w14:textId="21B41275" w:rsidR="00250C42" w:rsidRPr="00985B6F" w:rsidRDefault="00250C42" w:rsidP="00985B6F">
            <w:pPr>
              <w:jc w:val="both"/>
              <w:rPr>
                <w:rStyle w:val="st42"/>
                <w:rFonts w:ascii="Times New Roman" w:hAnsi="Times New Roman" w:cs="Times New Roman"/>
              </w:rPr>
            </w:pPr>
          </w:p>
          <w:p w14:paraId="1434CB27" w14:textId="486256EF" w:rsidR="00250C42" w:rsidRPr="00985B6F" w:rsidRDefault="00250C42" w:rsidP="00985B6F">
            <w:pPr>
              <w:jc w:val="both"/>
              <w:rPr>
                <w:rStyle w:val="st42"/>
                <w:rFonts w:ascii="Times New Roman" w:hAnsi="Times New Roman" w:cs="Times New Roman"/>
              </w:rPr>
            </w:pPr>
          </w:p>
          <w:p w14:paraId="7FADD866" w14:textId="4B53CF7E" w:rsidR="00250C42" w:rsidRPr="00985B6F" w:rsidRDefault="00250C42" w:rsidP="00985B6F">
            <w:pPr>
              <w:jc w:val="both"/>
              <w:rPr>
                <w:rStyle w:val="st42"/>
                <w:rFonts w:ascii="Times New Roman" w:hAnsi="Times New Roman" w:cs="Times New Roman"/>
              </w:rPr>
            </w:pPr>
          </w:p>
          <w:p w14:paraId="694BFA26" w14:textId="22C87ACB" w:rsidR="00250C42" w:rsidRPr="00985B6F" w:rsidRDefault="00250C42" w:rsidP="00985B6F">
            <w:pPr>
              <w:jc w:val="both"/>
              <w:rPr>
                <w:rStyle w:val="st42"/>
                <w:rFonts w:ascii="Times New Roman" w:hAnsi="Times New Roman" w:cs="Times New Roman"/>
              </w:rPr>
            </w:pPr>
          </w:p>
          <w:p w14:paraId="001B824F" w14:textId="3A62CBE5" w:rsidR="00250C42" w:rsidRPr="00985B6F" w:rsidRDefault="00250C42" w:rsidP="00985B6F">
            <w:pPr>
              <w:jc w:val="both"/>
              <w:rPr>
                <w:rStyle w:val="st42"/>
                <w:rFonts w:ascii="Times New Roman" w:hAnsi="Times New Roman" w:cs="Times New Roman"/>
              </w:rPr>
            </w:pPr>
          </w:p>
          <w:p w14:paraId="7B34D6B2" w14:textId="351D7655" w:rsidR="00250C42" w:rsidRPr="00985B6F" w:rsidRDefault="00250C42" w:rsidP="00985B6F">
            <w:pPr>
              <w:jc w:val="both"/>
              <w:rPr>
                <w:rStyle w:val="st42"/>
                <w:rFonts w:ascii="Times New Roman" w:hAnsi="Times New Roman" w:cs="Times New Roman"/>
              </w:rPr>
            </w:pPr>
          </w:p>
          <w:p w14:paraId="46516489" w14:textId="3B8AA473" w:rsidR="00250C42" w:rsidRPr="00985B6F" w:rsidRDefault="00250C42" w:rsidP="00985B6F">
            <w:pPr>
              <w:jc w:val="both"/>
              <w:rPr>
                <w:rStyle w:val="st42"/>
                <w:rFonts w:ascii="Times New Roman" w:hAnsi="Times New Roman" w:cs="Times New Roman"/>
              </w:rPr>
            </w:pPr>
          </w:p>
          <w:p w14:paraId="50D3B0F5" w14:textId="64389765" w:rsidR="00250C42" w:rsidRPr="00985B6F" w:rsidRDefault="00250C42" w:rsidP="00985B6F">
            <w:pPr>
              <w:jc w:val="both"/>
              <w:rPr>
                <w:rStyle w:val="st42"/>
                <w:rFonts w:ascii="Times New Roman" w:hAnsi="Times New Roman" w:cs="Times New Roman"/>
              </w:rPr>
            </w:pPr>
          </w:p>
          <w:p w14:paraId="6A14E936" w14:textId="3F43AF8F" w:rsidR="00250C42" w:rsidRPr="00985B6F" w:rsidRDefault="00250C42" w:rsidP="00985B6F">
            <w:pPr>
              <w:jc w:val="both"/>
              <w:rPr>
                <w:rStyle w:val="st42"/>
                <w:rFonts w:ascii="Times New Roman" w:hAnsi="Times New Roman" w:cs="Times New Roman"/>
              </w:rPr>
            </w:pPr>
          </w:p>
          <w:p w14:paraId="22B2CCDB" w14:textId="4069A11C" w:rsidR="00250C42" w:rsidRPr="00985B6F" w:rsidRDefault="00250C42" w:rsidP="00985B6F">
            <w:pPr>
              <w:jc w:val="both"/>
              <w:rPr>
                <w:rStyle w:val="st42"/>
                <w:rFonts w:ascii="Times New Roman" w:hAnsi="Times New Roman" w:cs="Times New Roman"/>
              </w:rPr>
            </w:pPr>
          </w:p>
          <w:p w14:paraId="2F5687D0" w14:textId="25A50BD5" w:rsidR="00250C42" w:rsidRPr="00985B6F" w:rsidRDefault="00250C42" w:rsidP="00985B6F">
            <w:pPr>
              <w:jc w:val="both"/>
              <w:rPr>
                <w:rStyle w:val="st42"/>
                <w:rFonts w:ascii="Times New Roman" w:hAnsi="Times New Roman" w:cs="Times New Roman"/>
              </w:rPr>
            </w:pPr>
          </w:p>
          <w:p w14:paraId="47C3B8FB" w14:textId="3A9C3D6A" w:rsidR="00250C42" w:rsidRPr="00985B6F" w:rsidRDefault="00250C42" w:rsidP="00985B6F">
            <w:pPr>
              <w:jc w:val="both"/>
              <w:rPr>
                <w:rStyle w:val="st42"/>
                <w:rFonts w:ascii="Times New Roman" w:hAnsi="Times New Roman" w:cs="Times New Roman"/>
              </w:rPr>
            </w:pPr>
          </w:p>
          <w:p w14:paraId="16ECE93F" w14:textId="19BCD248" w:rsidR="00250C42" w:rsidRPr="00985B6F" w:rsidRDefault="00250C42" w:rsidP="00985B6F">
            <w:pPr>
              <w:jc w:val="both"/>
              <w:rPr>
                <w:rStyle w:val="st42"/>
                <w:rFonts w:ascii="Times New Roman" w:hAnsi="Times New Roman" w:cs="Times New Roman"/>
              </w:rPr>
            </w:pPr>
          </w:p>
          <w:p w14:paraId="7BDBD710" w14:textId="3BD688E2" w:rsidR="00250C42" w:rsidRPr="00985B6F" w:rsidRDefault="00250C42" w:rsidP="00985B6F">
            <w:pPr>
              <w:jc w:val="both"/>
              <w:rPr>
                <w:rStyle w:val="st42"/>
                <w:rFonts w:ascii="Times New Roman" w:hAnsi="Times New Roman" w:cs="Times New Roman"/>
              </w:rPr>
            </w:pPr>
          </w:p>
          <w:p w14:paraId="304E1A8C" w14:textId="3F5D3B89" w:rsidR="00250C42" w:rsidRPr="00985B6F" w:rsidRDefault="00250C42" w:rsidP="00985B6F">
            <w:pPr>
              <w:jc w:val="both"/>
              <w:rPr>
                <w:rStyle w:val="st42"/>
                <w:rFonts w:ascii="Times New Roman" w:hAnsi="Times New Roman" w:cs="Times New Roman"/>
              </w:rPr>
            </w:pPr>
          </w:p>
          <w:p w14:paraId="76C1C5F7" w14:textId="02D494B6" w:rsidR="00250C42" w:rsidRPr="00985B6F" w:rsidRDefault="00250C42" w:rsidP="00985B6F">
            <w:pPr>
              <w:jc w:val="both"/>
              <w:rPr>
                <w:rStyle w:val="st42"/>
                <w:rFonts w:ascii="Times New Roman" w:hAnsi="Times New Roman" w:cs="Times New Roman"/>
              </w:rPr>
            </w:pPr>
          </w:p>
          <w:p w14:paraId="63C702A9" w14:textId="64BE0102" w:rsidR="00250C42" w:rsidRPr="00985B6F" w:rsidRDefault="00250C42" w:rsidP="00985B6F">
            <w:pPr>
              <w:jc w:val="both"/>
              <w:rPr>
                <w:rStyle w:val="st42"/>
                <w:rFonts w:ascii="Times New Roman" w:hAnsi="Times New Roman" w:cs="Times New Roman"/>
              </w:rPr>
            </w:pPr>
          </w:p>
          <w:p w14:paraId="055A7E48" w14:textId="27C00A89" w:rsidR="00804829" w:rsidRPr="00985B6F" w:rsidRDefault="00804829" w:rsidP="00985B6F">
            <w:pPr>
              <w:jc w:val="both"/>
              <w:rPr>
                <w:rStyle w:val="st42"/>
                <w:rFonts w:ascii="Times New Roman" w:hAnsi="Times New Roman" w:cs="Times New Roman"/>
              </w:rPr>
            </w:pPr>
            <w:r w:rsidRPr="00985B6F">
              <w:rPr>
                <w:rStyle w:val="st42"/>
                <w:rFonts w:ascii="Times New Roman" w:hAnsi="Times New Roman" w:cs="Times New Roman"/>
              </w:rPr>
              <w:t>…..</w:t>
            </w:r>
          </w:p>
          <w:p w14:paraId="6BD36DA4" w14:textId="77777777" w:rsidR="00B52031" w:rsidRPr="00985B6F" w:rsidRDefault="00B52031" w:rsidP="00985B6F">
            <w:pPr>
              <w:spacing w:line="259" w:lineRule="auto"/>
              <w:jc w:val="both"/>
              <w:rPr>
                <w:rFonts w:ascii="Times New Roman" w:hAnsi="Times New Roman" w:cs="Times New Roman"/>
              </w:rPr>
            </w:pPr>
            <w:r w:rsidRPr="00985B6F">
              <w:rPr>
                <w:rFonts w:ascii="Times New Roman" w:hAnsi="Times New Roman" w:cs="Times New Roman"/>
              </w:rPr>
              <w:t>6) фактична сума витрат на придбання допоміжних послуг у звітному році визначається відповідно до Правил ринку помісячно на підставі таких даних:</w:t>
            </w:r>
          </w:p>
          <w:p w14:paraId="2922115C" w14:textId="77777777" w:rsidR="00B52031" w:rsidRPr="00985B6F" w:rsidRDefault="00B52031" w:rsidP="00985B6F">
            <w:pPr>
              <w:spacing w:line="259" w:lineRule="auto"/>
              <w:jc w:val="both"/>
              <w:rPr>
                <w:rFonts w:ascii="Times New Roman" w:hAnsi="Times New Roman" w:cs="Times New Roman"/>
              </w:rPr>
            </w:pPr>
            <w:r w:rsidRPr="00985B6F">
              <w:rPr>
                <w:rFonts w:ascii="Times New Roman" w:hAnsi="Times New Roman" w:cs="Times New Roman"/>
              </w:rPr>
              <w:t>……</w:t>
            </w:r>
          </w:p>
          <w:p w14:paraId="1F8D0299" w14:textId="73A9D044" w:rsidR="00B52031" w:rsidRPr="00985B6F" w:rsidRDefault="00B52031" w:rsidP="00985B6F">
            <w:pPr>
              <w:spacing w:line="259" w:lineRule="auto"/>
              <w:jc w:val="both"/>
              <w:rPr>
                <w:rFonts w:ascii="Times New Roman" w:hAnsi="Times New Roman" w:cs="Times New Roman"/>
              </w:rPr>
            </w:pPr>
            <w:r w:rsidRPr="00985B6F">
              <w:rPr>
                <w:rFonts w:ascii="Times New Roman" w:hAnsi="Times New Roman" w:cs="Times New Roman"/>
              </w:rPr>
              <w:t>(відсутнє)</w:t>
            </w:r>
          </w:p>
          <w:p w14:paraId="46EE3A1A" w14:textId="77777777" w:rsidR="00B52031" w:rsidRPr="00985B6F" w:rsidRDefault="00B52031" w:rsidP="00985B6F">
            <w:pPr>
              <w:spacing w:line="259" w:lineRule="auto"/>
              <w:jc w:val="both"/>
              <w:rPr>
                <w:rFonts w:ascii="Times New Roman" w:hAnsi="Times New Roman" w:cs="Times New Roman"/>
              </w:rPr>
            </w:pPr>
          </w:p>
          <w:p w14:paraId="79E38AB5" w14:textId="77777777" w:rsidR="00B52031" w:rsidRPr="00985B6F" w:rsidRDefault="00B52031" w:rsidP="00985B6F">
            <w:pPr>
              <w:spacing w:line="259" w:lineRule="auto"/>
              <w:jc w:val="both"/>
              <w:rPr>
                <w:rFonts w:ascii="Times New Roman" w:hAnsi="Times New Roman" w:cs="Times New Roman"/>
              </w:rPr>
            </w:pPr>
          </w:p>
          <w:p w14:paraId="27325FC1" w14:textId="77777777" w:rsidR="00B52031" w:rsidRPr="00985B6F" w:rsidRDefault="00B52031" w:rsidP="00985B6F">
            <w:pPr>
              <w:spacing w:line="259" w:lineRule="auto"/>
              <w:jc w:val="both"/>
              <w:rPr>
                <w:rFonts w:ascii="Times New Roman" w:hAnsi="Times New Roman" w:cs="Times New Roman"/>
              </w:rPr>
            </w:pPr>
          </w:p>
          <w:p w14:paraId="15CEEBA3" w14:textId="77777777" w:rsidR="00B52031" w:rsidRPr="00985B6F" w:rsidRDefault="00B52031" w:rsidP="00985B6F">
            <w:pPr>
              <w:spacing w:line="259" w:lineRule="auto"/>
              <w:jc w:val="both"/>
              <w:rPr>
                <w:rFonts w:ascii="Times New Roman" w:hAnsi="Times New Roman" w:cs="Times New Roman"/>
              </w:rPr>
            </w:pPr>
          </w:p>
          <w:p w14:paraId="4FD679BF" w14:textId="00C3E997" w:rsidR="00D45906" w:rsidRPr="00985B6F" w:rsidRDefault="00D45906" w:rsidP="00985B6F">
            <w:pPr>
              <w:spacing w:line="259" w:lineRule="auto"/>
              <w:jc w:val="both"/>
              <w:rPr>
                <w:rFonts w:ascii="Times New Roman" w:hAnsi="Times New Roman" w:cs="Times New Roman"/>
              </w:rPr>
            </w:pPr>
          </w:p>
          <w:p w14:paraId="76E4F236" w14:textId="482CEFD6" w:rsidR="00250C42" w:rsidRPr="00985B6F" w:rsidRDefault="00250C42" w:rsidP="00985B6F">
            <w:pPr>
              <w:spacing w:line="259" w:lineRule="auto"/>
              <w:jc w:val="both"/>
              <w:rPr>
                <w:rFonts w:ascii="Times New Roman" w:hAnsi="Times New Roman" w:cs="Times New Roman"/>
              </w:rPr>
            </w:pPr>
          </w:p>
          <w:p w14:paraId="7EF9D19C" w14:textId="50EB4AF4" w:rsidR="00250C42" w:rsidRPr="00985B6F" w:rsidRDefault="00250C42" w:rsidP="00985B6F">
            <w:pPr>
              <w:spacing w:line="259" w:lineRule="auto"/>
              <w:jc w:val="both"/>
              <w:rPr>
                <w:rFonts w:ascii="Times New Roman" w:hAnsi="Times New Roman" w:cs="Times New Roman"/>
              </w:rPr>
            </w:pPr>
          </w:p>
          <w:p w14:paraId="6DA74117" w14:textId="4478F003" w:rsidR="00250C42" w:rsidRPr="00985B6F" w:rsidRDefault="00250C42" w:rsidP="00985B6F">
            <w:pPr>
              <w:spacing w:line="259" w:lineRule="auto"/>
              <w:jc w:val="both"/>
              <w:rPr>
                <w:rFonts w:ascii="Times New Roman" w:hAnsi="Times New Roman" w:cs="Times New Roman"/>
              </w:rPr>
            </w:pPr>
          </w:p>
          <w:p w14:paraId="6E9C8937" w14:textId="0648F2ED" w:rsidR="00250C42" w:rsidRPr="00985B6F" w:rsidRDefault="00250C42" w:rsidP="00985B6F">
            <w:pPr>
              <w:spacing w:line="259" w:lineRule="auto"/>
              <w:jc w:val="both"/>
              <w:rPr>
                <w:rFonts w:ascii="Times New Roman" w:hAnsi="Times New Roman" w:cs="Times New Roman"/>
              </w:rPr>
            </w:pPr>
          </w:p>
          <w:p w14:paraId="379C2FF6" w14:textId="7DE8BD3D" w:rsidR="00250C42" w:rsidRPr="00985B6F" w:rsidRDefault="00250C42" w:rsidP="00985B6F">
            <w:pPr>
              <w:spacing w:line="259" w:lineRule="auto"/>
              <w:jc w:val="both"/>
              <w:rPr>
                <w:rFonts w:ascii="Times New Roman" w:hAnsi="Times New Roman" w:cs="Times New Roman"/>
              </w:rPr>
            </w:pPr>
          </w:p>
          <w:p w14:paraId="64B0DB4C" w14:textId="6FD9E27A" w:rsidR="00250C42" w:rsidRPr="00985B6F" w:rsidRDefault="00250C42" w:rsidP="00985B6F">
            <w:pPr>
              <w:spacing w:line="259" w:lineRule="auto"/>
              <w:jc w:val="both"/>
              <w:rPr>
                <w:rFonts w:ascii="Times New Roman" w:hAnsi="Times New Roman" w:cs="Times New Roman"/>
              </w:rPr>
            </w:pPr>
          </w:p>
          <w:p w14:paraId="14D2436E" w14:textId="61719605" w:rsidR="00250C42" w:rsidRPr="00985B6F" w:rsidRDefault="00250C42" w:rsidP="00985B6F">
            <w:pPr>
              <w:spacing w:line="259" w:lineRule="auto"/>
              <w:jc w:val="both"/>
              <w:rPr>
                <w:rFonts w:ascii="Times New Roman" w:hAnsi="Times New Roman" w:cs="Times New Roman"/>
              </w:rPr>
            </w:pPr>
          </w:p>
          <w:p w14:paraId="5D952D75" w14:textId="3EFDD412" w:rsidR="00250C42" w:rsidRPr="00985B6F" w:rsidRDefault="00250C42" w:rsidP="00985B6F">
            <w:pPr>
              <w:spacing w:line="259" w:lineRule="auto"/>
              <w:jc w:val="both"/>
              <w:rPr>
                <w:rFonts w:ascii="Times New Roman" w:hAnsi="Times New Roman" w:cs="Times New Roman"/>
              </w:rPr>
            </w:pPr>
          </w:p>
          <w:p w14:paraId="2ABD85F7" w14:textId="6995065B" w:rsidR="00250C42" w:rsidRDefault="00250C42" w:rsidP="00985B6F">
            <w:pPr>
              <w:spacing w:line="259" w:lineRule="auto"/>
              <w:jc w:val="both"/>
              <w:rPr>
                <w:rFonts w:ascii="Times New Roman" w:hAnsi="Times New Roman" w:cs="Times New Roman"/>
              </w:rPr>
            </w:pPr>
          </w:p>
          <w:p w14:paraId="1521B4CB" w14:textId="49217A28" w:rsidR="00985B6F" w:rsidRDefault="00985B6F" w:rsidP="00985B6F">
            <w:pPr>
              <w:spacing w:line="259" w:lineRule="auto"/>
              <w:jc w:val="both"/>
              <w:rPr>
                <w:rFonts w:ascii="Times New Roman" w:hAnsi="Times New Roman" w:cs="Times New Roman"/>
              </w:rPr>
            </w:pPr>
          </w:p>
          <w:p w14:paraId="24582308" w14:textId="64449CDB" w:rsidR="00985B6F" w:rsidRDefault="00985B6F" w:rsidP="00985B6F">
            <w:pPr>
              <w:spacing w:line="259" w:lineRule="auto"/>
              <w:jc w:val="both"/>
              <w:rPr>
                <w:rFonts w:ascii="Times New Roman" w:hAnsi="Times New Roman" w:cs="Times New Roman"/>
              </w:rPr>
            </w:pPr>
          </w:p>
          <w:p w14:paraId="37426B2E" w14:textId="0A169397" w:rsidR="00985B6F" w:rsidRDefault="00985B6F" w:rsidP="00985B6F">
            <w:pPr>
              <w:spacing w:line="259" w:lineRule="auto"/>
              <w:jc w:val="both"/>
              <w:rPr>
                <w:rFonts w:ascii="Times New Roman" w:hAnsi="Times New Roman" w:cs="Times New Roman"/>
              </w:rPr>
            </w:pPr>
          </w:p>
          <w:p w14:paraId="1F28AD19" w14:textId="7685561F" w:rsidR="00985B6F" w:rsidRDefault="00985B6F" w:rsidP="00985B6F">
            <w:pPr>
              <w:spacing w:line="259" w:lineRule="auto"/>
              <w:jc w:val="both"/>
              <w:rPr>
                <w:rFonts w:ascii="Times New Roman" w:hAnsi="Times New Roman" w:cs="Times New Roman"/>
              </w:rPr>
            </w:pPr>
          </w:p>
          <w:p w14:paraId="5571C145" w14:textId="77777777" w:rsidR="005265AA" w:rsidRDefault="005265AA" w:rsidP="00985B6F">
            <w:pPr>
              <w:spacing w:line="259" w:lineRule="auto"/>
              <w:jc w:val="both"/>
              <w:rPr>
                <w:rFonts w:ascii="Times New Roman" w:hAnsi="Times New Roman" w:cs="Times New Roman"/>
              </w:rPr>
            </w:pPr>
          </w:p>
          <w:p w14:paraId="7445CC62" w14:textId="34BEC5D0" w:rsidR="00985B6F" w:rsidRDefault="00985B6F" w:rsidP="00985B6F">
            <w:pPr>
              <w:spacing w:line="259" w:lineRule="auto"/>
              <w:jc w:val="both"/>
              <w:rPr>
                <w:rFonts w:ascii="Times New Roman" w:hAnsi="Times New Roman" w:cs="Times New Roman"/>
              </w:rPr>
            </w:pPr>
          </w:p>
          <w:p w14:paraId="7657804A" w14:textId="15E19690" w:rsidR="00985B6F" w:rsidRDefault="00985B6F" w:rsidP="00985B6F">
            <w:pPr>
              <w:spacing w:line="259" w:lineRule="auto"/>
              <w:jc w:val="both"/>
              <w:rPr>
                <w:rFonts w:ascii="Times New Roman" w:hAnsi="Times New Roman" w:cs="Times New Roman"/>
              </w:rPr>
            </w:pPr>
          </w:p>
          <w:p w14:paraId="54D3EAA5" w14:textId="25E5ED47" w:rsidR="00B66046" w:rsidRPr="00985B6F" w:rsidRDefault="00B66046" w:rsidP="00985B6F">
            <w:pPr>
              <w:spacing w:line="259" w:lineRule="auto"/>
              <w:jc w:val="both"/>
              <w:rPr>
                <w:rFonts w:ascii="Times New Roman" w:eastAsia="Calibri" w:hAnsi="Times New Roman" w:cs="Times New Roman"/>
                <w:b/>
                <w:bCs/>
                <w:i/>
                <w:iCs/>
                <w:kern w:val="2"/>
                <w14:ligatures w14:val="standardContextual"/>
              </w:rPr>
            </w:pPr>
            <w:r w:rsidRPr="00985B6F">
              <w:rPr>
                <w:rFonts w:ascii="Times New Roman" w:hAnsi="Times New Roman" w:cs="Times New Roman"/>
              </w:rPr>
              <w:t>7) фактична сума витрат відповідно до даних за формою звітності № 1- НКРЕКП-передача електричної енергії за статтями:</w:t>
            </w:r>
          </w:p>
          <w:p w14:paraId="5CF1DE6C" w14:textId="77777777" w:rsidR="00B66046" w:rsidRPr="00985B6F" w:rsidRDefault="00B66046" w:rsidP="00985B6F">
            <w:pPr>
              <w:spacing w:line="259" w:lineRule="auto"/>
              <w:jc w:val="both"/>
              <w:rPr>
                <w:rFonts w:ascii="Times New Roman" w:eastAsia="Calibri" w:hAnsi="Times New Roman" w:cs="Times New Roman"/>
                <w:i/>
                <w:iCs/>
                <w:kern w:val="2"/>
                <w14:ligatures w14:val="standardContextual"/>
              </w:rPr>
            </w:pPr>
            <w:r w:rsidRPr="00985B6F">
              <w:rPr>
                <w:rFonts w:ascii="Times New Roman" w:eastAsia="Calibri" w:hAnsi="Times New Roman" w:cs="Times New Roman"/>
                <w:i/>
                <w:iCs/>
                <w:kern w:val="2"/>
                <w14:ligatures w14:val="standardContextual"/>
              </w:rPr>
              <w:t>…..</w:t>
            </w:r>
          </w:p>
          <w:p w14:paraId="0383DFB8" w14:textId="0D3EF91C" w:rsidR="00B66046" w:rsidRPr="00985B6F" w:rsidRDefault="00B66046" w:rsidP="00985B6F">
            <w:pPr>
              <w:spacing w:line="259" w:lineRule="auto"/>
              <w:jc w:val="both"/>
              <w:rPr>
                <w:rFonts w:ascii="Times New Roman" w:eastAsia="Calibri" w:hAnsi="Times New Roman" w:cs="Times New Roman"/>
                <w:b/>
                <w:bCs/>
                <w:i/>
                <w:iCs/>
                <w:kern w:val="2"/>
                <w14:ligatures w14:val="standardContextual"/>
              </w:rPr>
            </w:pPr>
            <w:r w:rsidRPr="00985B6F">
              <w:rPr>
                <w:rFonts w:ascii="Times New Roman" w:hAnsi="Times New Roman" w:cs="Times New Roman"/>
              </w:rPr>
              <w:t>«Сировина і матеріали», «Витрати на паспортизацію будівель і споруд та державну реєстрацію речових прав на нерухоме майно», в тому числі «витрати на оформлення прав користування земельними ділянками» з урахуванням капіталізованих витрат за бухгалтерським обліком при виконанні діяльності з передачі електричної енергії відповідно до графи 11 «Інше» (фактично);»;</w:t>
            </w:r>
          </w:p>
        </w:tc>
        <w:tc>
          <w:tcPr>
            <w:tcW w:w="1714" w:type="pct"/>
          </w:tcPr>
          <w:p w14:paraId="7E55D323" w14:textId="77777777" w:rsidR="00250C42" w:rsidRPr="00985B6F" w:rsidRDefault="00250C42" w:rsidP="00985B6F">
            <w:pPr>
              <w:ind w:firstLine="320"/>
              <w:jc w:val="both"/>
              <w:rPr>
                <w:rFonts w:ascii="Times New Roman" w:hAnsi="Times New Roman" w:cs="Times New Roman"/>
                <w:bCs/>
                <w:i/>
                <w:shd w:val="clear" w:color="auto" w:fill="FFFFFF"/>
              </w:rPr>
            </w:pPr>
            <w:r w:rsidRPr="00985B6F">
              <w:rPr>
                <w:rFonts w:ascii="Times New Roman" w:hAnsi="Times New Roman" w:cs="Times New Roman"/>
                <w:bCs/>
                <w:i/>
                <w:shd w:val="clear" w:color="auto" w:fill="FFFFFF"/>
              </w:rPr>
              <w:lastRenderedPageBreak/>
              <w:t>НЕК «УКРЕНЕРГО»</w:t>
            </w:r>
          </w:p>
          <w:p w14:paraId="2350618C"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644C6803" w14:textId="3D91F427" w:rsidR="00B66046" w:rsidRPr="00985B6F" w:rsidRDefault="001129C4"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 xml:space="preserve">4. </w:t>
            </w:r>
            <w:r w:rsidRPr="00985B6F">
              <w:rPr>
                <w:rFonts w:ascii="Times New Roman" w:hAnsi="Times New Roman" w:cs="Times New Roman"/>
                <w:bCs/>
                <w:shd w:val="clear" w:color="auto" w:fill="FFFFFF"/>
              </w:rPr>
              <w:t xml:space="preserve">З </w:t>
            </w:r>
            <w:r w:rsidR="00B66046" w:rsidRPr="00985B6F">
              <w:rPr>
                <w:rFonts w:ascii="Times New Roman" w:hAnsi="Times New Roman" w:cs="Times New Roman"/>
                <w:bCs/>
                <w:shd w:val="clear" w:color="auto" w:fill="FFFFFF"/>
              </w:rPr>
              <w:t>метою визначення об’єктивної суми коштів, отриманої для фінансування ОСП від здійснення діяльності з диспетчерського (</w:t>
            </w:r>
            <w:proofErr w:type="spellStart"/>
            <w:r w:rsidR="00B66046" w:rsidRPr="00985B6F">
              <w:rPr>
                <w:rFonts w:ascii="Times New Roman" w:hAnsi="Times New Roman" w:cs="Times New Roman"/>
                <w:bCs/>
                <w:shd w:val="clear" w:color="auto" w:fill="FFFFFF"/>
              </w:rPr>
              <w:t>оперативно</w:t>
            </w:r>
            <w:proofErr w:type="spellEnd"/>
            <w:r w:rsidR="00B66046" w:rsidRPr="00985B6F">
              <w:rPr>
                <w:rFonts w:ascii="Times New Roman" w:hAnsi="Times New Roman" w:cs="Times New Roman"/>
                <w:bCs/>
                <w:shd w:val="clear" w:color="auto" w:fill="FFFFFF"/>
              </w:rPr>
              <w:t>-технологічного) управління, при проведенні планових або позапланових перевірок в акті перевірки фіксуються такі показники:</w:t>
            </w:r>
          </w:p>
          <w:p w14:paraId="623F3525" w14:textId="77777777" w:rsidR="00B66046" w:rsidRPr="00985B6F" w:rsidRDefault="00B66046" w:rsidP="00985B6F">
            <w:pPr>
              <w:jc w:val="both"/>
              <w:rPr>
                <w:rStyle w:val="st42"/>
                <w:rFonts w:ascii="Times New Roman" w:hAnsi="Times New Roman" w:cs="Times New Roman"/>
              </w:rPr>
            </w:pPr>
            <w:r w:rsidRPr="00985B6F">
              <w:rPr>
                <w:rStyle w:val="st42"/>
                <w:rFonts w:ascii="Times New Roman" w:hAnsi="Times New Roman" w:cs="Times New Roman"/>
              </w:rPr>
              <w:t>….</w:t>
            </w:r>
          </w:p>
          <w:p w14:paraId="0519144A" w14:textId="77777777" w:rsidR="00804829" w:rsidRPr="00985B6F" w:rsidRDefault="00804829" w:rsidP="00985B6F">
            <w:pPr>
              <w:jc w:val="both"/>
              <w:rPr>
                <w:rFonts w:ascii="Times New Roman" w:hAnsi="Times New Roman" w:cs="Times New Roman"/>
              </w:rPr>
            </w:pPr>
            <w:r w:rsidRPr="00985B6F">
              <w:rPr>
                <w:rFonts w:ascii="Times New Roman" w:hAnsi="Times New Roman" w:cs="Times New Roman"/>
              </w:rPr>
              <w:t>5) фактична сума нарахованих витрат на врегулювання системних обмежень у звітному році (помісячно). У тому числі окремо зазначити суму сальдованого збору за небаланс електричної енергії (субрахунок UA-1) станом на початок та кінець звітного року</w:t>
            </w:r>
            <w:r w:rsidRPr="00985B6F">
              <w:rPr>
                <w:rFonts w:ascii="Times New Roman" w:hAnsi="Times New Roman" w:cs="Times New Roman"/>
                <w:strike/>
              </w:rPr>
              <w:t xml:space="preserve">, а також сум нарахувань та списань за звітний рік (помісячно), розрахованих відповідно до Правил ринку, затверджених постановою НКРЕКП від 14 березня 2018 року № 307 (далі – Правила ринку), </w:t>
            </w:r>
            <w:r w:rsidRPr="00985B6F">
              <w:rPr>
                <w:rFonts w:ascii="Times New Roman" w:hAnsi="Times New Roman" w:cs="Times New Roman"/>
                <w:b/>
                <w:bCs/>
              </w:rPr>
              <w:t>на підставі даних:</w:t>
            </w:r>
            <w:r w:rsidRPr="00985B6F">
              <w:rPr>
                <w:rFonts w:ascii="Times New Roman" w:hAnsi="Times New Roman" w:cs="Times New Roman"/>
              </w:rPr>
              <w:t xml:space="preserve"> </w:t>
            </w:r>
          </w:p>
          <w:p w14:paraId="6EBA19B2" w14:textId="77777777" w:rsidR="001E2275" w:rsidRPr="00985B6F" w:rsidRDefault="001E2275" w:rsidP="00985B6F">
            <w:pPr>
              <w:ind w:firstLine="458"/>
              <w:jc w:val="both"/>
              <w:rPr>
                <w:rFonts w:ascii="Times New Roman" w:hAnsi="Times New Roman" w:cs="Times New Roman"/>
                <w:strike/>
              </w:rPr>
            </w:pPr>
            <w:r w:rsidRPr="00985B6F">
              <w:rPr>
                <w:rFonts w:ascii="Times New Roman" w:hAnsi="Times New Roman" w:cs="Times New Roman"/>
                <w:strike/>
              </w:rPr>
              <w:t>сальдованого значення нарахувань та списань за активовану балансуючу електричну енергію всіх постачальників послуг з балансування (CINSTQ), розрахованого відповідно до Правил ринку;</w:t>
            </w:r>
          </w:p>
          <w:p w14:paraId="7478A40B" w14:textId="77777777" w:rsidR="001E2275" w:rsidRPr="00985B6F" w:rsidRDefault="001E2275" w:rsidP="00985B6F">
            <w:pPr>
              <w:ind w:firstLine="458"/>
              <w:jc w:val="both"/>
              <w:rPr>
                <w:rFonts w:ascii="Times New Roman" w:hAnsi="Times New Roman" w:cs="Times New Roman"/>
                <w:strike/>
              </w:rPr>
            </w:pPr>
            <w:r w:rsidRPr="00985B6F">
              <w:rPr>
                <w:rFonts w:ascii="Times New Roman" w:hAnsi="Times New Roman" w:cs="Times New Roman"/>
                <w:strike/>
              </w:rPr>
              <w:t xml:space="preserve">сальдованого значення нарахувань та списань за небаланс електричної енергії всіх сторін, відповідальних за баланс (CIEQ), що розраховується відповідно до Правил ринку; </w:t>
            </w:r>
          </w:p>
          <w:p w14:paraId="533A26DE" w14:textId="77777777" w:rsidR="001E2275" w:rsidRPr="00985B6F" w:rsidRDefault="001E2275" w:rsidP="00985B6F">
            <w:pPr>
              <w:ind w:firstLine="458"/>
              <w:jc w:val="both"/>
              <w:rPr>
                <w:rFonts w:ascii="Times New Roman" w:hAnsi="Times New Roman" w:cs="Times New Roman"/>
                <w:strike/>
              </w:rPr>
            </w:pPr>
            <w:r w:rsidRPr="00985B6F">
              <w:rPr>
                <w:rFonts w:ascii="Times New Roman" w:hAnsi="Times New Roman" w:cs="Times New Roman"/>
                <w:strike/>
              </w:rPr>
              <w:t xml:space="preserve">сальдованого значення нарахувань та списань за отримання/надання аварійної допомоги відповідно до договорів, укладених з операторами систем передачі суміжних держав та позапланових </w:t>
            </w:r>
            <w:proofErr w:type="spellStart"/>
            <w:r w:rsidRPr="00985B6F">
              <w:rPr>
                <w:rFonts w:ascii="Times New Roman" w:hAnsi="Times New Roman" w:cs="Times New Roman"/>
                <w:strike/>
              </w:rPr>
              <w:t>перетоків</w:t>
            </w:r>
            <w:proofErr w:type="spellEnd"/>
            <w:r w:rsidRPr="00985B6F">
              <w:rPr>
                <w:rFonts w:ascii="Times New Roman" w:hAnsi="Times New Roman" w:cs="Times New Roman"/>
                <w:strike/>
              </w:rPr>
              <w:t xml:space="preserve"> електричної енергії. </w:t>
            </w:r>
          </w:p>
          <w:p w14:paraId="18D72559" w14:textId="1D7B6ADC" w:rsidR="00370BCE" w:rsidRPr="00985B6F" w:rsidRDefault="00370BCE" w:rsidP="00985B6F">
            <w:pPr>
              <w:ind w:firstLine="457"/>
              <w:jc w:val="both"/>
              <w:rPr>
                <w:rFonts w:ascii="Times New Roman" w:hAnsi="Times New Roman" w:cs="Times New Roman"/>
                <w:b/>
                <w:bCs/>
              </w:rPr>
            </w:pPr>
            <w:r w:rsidRPr="00985B6F">
              <w:rPr>
                <w:rStyle w:val="ui-provider"/>
                <w:rFonts w:ascii="Times New Roman" w:hAnsi="Times New Roman" w:cs="Times New Roman"/>
                <w:b/>
                <w:bCs/>
              </w:rPr>
              <w:t>залишок коштів на поточних рахунках із спеціальним режимом використання ОСП станом на кінець розрахункового місяця (</w:t>
            </w:r>
            <m:oMath>
              <m:sSub>
                <m:sSubPr>
                  <m:ctrlPr>
                    <w:rPr>
                      <w:rFonts w:ascii="Cambria Math" w:eastAsia="Times New Roman" w:hAnsi="Cambria Math" w:cs="Times New Roman"/>
                      <w:b/>
                      <w:bCs/>
                      <w:noProof/>
                      <w:lang w:eastAsia="ru-RU"/>
                    </w:rPr>
                  </m:ctrlPr>
                </m:sSubPr>
                <m:e>
                  <m:r>
                    <m:rPr>
                      <m:sty m:val="b"/>
                    </m:rPr>
                    <w:rPr>
                      <w:rFonts w:ascii="Cambria Math" w:eastAsia="Times New Roman" w:hAnsi="Cambria Math" w:cs="Times New Roman"/>
                      <w:lang w:eastAsia="uk-UA"/>
                    </w:rPr>
                    <m:t xml:space="preserve">ГК </m:t>
                  </m:r>
                </m:e>
                <m:sub>
                  <m:r>
                    <m:rPr>
                      <m:sty m:val="bi"/>
                    </m:rPr>
                    <w:rPr>
                      <w:rFonts w:ascii="Cambria Math" w:eastAsia="Times New Roman" w:hAnsi="Cambria Math" w:cs="Times New Roman"/>
                      <w:noProof/>
                      <w:lang w:eastAsia="ru-RU"/>
                    </w:rPr>
                    <m:t>кін</m:t>
                  </m:r>
                  <m:r>
                    <m:rPr>
                      <m:sty m:val="b"/>
                    </m:rPr>
                    <w:rPr>
                      <w:rFonts w:ascii="Cambria Math" w:eastAsia="Times New Roman" w:hAnsi="Cambria Math" w:cs="Times New Roman"/>
                      <w:noProof/>
                      <w:lang w:eastAsia="ru-RU"/>
                    </w:rPr>
                    <m:t xml:space="preserve"> </m:t>
                  </m:r>
                  <m:r>
                    <m:rPr>
                      <m:sty m:val="bi"/>
                    </m:rPr>
                    <w:rPr>
                      <w:rFonts w:ascii="Cambria Math" w:eastAsia="Times New Roman" w:hAnsi="Cambria Math" w:cs="Times New Roman"/>
                      <w:noProof/>
                      <w:lang w:eastAsia="ru-RU"/>
                    </w:rPr>
                    <m:t>m</m:t>
                  </m:r>
                </m:sub>
              </m:sSub>
            </m:oMath>
            <w:r w:rsidRPr="00985B6F">
              <w:rPr>
                <w:rFonts w:ascii="Times New Roman" w:eastAsiaTheme="minorEastAsia" w:hAnsi="Times New Roman" w:cs="Times New Roman"/>
                <w:b/>
                <w:bCs/>
                <w:lang w:eastAsia="ru-RU"/>
              </w:rPr>
              <w:t>)</w:t>
            </w:r>
          </w:p>
          <w:p w14:paraId="0ACABC27" w14:textId="7FF64297" w:rsidR="00370BCE" w:rsidRPr="00985B6F" w:rsidRDefault="00370BCE" w:rsidP="00985B6F">
            <w:pPr>
              <w:ind w:firstLine="457"/>
              <w:jc w:val="both"/>
              <w:rPr>
                <w:rFonts w:ascii="Times New Roman" w:hAnsi="Times New Roman" w:cs="Times New Roman"/>
                <w:b/>
                <w:bCs/>
              </w:rPr>
            </w:pPr>
            <w:r w:rsidRPr="00985B6F">
              <w:rPr>
                <w:rFonts w:ascii="Times New Roman" w:eastAsia="Times New Roman" w:hAnsi="Times New Roman" w:cs="Times New Roman"/>
                <w:b/>
                <w:bCs/>
                <w:lang w:eastAsia="uk-UA"/>
              </w:rPr>
              <w:t xml:space="preserve">сума усіх зобов’язань ППБ e та СВБ b перед ОСП, що сформувалася на кінець розрахункового </w:t>
            </w:r>
            <w:r w:rsidRPr="00985B6F">
              <w:rPr>
                <w:rFonts w:ascii="Times New Roman" w:eastAsia="Times New Roman" w:hAnsi="Times New Roman" w:cs="Times New Roman"/>
                <w:b/>
                <w:bCs/>
                <w:lang w:eastAsia="uk-UA"/>
              </w:rPr>
              <w:lastRenderedPageBreak/>
              <w:t xml:space="preserve">місяця, у </w:t>
            </w:r>
            <w:proofErr w:type="spellStart"/>
            <w:r w:rsidRPr="00985B6F">
              <w:rPr>
                <w:rFonts w:ascii="Times New Roman" w:eastAsia="Times New Roman" w:hAnsi="Times New Roman" w:cs="Times New Roman"/>
                <w:b/>
                <w:bCs/>
                <w:lang w:eastAsia="uk-UA"/>
              </w:rPr>
              <w:t>т.ч</w:t>
            </w:r>
            <w:proofErr w:type="spellEnd"/>
            <w:r w:rsidRPr="00985B6F">
              <w:rPr>
                <w:rFonts w:ascii="Times New Roman" w:eastAsia="Times New Roman" w:hAnsi="Times New Roman" w:cs="Times New Roman"/>
                <w:b/>
                <w:bCs/>
                <w:lang w:eastAsia="uk-UA"/>
              </w:rPr>
              <w:t xml:space="preserve">. </w:t>
            </w:r>
            <w:r w:rsidRPr="00985B6F">
              <w:rPr>
                <w:rFonts w:ascii="Times New Roman" w:hAnsi="Times New Roman" w:cs="Times New Roman"/>
                <w:b/>
                <w:bCs/>
                <w:shd w:val="clear" w:color="auto" w:fill="FFFFFF"/>
              </w:rPr>
              <w:t>з метою надання/отримання аварійного постачання електричної енергії від операторів системи передачі інших держав,</w:t>
            </w:r>
            <w:r w:rsidRPr="00985B6F">
              <w:rPr>
                <w:rStyle w:val="ui-provider"/>
                <w:rFonts w:ascii="Times New Roman" w:hAnsi="Times New Roman" w:cs="Times New Roman"/>
                <w:b/>
                <w:bCs/>
              </w:rPr>
              <w:t xml:space="preserve"> зобов’язань, що виникли при застосуванні механізму фінансового врегулювання відхилень перетікань електричної енергії від планових значень, пов’язаних із забезпеченням паралельної роботи між енергосистемами (</w:t>
            </w:r>
            <m:oMath>
              <m:sSub>
                <m:sSubPr>
                  <m:ctrlPr>
                    <w:rPr>
                      <w:rFonts w:ascii="Cambria Math" w:eastAsia="Times New Roman" w:hAnsi="Cambria Math" w:cs="Times New Roman"/>
                      <w:b/>
                      <w:bCs/>
                      <w:noProof/>
                      <w:lang w:eastAsia="ru-RU"/>
                    </w:rPr>
                  </m:ctrlPr>
                </m:sSubPr>
                <m:e>
                  <m:r>
                    <m:rPr>
                      <m:sty m:val="b"/>
                    </m:rPr>
                    <w:rPr>
                      <w:rFonts w:ascii="Cambria Math" w:eastAsia="Times New Roman" w:hAnsi="Cambria Math" w:cs="Times New Roman"/>
                      <w:lang w:eastAsia="uk-UA"/>
                    </w:rPr>
                    <m:t xml:space="preserve">ДЗ </m:t>
                  </m:r>
                </m:e>
                <m:sub>
                  <m:r>
                    <m:rPr>
                      <m:sty m:val="bi"/>
                    </m:rPr>
                    <w:rPr>
                      <w:rFonts w:ascii="Cambria Math" w:eastAsia="Times New Roman" w:hAnsi="Cambria Math" w:cs="Times New Roman"/>
                      <w:noProof/>
                      <w:lang w:eastAsia="ru-RU"/>
                    </w:rPr>
                    <m:t>кін</m:t>
                  </m:r>
                  <m:r>
                    <m:rPr>
                      <m:sty m:val="b"/>
                    </m:rPr>
                    <w:rPr>
                      <w:rFonts w:ascii="Cambria Math" w:eastAsia="Times New Roman" w:hAnsi="Cambria Math" w:cs="Times New Roman"/>
                      <w:noProof/>
                      <w:lang w:eastAsia="ru-RU"/>
                    </w:rPr>
                    <m:t xml:space="preserve"> </m:t>
                  </m:r>
                  <m:r>
                    <m:rPr>
                      <m:sty m:val="bi"/>
                    </m:rPr>
                    <w:rPr>
                      <w:rFonts w:ascii="Cambria Math" w:eastAsia="Times New Roman" w:hAnsi="Cambria Math" w:cs="Times New Roman"/>
                      <w:noProof/>
                      <w:lang w:eastAsia="ru-RU"/>
                    </w:rPr>
                    <m:t>m</m:t>
                  </m:r>
                </m:sub>
              </m:sSub>
              <m:r>
                <m:rPr>
                  <m:sty m:val="bi"/>
                </m:rPr>
                <w:rPr>
                  <w:rFonts w:ascii="Cambria Math" w:eastAsia="Times New Roman" w:hAnsi="Cambria Math" w:cs="Times New Roman"/>
                  <w:noProof/>
                  <w:lang w:eastAsia="ru-RU"/>
                </w:rPr>
                <m:t>)</m:t>
              </m:r>
            </m:oMath>
          </w:p>
          <w:p w14:paraId="65FBB72B" w14:textId="7DA5B462" w:rsidR="00370BCE" w:rsidRPr="00985B6F" w:rsidRDefault="00370BCE" w:rsidP="00985B6F">
            <w:pPr>
              <w:ind w:firstLine="316"/>
              <w:jc w:val="both"/>
              <w:rPr>
                <w:rStyle w:val="ui-provider"/>
                <w:rFonts w:ascii="Times New Roman" w:eastAsia="Calibri" w:hAnsi="Times New Roman" w:cs="Times New Roman"/>
                <w:b/>
                <w:bCs/>
              </w:rPr>
            </w:pPr>
            <w:r w:rsidRPr="00985B6F">
              <w:rPr>
                <w:rStyle w:val="ui-provider"/>
                <w:rFonts w:ascii="Times New Roman" w:hAnsi="Times New Roman" w:cs="Times New Roman"/>
                <w:b/>
                <w:bCs/>
              </w:rPr>
              <w:t>заборгованість учасників ринку, крім ОСП, ОР та гарантованого покупця, яка визнана такою відповідно до ст.1.7.4 постанови НКРЕКП від 14.03.2018 №307 «Про затвердження Правил ринку» (далі – Правила ринку), період існування статусу «</w:t>
            </w:r>
            <w:proofErr w:type="spellStart"/>
            <w:r w:rsidRPr="00985B6F">
              <w:rPr>
                <w:rStyle w:val="ui-provider"/>
                <w:rFonts w:ascii="Times New Roman" w:hAnsi="Times New Roman" w:cs="Times New Roman"/>
                <w:b/>
                <w:bCs/>
              </w:rPr>
              <w:t>Дефолтний</w:t>
            </w:r>
            <w:proofErr w:type="spellEnd"/>
            <w:r w:rsidRPr="00985B6F">
              <w:rPr>
                <w:rStyle w:val="ui-provider"/>
                <w:rFonts w:ascii="Times New Roman" w:hAnsi="Times New Roman" w:cs="Times New Roman"/>
                <w:b/>
                <w:bCs/>
              </w:rPr>
              <w:t xml:space="preserve">» по яким перевищує 365 днів </w:t>
            </w:r>
            <m:oMath>
              <m:r>
                <m:rPr>
                  <m:sty m:val="bi"/>
                </m:rPr>
                <w:rPr>
                  <w:rStyle w:val="ui-provider"/>
                  <w:rFonts w:ascii="Cambria Math" w:hAnsi="Cambria Math" w:cs="Times New Roman"/>
                </w:rPr>
                <m:t>(</m:t>
              </m:r>
              <m:sSub>
                <m:sSubPr>
                  <m:ctrlPr>
                    <w:rPr>
                      <w:rFonts w:ascii="Cambria Math" w:eastAsia="Times New Roman" w:hAnsi="Cambria Math" w:cs="Times New Roman"/>
                      <w:b/>
                      <w:bCs/>
                      <w:noProof/>
                      <w:lang w:eastAsia="ru-RU"/>
                    </w:rPr>
                  </m:ctrlPr>
                </m:sSubPr>
                <m:e>
                  <m:r>
                    <m:rPr>
                      <m:sty m:val="b"/>
                    </m:rPr>
                    <w:rPr>
                      <w:rFonts w:ascii="Cambria Math" w:eastAsia="Times New Roman" w:hAnsi="Cambria Math" w:cs="Times New Roman"/>
                      <w:lang w:eastAsia="uk-UA"/>
                    </w:rPr>
                    <m:t xml:space="preserve">ДефДЗ </m:t>
                  </m:r>
                </m:e>
                <m:sub>
                  <m:r>
                    <m:rPr>
                      <m:sty m:val="bi"/>
                    </m:rPr>
                    <w:rPr>
                      <w:rFonts w:ascii="Cambria Math" w:eastAsia="Times New Roman" w:hAnsi="Cambria Math" w:cs="Times New Roman"/>
                      <w:noProof/>
                      <w:lang w:eastAsia="ru-RU"/>
                    </w:rPr>
                    <m:t>кін</m:t>
                  </m:r>
                  <m:r>
                    <m:rPr>
                      <m:sty m:val="b"/>
                    </m:rPr>
                    <w:rPr>
                      <w:rFonts w:ascii="Cambria Math" w:eastAsia="Times New Roman" w:hAnsi="Cambria Math" w:cs="Times New Roman"/>
                      <w:noProof/>
                      <w:lang w:eastAsia="ru-RU"/>
                    </w:rPr>
                    <m:t xml:space="preserve"> </m:t>
                  </m:r>
                  <m:r>
                    <m:rPr>
                      <m:sty m:val="bi"/>
                    </m:rPr>
                    <w:rPr>
                      <w:rFonts w:ascii="Cambria Math" w:eastAsia="Times New Roman" w:hAnsi="Cambria Math" w:cs="Times New Roman"/>
                      <w:noProof/>
                      <w:lang w:eastAsia="ru-RU"/>
                    </w:rPr>
                    <m:t>m</m:t>
                  </m:r>
                </m:sub>
              </m:sSub>
              <m:r>
                <m:rPr>
                  <m:sty m:val="bi"/>
                </m:rPr>
                <w:rPr>
                  <w:rFonts w:ascii="Cambria Math" w:eastAsia="Times New Roman" w:hAnsi="Cambria Math" w:cs="Times New Roman"/>
                  <w:noProof/>
                  <w:lang w:eastAsia="ru-RU"/>
                </w:rPr>
                <m:t>)</m:t>
              </m:r>
            </m:oMath>
            <w:r w:rsidRPr="00985B6F">
              <w:rPr>
                <w:rStyle w:val="ui-provider"/>
                <w:rFonts w:ascii="Times New Roman" w:hAnsi="Times New Roman" w:cs="Times New Roman"/>
                <w:b/>
                <w:bCs/>
              </w:rPr>
              <w:t>;</w:t>
            </w:r>
          </w:p>
          <w:p w14:paraId="1D88CF14" w14:textId="73013AEB" w:rsidR="00370BCE" w:rsidRPr="00985B6F" w:rsidRDefault="00370BCE" w:rsidP="00985B6F">
            <w:pPr>
              <w:ind w:firstLine="457"/>
              <w:jc w:val="both"/>
              <w:rPr>
                <w:rFonts w:ascii="Times New Roman" w:hAnsi="Times New Roman" w:cs="Times New Roman"/>
              </w:rPr>
            </w:pPr>
            <w:r w:rsidRPr="00985B6F">
              <w:rPr>
                <w:rFonts w:ascii="Times New Roman" w:eastAsia="Times New Roman" w:hAnsi="Times New Roman" w:cs="Times New Roman"/>
                <w:b/>
                <w:bCs/>
                <w:lang w:eastAsia="uk-UA"/>
              </w:rPr>
              <w:t xml:space="preserve">сума усіх зобов’язань ОСП </w:t>
            </w:r>
            <w:r w:rsidRPr="00985B6F">
              <w:rPr>
                <w:rStyle w:val="ui-provider"/>
                <w:rFonts w:ascii="Times New Roman" w:hAnsi="Times New Roman" w:cs="Times New Roman"/>
                <w:b/>
                <w:bCs/>
              </w:rPr>
              <w:t xml:space="preserve">перед </w:t>
            </w:r>
            <w:r w:rsidRPr="00985B6F">
              <w:rPr>
                <w:rFonts w:ascii="Times New Roman" w:eastAsia="Times New Roman" w:hAnsi="Times New Roman" w:cs="Times New Roman"/>
                <w:b/>
                <w:bCs/>
                <w:lang w:eastAsia="uk-UA"/>
              </w:rPr>
              <w:t xml:space="preserve">ППБ e та СВБ b, що сформувалася на кінець розрахункового місяця, у </w:t>
            </w:r>
            <w:proofErr w:type="spellStart"/>
            <w:r w:rsidRPr="00985B6F">
              <w:rPr>
                <w:rFonts w:ascii="Times New Roman" w:eastAsia="Times New Roman" w:hAnsi="Times New Roman" w:cs="Times New Roman"/>
                <w:b/>
                <w:bCs/>
                <w:lang w:eastAsia="uk-UA"/>
              </w:rPr>
              <w:t>т.ч</w:t>
            </w:r>
            <w:proofErr w:type="spellEnd"/>
            <w:r w:rsidRPr="00985B6F">
              <w:rPr>
                <w:rFonts w:ascii="Times New Roman" w:eastAsia="Times New Roman" w:hAnsi="Times New Roman" w:cs="Times New Roman"/>
                <w:b/>
                <w:bCs/>
                <w:lang w:eastAsia="uk-UA"/>
              </w:rPr>
              <w:t xml:space="preserve">. </w:t>
            </w:r>
            <w:r w:rsidRPr="00985B6F">
              <w:rPr>
                <w:rFonts w:ascii="Times New Roman" w:hAnsi="Times New Roman" w:cs="Times New Roman"/>
                <w:b/>
                <w:bCs/>
                <w:shd w:val="clear" w:color="auto" w:fill="FFFFFF"/>
              </w:rPr>
              <w:t>з метою надання/отримання аварійного постачання електричної енергії від операторів системи передачі інших держав</w:t>
            </w:r>
            <w:r w:rsidRPr="00985B6F">
              <w:rPr>
                <w:rStyle w:val="ui-provider"/>
                <w:rFonts w:ascii="Times New Roman" w:hAnsi="Times New Roman" w:cs="Times New Roman"/>
                <w:b/>
                <w:bCs/>
              </w:rPr>
              <w:t xml:space="preserve">, зобов’язань, що виникли при застосуванні механізму фінансового врегулювання відхилень </w:t>
            </w:r>
            <w:r w:rsidR="007F3FD4" w:rsidRPr="00985B6F">
              <w:rPr>
                <w:rStyle w:val="ui-provider"/>
                <w:rFonts w:ascii="Times New Roman" w:hAnsi="Times New Roman" w:cs="Times New Roman"/>
                <w:b/>
                <w:bCs/>
              </w:rPr>
              <w:t>фактичних значень перетікань електричної енергії від планових значень (</w:t>
            </w:r>
            <w:proofErr w:type="spellStart"/>
            <w:r w:rsidR="007F3FD4" w:rsidRPr="00985B6F">
              <w:rPr>
                <w:rStyle w:val="ui-provider"/>
                <w:rFonts w:ascii="Times New Roman" w:hAnsi="Times New Roman" w:cs="Times New Roman"/>
                <w:b/>
                <w:bCs/>
              </w:rPr>
              <w:t>FSkar</w:t>
            </w:r>
            <w:proofErr w:type="spellEnd"/>
            <w:r w:rsidR="007F3FD4" w:rsidRPr="00985B6F">
              <w:rPr>
                <w:rStyle w:val="ui-provider"/>
                <w:rFonts w:ascii="Times New Roman" w:hAnsi="Times New Roman" w:cs="Times New Roman"/>
                <w:b/>
                <w:bCs/>
              </w:rPr>
              <w:t>),</w:t>
            </w:r>
            <w:r w:rsidRPr="00985B6F">
              <w:rPr>
                <w:rStyle w:val="ui-provider"/>
                <w:rFonts w:ascii="Times New Roman" w:hAnsi="Times New Roman" w:cs="Times New Roman"/>
                <w:b/>
                <w:bCs/>
              </w:rPr>
              <w:t xml:space="preserve"> пов’язаних із забезпеченням паралельної роботи між енергосистемами (</w:t>
            </w:r>
            <m:oMath>
              <m:sSub>
                <m:sSubPr>
                  <m:ctrlPr>
                    <w:rPr>
                      <w:rFonts w:ascii="Cambria Math" w:eastAsia="Times New Roman" w:hAnsi="Cambria Math" w:cs="Times New Roman"/>
                      <w:b/>
                      <w:bCs/>
                      <w:noProof/>
                      <w:lang w:eastAsia="ru-RU"/>
                    </w:rPr>
                  </m:ctrlPr>
                </m:sSubPr>
                <m:e>
                  <m:r>
                    <m:rPr>
                      <m:sty m:val="b"/>
                    </m:rPr>
                    <w:rPr>
                      <w:rFonts w:ascii="Cambria Math" w:eastAsia="Times New Roman" w:hAnsi="Cambria Math" w:cs="Times New Roman"/>
                      <w:lang w:eastAsia="uk-UA"/>
                    </w:rPr>
                    <m:t xml:space="preserve">КЗ </m:t>
                  </m:r>
                </m:e>
                <m:sub>
                  <m:r>
                    <m:rPr>
                      <m:sty m:val="bi"/>
                    </m:rPr>
                    <w:rPr>
                      <w:rFonts w:ascii="Cambria Math" w:eastAsia="Times New Roman" w:hAnsi="Cambria Math" w:cs="Times New Roman"/>
                      <w:noProof/>
                      <w:lang w:eastAsia="ru-RU"/>
                    </w:rPr>
                    <m:t>кін</m:t>
                  </m:r>
                  <m:r>
                    <m:rPr>
                      <m:sty m:val="b"/>
                    </m:rPr>
                    <w:rPr>
                      <w:rFonts w:ascii="Cambria Math" w:eastAsia="Times New Roman" w:hAnsi="Cambria Math" w:cs="Times New Roman"/>
                      <w:noProof/>
                      <w:lang w:eastAsia="ru-RU"/>
                    </w:rPr>
                    <m:t xml:space="preserve"> </m:t>
                  </m:r>
                  <m:r>
                    <m:rPr>
                      <m:sty m:val="bi"/>
                    </m:rPr>
                    <w:rPr>
                      <w:rFonts w:ascii="Cambria Math" w:eastAsia="Times New Roman" w:hAnsi="Cambria Math" w:cs="Times New Roman"/>
                      <w:noProof/>
                      <w:lang w:eastAsia="ru-RU"/>
                    </w:rPr>
                    <m:t>m</m:t>
                  </m:r>
                </m:sub>
              </m:sSub>
              <m:r>
                <m:rPr>
                  <m:sty m:val="bi"/>
                </m:rPr>
                <w:rPr>
                  <w:rFonts w:ascii="Cambria Math" w:eastAsia="Times New Roman" w:hAnsi="Cambria Math" w:cs="Times New Roman"/>
                  <w:noProof/>
                  <w:lang w:eastAsia="ru-RU"/>
                </w:rPr>
                <m:t>)</m:t>
              </m:r>
            </m:oMath>
          </w:p>
          <w:p w14:paraId="6E12B9E6" w14:textId="77777777" w:rsidR="00546D0F" w:rsidRPr="00985B6F" w:rsidRDefault="00804829" w:rsidP="00985B6F">
            <w:pPr>
              <w:ind w:firstLine="457"/>
              <w:jc w:val="both"/>
              <w:rPr>
                <w:rFonts w:ascii="Times New Roman" w:hAnsi="Times New Roman" w:cs="Times New Roman"/>
                <w:b/>
                <w:bCs/>
              </w:rPr>
            </w:pPr>
            <w:r w:rsidRPr="00985B6F">
              <w:rPr>
                <w:rFonts w:ascii="Times New Roman" w:hAnsi="Times New Roman" w:cs="Times New Roman"/>
              </w:rPr>
              <w:t xml:space="preserve">Сума збору за небаланс електричної енергії (субрахунок UA-1) </w:t>
            </w:r>
            <w:r w:rsidR="001E2275" w:rsidRPr="00985B6F">
              <w:rPr>
                <w:rFonts w:ascii="Times New Roman" w:hAnsi="Times New Roman" w:cs="Times New Roman"/>
              </w:rPr>
              <w:t>на кінець</w:t>
            </w:r>
            <w:r w:rsidRPr="00985B6F">
              <w:rPr>
                <w:rFonts w:ascii="Times New Roman" w:hAnsi="Times New Roman" w:cs="Times New Roman"/>
              </w:rPr>
              <w:t xml:space="preserve"> звітн</w:t>
            </w:r>
            <w:r w:rsidR="001E2275" w:rsidRPr="00985B6F">
              <w:rPr>
                <w:rFonts w:ascii="Times New Roman" w:hAnsi="Times New Roman" w:cs="Times New Roman"/>
              </w:rPr>
              <w:t>ого</w:t>
            </w:r>
            <w:r w:rsidRPr="00985B6F">
              <w:rPr>
                <w:rFonts w:ascii="Times New Roman" w:hAnsi="Times New Roman" w:cs="Times New Roman"/>
              </w:rPr>
              <w:t xml:space="preserve"> р</w:t>
            </w:r>
            <w:r w:rsidR="001E2275" w:rsidRPr="00985B6F">
              <w:rPr>
                <w:rFonts w:ascii="Times New Roman" w:hAnsi="Times New Roman" w:cs="Times New Roman"/>
              </w:rPr>
              <w:t xml:space="preserve">оку </w:t>
            </w:r>
            <w:r w:rsidR="001E2275" w:rsidRPr="00985B6F">
              <w:rPr>
                <w:rFonts w:ascii="Times New Roman" w:hAnsi="Times New Roman" w:cs="Times New Roman"/>
                <w:b/>
                <w:bCs/>
              </w:rPr>
              <w:t>для цілей даної постанови</w:t>
            </w:r>
            <w:r w:rsidRPr="00985B6F">
              <w:rPr>
                <w:rFonts w:ascii="Times New Roman" w:hAnsi="Times New Roman" w:cs="Times New Roman"/>
              </w:rPr>
              <w:t xml:space="preserve"> </w:t>
            </w:r>
            <w:r w:rsidRPr="00985B6F">
              <w:rPr>
                <w:rFonts w:ascii="Times New Roman" w:hAnsi="Times New Roman" w:cs="Times New Roman"/>
                <w:strike/>
              </w:rPr>
              <w:t>дорівнює</w:t>
            </w:r>
            <w:r w:rsidR="001E2275" w:rsidRPr="00985B6F">
              <w:rPr>
                <w:rFonts w:ascii="Times New Roman" w:hAnsi="Times New Roman" w:cs="Times New Roman"/>
              </w:rPr>
              <w:t xml:space="preserve"> </w:t>
            </w:r>
            <w:r w:rsidRPr="00985B6F">
              <w:rPr>
                <w:rFonts w:ascii="Times New Roman" w:hAnsi="Times New Roman" w:cs="Times New Roman"/>
                <w:strike/>
              </w:rPr>
              <w:t>сумі сальдованих значень нарахувань та списань за активовану балансуючу електричну енергію всіх постачальників послуг з балансування (CINSTQ) та нарахувань та списань за небаланс електричної енергії всіх сторін, відповідальних за баланс (CIEQ).»</w:t>
            </w:r>
            <w:r w:rsidR="001E2275" w:rsidRPr="00985B6F">
              <w:rPr>
                <w:rFonts w:ascii="Times New Roman" w:hAnsi="Times New Roman" w:cs="Times New Roman"/>
              </w:rPr>
              <w:t xml:space="preserve"> </w:t>
            </w:r>
            <w:r w:rsidR="001E2275" w:rsidRPr="00985B6F">
              <w:rPr>
                <w:rFonts w:ascii="Times New Roman" w:hAnsi="Times New Roman" w:cs="Times New Roman"/>
                <w:b/>
                <w:bCs/>
              </w:rPr>
              <w:t>розраховується за формулою:</w:t>
            </w:r>
          </w:p>
          <w:p w14:paraId="7DE5F988" w14:textId="19D07B31" w:rsidR="001E2275" w:rsidRPr="00985B6F" w:rsidRDefault="002C0F4B" w:rsidP="00985B6F">
            <w:pPr>
              <w:ind w:firstLine="457"/>
              <w:jc w:val="both"/>
              <w:rPr>
                <w:rStyle w:val="ui-provider"/>
                <w:rFonts w:ascii="Times New Roman" w:hAnsi="Times New Roman" w:cs="Times New Roman"/>
              </w:rPr>
            </w:pPr>
            <m:oMathPara>
              <m:oMath>
                <m:sSub>
                  <m:sSubPr>
                    <m:ctrlPr>
                      <w:rPr>
                        <w:rFonts w:ascii="Cambria Math" w:eastAsia="Times New Roman" w:hAnsi="Cambria Math" w:cs="Times New Roman"/>
                        <w:iCs/>
                        <w:noProof/>
                        <w:lang w:eastAsia="ru-RU"/>
                      </w:rPr>
                    </m:ctrlPr>
                  </m:sSubPr>
                  <m:e>
                    <m:r>
                      <m:rPr>
                        <m:sty m:val="p"/>
                      </m:rPr>
                      <w:rPr>
                        <w:rFonts w:ascii="Cambria Math" w:eastAsia="Times New Roman" w:hAnsi="Cambria Math" w:cs="Times New Roman"/>
                        <w:lang w:eastAsia="uk-UA"/>
                      </w:rPr>
                      <m:t xml:space="preserve">UPLIFT1 </m:t>
                    </m:r>
                  </m:e>
                  <m:sub>
                    <m:r>
                      <m:rPr>
                        <m:sty m:val="p"/>
                      </m:rPr>
                      <w:rPr>
                        <w:rFonts w:ascii="Cambria Math" w:eastAsia="Times New Roman" w:hAnsi="Cambria Math" w:cs="Times New Roman"/>
                        <w:noProof/>
                        <w:lang w:eastAsia="ru-RU"/>
                      </w:rPr>
                      <m:t>m</m:t>
                    </m:r>
                  </m:sub>
                </m:sSub>
                <m:r>
                  <w:rPr>
                    <w:rFonts w:ascii="Cambria Math" w:hAnsi="Cambria Math" w:cs="Times New Roman"/>
                    <w:noProof/>
                    <w:color w:val="000000"/>
                  </w:rPr>
                  <m:t>=</m:t>
                </m:r>
                <m:sSub>
                  <m:sSubPr>
                    <m:ctrlPr>
                      <w:rPr>
                        <w:rFonts w:ascii="Cambria Math" w:eastAsia="Times New Roman" w:hAnsi="Cambria Math" w:cs="Times New Roman"/>
                        <w:noProof/>
                        <w:lang w:eastAsia="ru-RU"/>
                      </w:rPr>
                    </m:ctrlPr>
                  </m:sSubPr>
                  <m:e>
                    <m:sSub>
                      <m:sSubPr>
                        <m:ctrlPr>
                          <w:rPr>
                            <w:rFonts w:ascii="Cambria Math" w:eastAsia="Times New Roman" w:hAnsi="Cambria Math" w:cs="Times New Roman"/>
                            <w:noProof/>
                            <w:lang w:eastAsia="ru-RU"/>
                          </w:rPr>
                        </m:ctrlPr>
                      </m:sSubPr>
                      <m:e>
                        <m:r>
                          <m:rPr>
                            <m:sty m:val="p"/>
                          </m:rPr>
                          <w:rPr>
                            <w:rFonts w:ascii="Cambria Math" w:eastAsia="Times New Roman" w:hAnsi="Cambria Math" w:cs="Times New Roman"/>
                            <w:lang w:eastAsia="uk-UA"/>
                          </w:rPr>
                          <m:t xml:space="preserve">ГК </m:t>
                        </m:r>
                      </m:e>
                      <m:sub>
                        <m:r>
                          <w:rPr>
                            <w:rFonts w:ascii="Cambria Math" w:eastAsia="Times New Roman" w:hAnsi="Cambria Math" w:cs="Times New Roman"/>
                            <w:noProof/>
                            <w:lang w:eastAsia="ru-RU"/>
                          </w:rPr>
                          <m:t>кін</m:t>
                        </m:r>
                        <m:r>
                          <m:rPr>
                            <m:sty m:val="p"/>
                          </m:rPr>
                          <w:rPr>
                            <w:rFonts w:ascii="Cambria Math" w:eastAsia="Times New Roman" w:hAnsi="Cambria Math" w:cs="Times New Roman"/>
                            <w:noProof/>
                            <w:lang w:eastAsia="ru-RU"/>
                          </w:rPr>
                          <m:t xml:space="preserve"> </m:t>
                        </m:r>
                        <m:r>
                          <w:rPr>
                            <w:rFonts w:ascii="Cambria Math" w:eastAsia="Times New Roman" w:hAnsi="Cambria Math" w:cs="Times New Roman"/>
                            <w:noProof/>
                            <w:lang w:eastAsia="ru-RU"/>
                          </w:rPr>
                          <m:t>m</m:t>
                        </m:r>
                      </m:sub>
                    </m:sSub>
                    <m:r>
                      <w:rPr>
                        <w:rFonts w:ascii="Cambria Math" w:eastAsia="Times New Roman" w:hAnsi="Cambria Math" w:cs="Times New Roman"/>
                        <w:noProof/>
                        <w:lang w:eastAsia="ru-RU"/>
                      </w:rPr>
                      <m:t>+</m:t>
                    </m:r>
                    <m:r>
                      <m:rPr>
                        <m:sty m:val="p"/>
                      </m:rPr>
                      <w:rPr>
                        <w:rFonts w:ascii="Cambria Math" w:eastAsia="Times New Roman" w:hAnsi="Cambria Math" w:cs="Times New Roman"/>
                        <w:lang w:eastAsia="uk-UA"/>
                      </w:rPr>
                      <m:t xml:space="preserve">ДЗ </m:t>
                    </m:r>
                  </m:e>
                  <m:sub>
                    <m:r>
                      <w:rPr>
                        <w:rFonts w:ascii="Cambria Math" w:eastAsia="Times New Roman" w:hAnsi="Cambria Math" w:cs="Times New Roman"/>
                        <w:noProof/>
                        <w:lang w:eastAsia="ru-RU"/>
                      </w:rPr>
                      <m:t>кін</m:t>
                    </m:r>
                    <m:r>
                      <m:rPr>
                        <m:sty m:val="p"/>
                      </m:rPr>
                      <w:rPr>
                        <w:rFonts w:ascii="Cambria Math" w:eastAsia="Times New Roman" w:hAnsi="Cambria Math" w:cs="Times New Roman"/>
                        <w:noProof/>
                        <w:lang w:eastAsia="ru-RU"/>
                      </w:rPr>
                      <m:t xml:space="preserve"> </m:t>
                    </m:r>
                    <m:r>
                      <w:rPr>
                        <w:rFonts w:ascii="Cambria Math" w:eastAsia="Times New Roman" w:hAnsi="Cambria Math" w:cs="Times New Roman"/>
                        <w:noProof/>
                        <w:lang w:eastAsia="ru-RU"/>
                      </w:rPr>
                      <m:t>m</m:t>
                    </m:r>
                  </m:sub>
                </m:sSub>
                <m:r>
                  <w:rPr>
                    <w:rFonts w:ascii="Cambria Math" w:eastAsia="Times New Roman" w:hAnsi="Cambria Math" w:cs="Times New Roman"/>
                    <w:noProof/>
                    <w:lang w:eastAsia="ru-RU"/>
                  </w:rPr>
                  <m:t>-</m:t>
                </m:r>
                <m:sSub>
                  <m:sSubPr>
                    <m:ctrlPr>
                      <w:rPr>
                        <w:rFonts w:ascii="Cambria Math" w:eastAsia="Times New Roman" w:hAnsi="Cambria Math" w:cs="Times New Roman"/>
                        <w:noProof/>
                        <w:lang w:eastAsia="ru-RU"/>
                      </w:rPr>
                    </m:ctrlPr>
                  </m:sSubPr>
                  <m:e>
                    <m:r>
                      <m:rPr>
                        <m:sty m:val="p"/>
                      </m:rPr>
                      <w:rPr>
                        <w:rFonts w:ascii="Cambria Math" w:eastAsia="Times New Roman" w:hAnsi="Cambria Math" w:cs="Times New Roman"/>
                        <w:lang w:eastAsia="uk-UA"/>
                      </w:rPr>
                      <m:t xml:space="preserve">ДефДЗ </m:t>
                    </m:r>
                  </m:e>
                  <m:sub>
                    <m:r>
                      <w:rPr>
                        <w:rFonts w:ascii="Cambria Math" w:eastAsia="Times New Roman" w:hAnsi="Cambria Math" w:cs="Times New Roman"/>
                        <w:noProof/>
                        <w:lang w:eastAsia="ru-RU"/>
                      </w:rPr>
                      <m:t>кін</m:t>
                    </m:r>
                    <m:r>
                      <m:rPr>
                        <m:sty m:val="p"/>
                      </m:rPr>
                      <w:rPr>
                        <w:rFonts w:ascii="Cambria Math" w:eastAsia="Times New Roman" w:hAnsi="Cambria Math" w:cs="Times New Roman"/>
                        <w:noProof/>
                        <w:lang w:eastAsia="ru-RU"/>
                      </w:rPr>
                      <m:t xml:space="preserve"> </m:t>
                    </m:r>
                    <m:r>
                      <w:rPr>
                        <w:rFonts w:ascii="Cambria Math" w:eastAsia="Times New Roman" w:hAnsi="Cambria Math" w:cs="Times New Roman"/>
                        <w:noProof/>
                        <w:lang w:eastAsia="ru-RU"/>
                      </w:rPr>
                      <m:t>m</m:t>
                    </m:r>
                  </m:sub>
                </m:sSub>
                <m:r>
                  <w:rPr>
                    <w:rFonts w:ascii="Cambria Math" w:eastAsia="Times New Roman" w:hAnsi="Cambria Math" w:cs="Times New Roman"/>
                    <w:noProof/>
                    <w:lang w:eastAsia="ru-RU"/>
                  </w:rPr>
                  <m:t>-</m:t>
                </m:r>
                <m:sSub>
                  <m:sSubPr>
                    <m:ctrlPr>
                      <w:rPr>
                        <w:rFonts w:ascii="Cambria Math" w:eastAsia="Times New Roman" w:hAnsi="Cambria Math" w:cs="Times New Roman"/>
                        <w:noProof/>
                        <w:lang w:eastAsia="ru-RU"/>
                      </w:rPr>
                    </m:ctrlPr>
                  </m:sSubPr>
                  <m:e>
                    <m:r>
                      <m:rPr>
                        <m:sty m:val="p"/>
                      </m:rPr>
                      <w:rPr>
                        <w:rFonts w:ascii="Cambria Math" w:eastAsia="Times New Roman" w:hAnsi="Cambria Math" w:cs="Times New Roman"/>
                        <w:lang w:eastAsia="uk-UA"/>
                      </w:rPr>
                      <m:t xml:space="preserve">КЗ </m:t>
                    </m:r>
                  </m:e>
                  <m:sub>
                    <m:r>
                      <w:rPr>
                        <w:rFonts w:ascii="Cambria Math" w:eastAsia="Times New Roman" w:hAnsi="Cambria Math" w:cs="Times New Roman"/>
                        <w:noProof/>
                        <w:lang w:eastAsia="ru-RU"/>
                      </w:rPr>
                      <m:t>кін</m:t>
                    </m:r>
                    <m:r>
                      <m:rPr>
                        <m:sty m:val="p"/>
                      </m:rPr>
                      <w:rPr>
                        <w:rFonts w:ascii="Cambria Math" w:eastAsia="Times New Roman" w:hAnsi="Cambria Math" w:cs="Times New Roman"/>
                        <w:noProof/>
                        <w:lang w:eastAsia="ru-RU"/>
                      </w:rPr>
                      <m:t xml:space="preserve"> </m:t>
                    </m:r>
                    <m:r>
                      <w:rPr>
                        <w:rFonts w:ascii="Cambria Math" w:eastAsia="Times New Roman" w:hAnsi="Cambria Math" w:cs="Times New Roman"/>
                        <w:noProof/>
                        <w:lang w:eastAsia="ru-RU"/>
                      </w:rPr>
                      <m:t>m</m:t>
                    </m:r>
                  </m:sub>
                </m:sSub>
              </m:oMath>
            </m:oMathPara>
          </w:p>
          <w:p w14:paraId="32E6D021" w14:textId="417EB8DE" w:rsidR="001E2275" w:rsidRPr="00985B6F" w:rsidRDefault="001E2275" w:rsidP="00985B6F">
            <w:pPr>
              <w:ind w:firstLine="457"/>
              <w:jc w:val="both"/>
              <w:rPr>
                <w:rFonts w:ascii="Times New Roman" w:hAnsi="Times New Roman" w:cs="Times New Roman"/>
                <w:b/>
                <w:bCs/>
              </w:rPr>
            </w:pPr>
          </w:p>
          <w:p w14:paraId="0B188023"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6F7474CA" w14:textId="77777777" w:rsidR="00250C42" w:rsidRPr="00985B6F" w:rsidRDefault="00250C42" w:rsidP="00985B6F">
            <w:pPr>
              <w:rPr>
                <w:rFonts w:ascii="Times New Roman" w:hAnsi="Times New Roman" w:cs="Times New Roman"/>
                <w:bCs/>
                <w:shd w:val="clear" w:color="auto" w:fill="FFFFFF"/>
              </w:rPr>
            </w:pPr>
            <w:r w:rsidRPr="00985B6F">
              <w:rPr>
                <w:rFonts w:ascii="Times New Roman" w:hAnsi="Times New Roman" w:cs="Times New Roman"/>
                <w:bCs/>
                <w:shd w:val="clear" w:color="auto" w:fill="FFFFFF"/>
              </w:rPr>
              <w:t>Пунктом 5.24.1 Правил ринку, затверджених постановою НКРЕКП від 14.03.2018 № 307 (зі змінами) (далі - Правила ринку), субрахунок UA-1 використовується для досягнення нульового сальдо рахунку A-A та рахунку A-B.</w:t>
            </w:r>
          </w:p>
          <w:p w14:paraId="61B16E01" w14:textId="77777777" w:rsidR="00250C42" w:rsidRPr="00985B6F" w:rsidRDefault="00250C42" w:rsidP="00985B6F">
            <w:pPr>
              <w:jc w:val="both"/>
              <w:rPr>
                <w:rFonts w:ascii="Times New Roman" w:hAnsi="Times New Roman" w:cs="Times New Roman"/>
                <w:bCs/>
                <w:shd w:val="clear" w:color="auto" w:fill="FFFFFF"/>
              </w:rPr>
            </w:pPr>
            <w:r w:rsidRPr="00985B6F">
              <w:rPr>
                <w:rFonts w:ascii="Times New Roman" w:hAnsi="Times New Roman" w:cs="Times New Roman"/>
                <w:bCs/>
                <w:shd w:val="clear" w:color="auto" w:fill="FFFFFF"/>
              </w:rPr>
              <w:t>Згідно з пунктом 5.24.5. Правил ринку якщо залишкова вартість збору за небаланс електричної енергії негативна, вона обліковується на субрахунку UA-1 на наступний розрахунковий період, а якщо позитивна – її абсолютне значення обліковується на субрахунку UA-1 та сплачується ОСП за рахунок коштів, передбачених у тарифі ОСП на послуги з диспетчерського (</w:t>
            </w:r>
            <w:proofErr w:type="spellStart"/>
            <w:r w:rsidRPr="00985B6F">
              <w:rPr>
                <w:rFonts w:ascii="Times New Roman" w:hAnsi="Times New Roman" w:cs="Times New Roman"/>
                <w:bCs/>
                <w:shd w:val="clear" w:color="auto" w:fill="FFFFFF"/>
              </w:rPr>
              <w:t>оперативно</w:t>
            </w:r>
            <w:proofErr w:type="spellEnd"/>
            <w:r w:rsidRPr="00985B6F">
              <w:rPr>
                <w:rFonts w:ascii="Times New Roman" w:hAnsi="Times New Roman" w:cs="Times New Roman"/>
                <w:bCs/>
                <w:shd w:val="clear" w:color="auto" w:fill="FFFFFF"/>
              </w:rPr>
              <w:t>-технологічного) управління.</w:t>
            </w:r>
          </w:p>
          <w:p w14:paraId="6ED609AE" w14:textId="77777777" w:rsidR="00250C42" w:rsidRPr="00985B6F" w:rsidRDefault="00250C42" w:rsidP="00985B6F">
            <w:pPr>
              <w:jc w:val="both"/>
              <w:rPr>
                <w:rFonts w:ascii="Times New Roman" w:hAnsi="Times New Roman" w:cs="Times New Roman"/>
                <w:bCs/>
                <w:shd w:val="clear" w:color="auto" w:fill="FFFFFF"/>
              </w:rPr>
            </w:pPr>
            <w:r w:rsidRPr="00985B6F">
              <w:rPr>
                <w:rFonts w:ascii="Times New Roman" w:hAnsi="Times New Roman" w:cs="Times New Roman"/>
                <w:bCs/>
                <w:shd w:val="clear" w:color="auto" w:fill="FFFFFF"/>
              </w:rPr>
              <w:t>Поточна редакція Методики визначення сум надлишково отриманого або недоотриманого доходу оператора системи передачі від здійснення діяльності з диспетчерського (</w:t>
            </w:r>
            <w:proofErr w:type="spellStart"/>
            <w:r w:rsidRPr="00985B6F">
              <w:rPr>
                <w:rFonts w:ascii="Times New Roman" w:hAnsi="Times New Roman" w:cs="Times New Roman"/>
                <w:bCs/>
                <w:shd w:val="clear" w:color="auto" w:fill="FFFFFF"/>
              </w:rPr>
              <w:t>оперативно</w:t>
            </w:r>
            <w:proofErr w:type="spellEnd"/>
            <w:r w:rsidRPr="00985B6F">
              <w:rPr>
                <w:rFonts w:ascii="Times New Roman" w:hAnsi="Times New Roman" w:cs="Times New Roman"/>
                <w:bCs/>
                <w:shd w:val="clear" w:color="auto" w:fill="FFFFFF"/>
              </w:rPr>
              <w:t xml:space="preserve">-технологічного) управління, що є додатком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(зі змінами) не передбачене врахування реальної платіжної ситуації на балансуючому ринку електричної енергії: великі зобов’язання учасників, по яким існують заборони відключення у разі невчасних розрахунків. Через це ОСП не має коштів для розрахунків по своїм зобов’язанням на ринку е/е, що призводить до нарахування штрафних санкцій, інфляційних витрат тощо та поглиблює кризу розрахунків. </w:t>
            </w:r>
          </w:p>
          <w:p w14:paraId="243E58F1" w14:textId="77777777" w:rsidR="00250C42" w:rsidRPr="00985B6F" w:rsidRDefault="00250C42" w:rsidP="00985B6F">
            <w:pPr>
              <w:jc w:val="both"/>
              <w:rPr>
                <w:rFonts w:ascii="Times New Roman" w:hAnsi="Times New Roman" w:cs="Times New Roman"/>
                <w:bCs/>
                <w:shd w:val="clear" w:color="auto" w:fill="FFFFFF"/>
              </w:rPr>
            </w:pPr>
            <w:r w:rsidRPr="00985B6F">
              <w:rPr>
                <w:rFonts w:ascii="Times New Roman" w:hAnsi="Times New Roman" w:cs="Times New Roman"/>
                <w:bCs/>
                <w:shd w:val="clear" w:color="auto" w:fill="FFFFFF"/>
              </w:rPr>
              <w:t xml:space="preserve">У огляду на зазначені вище норми та з метою удосконалення механізму забезпечення нульового сальдо на поточних рахунках із спеціальним </w:t>
            </w:r>
            <w:r w:rsidRPr="00985B6F">
              <w:rPr>
                <w:rFonts w:ascii="Times New Roman" w:hAnsi="Times New Roman" w:cs="Times New Roman"/>
                <w:bCs/>
                <w:shd w:val="clear" w:color="auto" w:fill="FFFFFF"/>
              </w:rPr>
              <w:lastRenderedPageBreak/>
              <w:t>режимом використання оператора системи передачі з врахуванням реального стану розрахунків між учасниками балансуючого ринку та оператором системи передачі пропонується враховувати суму простроченої заборгованості ППБ e та СВБ b на кінець розрахункового місяцю m при розрахунку компенсації позитивної залишкової вартості збору за небаланс електричної енергії за рахунок коштів, передбачених у тарифі на послуги з диспетчерського (</w:t>
            </w:r>
            <w:proofErr w:type="spellStart"/>
            <w:r w:rsidRPr="00985B6F">
              <w:rPr>
                <w:rFonts w:ascii="Times New Roman" w:hAnsi="Times New Roman" w:cs="Times New Roman"/>
                <w:bCs/>
                <w:shd w:val="clear" w:color="auto" w:fill="FFFFFF"/>
              </w:rPr>
              <w:t>оперативно</w:t>
            </w:r>
            <w:proofErr w:type="spellEnd"/>
            <w:r w:rsidRPr="00985B6F">
              <w:rPr>
                <w:rFonts w:ascii="Times New Roman" w:hAnsi="Times New Roman" w:cs="Times New Roman"/>
                <w:bCs/>
                <w:shd w:val="clear" w:color="auto" w:fill="FFFFFF"/>
              </w:rPr>
              <w:t>-технологічного) управління шляхом внесення змін до постанови НКРЕКП від 14.06.2018 № 428.</w:t>
            </w:r>
          </w:p>
          <w:p w14:paraId="129F7A03" w14:textId="77777777" w:rsidR="00250C42" w:rsidRPr="00985B6F" w:rsidRDefault="00250C42" w:rsidP="00985B6F">
            <w:pPr>
              <w:ind w:firstLine="457"/>
              <w:jc w:val="both"/>
              <w:rPr>
                <w:rFonts w:ascii="Times New Roman" w:hAnsi="Times New Roman" w:cs="Times New Roman"/>
                <w:b/>
                <w:bCs/>
              </w:rPr>
            </w:pPr>
          </w:p>
          <w:p w14:paraId="18E666DA" w14:textId="12E1703A" w:rsidR="00804829" w:rsidRPr="00985B6F" w:rsidRDefault="00804829" w:rsidP="00985B6F">
            <w:pPr>
              <w:jc w:val="both"/>
              <w:rPr>
                <w:rStyle w:val="st42"/>
                <w:rFonts w:ascii="Times New Roman" w:hAnsi="Times New Roman" w:cs="Times New Roman"/>
              </w:rPr>
            </w:pPr>
            <w:r w:rsidRPr="00985B6F">
              <w:rPr>
                <w:rStyle w:val="st42"/>
                <w:rFonts w:ascii="Times New Roman" w:hAnsi="Times New Roman" w:cs="Times New Roman"/>
              </w:rPr>
              <w:t>……</w:t>
            </w:r>
          </w:p>
          <w:p w14:paraId="0AE532F7" w14:textId="3C4A7A12" w:rsidR="00B52031" w:rsidRPr="00985B6F" w:rsidRDefault="00B52031" w:rsidP="00985B6F">
            <w:pPr>
              <w:spacing w:line="259" w:lineRule="auto"/>
              <w:jc w:val="both"/>
              <w:rPr>
                <w:rFonts w:ascii="Times New Roman" w:hAnsi="Times New Roman" w:cs="Times New Roman"/>
              </w:rPr>
            </w:pPr>
            <w:r w:rsidRPr="00985B6F">
              <w:rPr>
                <w:rFonts w:ascii="Times New Roman" w:hAnsi="Times New Roman" w:cs="Times New Roman"/>
              </w:rPr>
              <w:t>6) фактична сума витрат на придбання допоміжних послуг у звітному році визначається відповідно до Правил ринку помісячно на підставі таких даних:</w:t>
            </w:r>
          </w:p>
          <w:p w14:paraId="74F34E0B" w14:textId="3B4A518A" w:rsidR="00B52031" w:rsidRPr="00985B6F" w:rsidRDefault="00B52031" w:rsidP="00985B6F">
            <w:pPr>
              <w:spacing w:line="259" w:lineRule="auto"/>
              <w:jc w:val="both"/>
              <w:rPr>
                <w:rFonts w:ascii="Times New Roman" w:hAnsi="Times New Roman" w:cs="Times New Roman"/>
              </w:rPr>
            </w:pPr>
            <w:r w:rsidRPr="00985B6F">
              <w:rPr>
                <w:rFonts w:ascii="Times New Roman" w:hAnsi="Times New Roman" w:cs="Times New Roman"/>
              </w:rPr>
              <w:t>……</w:t>
            </w:r>
          </w:p>
          <w:p w14:paraId="160DF63E" w14:textId="149B2918" w:rsidR="00B52031" w:rsidRPr="00985B6F" w:rsidRDefault="00B52031" w:rsidP="00985B6F">
            <w:pPr>
              <w:spacing w:line="259" w:lineRule="auto"/>
              <w:jc w:val="both"/>
              <w:rPr>
                <w:rFonts w:ascii="Times New Roman" w:hAnsi="Times New Roman" w:cs="Times New Roman"/>
                <w:b/>
                <w:bCs/>
              </w:rPr>
            </w:pPr>
            <w:r w:rsidRPr="00985B6F">
              <w:rPr>
                <w:rFonts w:ascii="Times New Roman" w:hAnsi="Times New Roman" w:cs="Times New Roman"/>
                <w:b/>
                <w:bCs/>
              </w:rPr>
              <w:t>Окремо фіксується розмір витрат на закупівлю допоміжних послуг для забезпечення регулювання частоти та активної потужності в ОЕС України, а саме забезпечення резервів заміщення (третинне регулювання), визначеного відповідно до Тимчасового порядку.</w:t>
            </w:r>
          </w:p>
          <w:p w14:paraId="426010F5" w14:textId="77777777" w:rsidR="00B52031" w:rsidRPr="00985B6F" w:rsidRDefault="00B52031" w:rsidP="00985B6F">
            <w:pPr>
              <w:spacing w:line="259" w:lineRule="auto"/>
              <w:jc w:val="both"/>
              <w:rPr>
                <w:rFonts w:ascii="Times New Roman" w:hAnsi="Times New Roman" w:cs="Times New Roman"/>
              </w:rPr>
            </w:pPr>
          </w:p>
          <w:p w14:paraId="7AF4E6CB"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6D41D0CC" w14:textId="77777777" w:rsidR="00250C42" w:rsidRPr="00985B6F" w:rsidRDefault="00250C42" w:rsidP="00985B6F">
            <w:pPr>
              <w:jc w:val="both"/>
              <w:rPr>
                <w:rFonts w:ascii="Times New Roman" w:hAnsi="Times New Roman" w:cs="Times New Roman"/>
                <w:bCs/>
                <w:shd w:val="clear" w:color="auto" w:fill="FFFFFF"/>
              </w:rPr>
            </w:pPr>
          </w:p>
          <w:p w14:paraId="10F421DE" w14:textId="77777777" w:rsidR="00250C42" w:rsidRPr="00985B6F" w:rsidRDefault="00250C42" w:rsidP="00985B6F">
            <w:pPr>
              <w:jc w:val="both"/>
              <w:rPr>
                <w:rFonts w:ascii="Times New Roman" w:hAnsi="Times New Roman" w:cs="Times New Roman"/>
                <w:bCs/>
                <w:shd w:val="clear" w:color="auto" w:fill="FFFFFF"/>
              </w:rPr>
            </w:pPr>
            <w:r w:rsidRPr="00985B6F">
              <w:rPr>
                <w:rFonts w:ascii="Times New Roman" w:hAnsi="Times New Roman" w:cs="Times New Roman"/>
                <w:bCs/>
                <w:shd w:val="clear" w:color="auto" w:fill="FFFFFF"/>
              </w:rPr>
              <w:t xml:space="preserve">З метою виконання вимог постанови </w:t>
            </w:r>
            <w:r w:rsidRPr="00985B6F">
              <w:rPr>
                <w:rFonts w:ascii="Times New Roman" w:hAnsi="Times New Roman" w:cs="Times New Roman"/>
              </w:rPr>
              <w:t xml:space="preserve">НКРЕКП від 08.11.2021 №2003 «Про погодження Тимчасового порядку придбання допоміжної послуги для забезпечення регулювання частоти та активної потужності в ОЕС України, а саме забезпечення резервів заміщення (третинне регулювання)» та </w:t>
            </w:r>
            <w:r w:rsidRPr="00985B6F">
              <w:rPr>
                <w:rFonts w:ascii="Times New Roman" w:eastAsia="Calibri" w:hAnsi="Times New Roman" w:cs="Times New Roman"/>
              </w:rPr>
              <w:t xml:space="preserve">необхідності </w:t>
            </w:r>
            <w:r w:rsidRPr="00985B6F">
              <w:rPr>
                <w:rFonts w:ascii="Times New Roman" w:hAnsi="Times New Roman" w:cs="Times New Roman"/>
              </w:rPr>
              <w:t xml:space="preserve">недопущення зниження напруги нижче критичних значень і врегулювання мережевих обмежень, НЕК «Укренерго» виконує закупівлю допоміжних послуг. Вважаємо за необхідне </w:t>
            </w:r>
            <w:r w:rsidRPr="00985B6F">
              <w:rPr>
                <w:rFonts w:ascii="Times New Roman" w:hAnsi="Times New Roman" w:cs="Times New Roman"/>
              </w:rPr>
              <w:lastRenderedPageBreak/>
              <w:t>зафіксувати під час перевірки ліцензованої діяльності дані витрати з подальшим визначенням їх як обґрунтованих витрат.</w:t>
            </w:r>
          </w:p>
          <w:p w14:paraId="783A73A4" w14:textId="77777777" w:rsidR="00D45906" w:rsidRPr="00985B6F" w:rsidRDefault="00D45906" w:rsidP="00985B6F">
            <w:pPr>
              <w:spacing w:line="259" w:lineRule="auto"/>
              <w:jc w:val="both"/>
              <w:rPr>
                <w:rFonts w:ascii="Times New Roman" w:hAnsi="Times New Roman" w:cs="Times New Roman"/>
              </w:rPr>
            </w:pPr>
          </w:p>
          <w:p w14:paraId="2DE6C886" w14:textId="415AAF30" w:rsidR="00B66046" w:rsidRPr="00985B6F" w:rsidRDefault="00B66046" w:rsidP="00985B6F">
            <w:pPr>
              <w:spacing w:line="259" w:lineRule="auto"/>
              <w:jc w:val="both"/>
              <w:rPr>
                <w:rFonts w:ascii="Times New Roman" w:eastAsia="Calibri" w:hAnsi="Times New Roman" w:cs="Times New Roman"/>
                <w:b/>
                <w:bCs/>
                <w:i/>
                <w:iCs/>
                <w:kern w:val="2"/>
                <w14:ligatures w14:val="standardContextual"/>
              </w:rPr>
            </w:pPr>
            <w:r w:rsidRPr="00985B6F">
              <w:rPr>
                <w:rFonts w:ascii="Times New Roman" w:hAnsi="Times New Roman" w:cs="Times New Roman"/>
              </w:rPr>
              <w:t>7) фактична сума витрат відповідно до даних за формою звітності № 1- НКРЕКП-передача електричної енергії за статтями:</w:t>
            </w:r>
          </w:p>
          <w:p w14:paraId="09A78EBB" w14:textId="77777777" w:rsidR="00B66046" w:rsidRPr="00985B6F" w:rsidRDefault="00B66046" w:rsidP="00985B6F">
            <w:pPr>
              <w:spacing w:line="259" w:lineRule="auto"/>
              <w:jc w:val="both"/>
              <w:rPr>
                <w:rFonts w:ascii="Times New Roman" w:eastAsia="Calibri" w:hAnsi="Times New Roman" w:cs="Times New Roman"/>
                <w:i/>
                <w:iCs/>
                <w:kern w:val="2"/>
                <w14:ligatures w14:val="standardContextual"/>
              </w:rPr>
            </w:pPr>
            <w:r w:rsidRPr="00985B6F">
              <w:rPr>
                <w:rFonts w:ascii="Times New Roman" w:eastAsia="Calibri" w:hAnsi="Times New Roman" w:cs="Times New Roman"/>
                <w:i/>
                <w:iCs/>
                <w:kern w:val="2"/>
                <w14:ligatures w14:val="standardContextual"/>
              </w:rPr>
              <w:t>…..</w:t>
            </w:r>
          </w:p>
          <w:p w14:paraId="184986D0" w14:textId="77777777" w:rsidR="00F86AEA" w:rsidRPr="00985B6F" w:rsidRDefault="00B66046" w:rsidP="00985B6F">
            <w:pPr>
              <w:jc w:val="both"/>
              <w:rPr>
                <w:rFonts w:ascii="Times New Roman" w:hAnsi="Times New Roman" w:cs="Times New Roman"/>
              </w:rPr>
            </w:pPr>
            <w:r w:rsidRPr="00985B6F">
              <w:rPr>
                <w:rFonts w:ascii="Times New Roman" w:hAnsi="Times New Roman" w:cs="Times New Roman"/>
              </w:rPr>
              <w:t xml:space="preserve">«Сировина і матеріали», «Витрати на паспортизацію будівель і споруд та державну реєстрацію речових прав на нерухоме майно», в тому числі «витрати на оформлення прав користування земельними ділянками», </w:t>
            </w:r>
            <w:r w:rsidRPr="00985B6F">
              <w:rPr>
                <w:rFonts w:ascii="Times New Roman" w:hAnsi="Times New Roman" w:cs="Times New Roman"/>
                <w:b/>
                <w:bCs/>
              </w:rPr>
              <w:t>«витрати на охорону праці»</w:t>
            </w:r>
            <w:r w:rsidRPr="00985B6F">
              <w:rPr>
                <w:rFonts w:ascii="Times New Roman" w:hAnsi="Times New Roman" w:cs="Times New Roman"/>
              </w:rPr>
              <w:t xml:space="preserve"> з урахуванням капіталізованих витрат за бухгалтерським обліком при виконанні діяльності з передачі електричної енергії відповідно до графи 11 «Інше» (фактично);»;</w:t>
            </w:r>
          </w:p>
          <w:p w14:paraId="5308100D" w14:textId="77777777" w:rsidR="00250C42" w:rsidRPr="00985B6F" w:rsidRDefault="00250C42" w:rsidP="00985B6F">
            <w:pPr>
              <w:jc w:val="both"/>
              <w:rPr>
                <w:rFonts w:ascii="Times New Roman" w:hAnsi="Times New Roman" w:cs="Times New Roman"/>
                <w:b/>
                <w:bCs/>
              </w:rPr>
            </w:pPr>
          </w:p>
          <w:p w14:paraId="775CA387"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1C2641D8" w14:textId="77777777" w:rsidR="00250C42" w:rsidRPr="00985B6F" w:rsidRDefault="00250C42" w:rsidP="00985B6F">
            <w:pPr>
              <w:jc w:val="both"/>
              <w:rPr>
                <w:rFonts w:ascii="Times New Roman" w:eastAsia="Calibri" w:hAnsi="Times New Roman" w:cs="Times New Roman"/>
                <w:kern w:val="2"/>
                <w14:ligatures w14:val="standardContextual"/>
              </w:rPr>
            </w:pPr>
            <w:r w:rsidRPr="00985B6F">
              <w:rPr>
                <w:rFonts w:ascii="Times New Roman" w:hAnsi="Times New Roman" w:cs="Times New Roman"/>
                <w:bCs/>
                <w:shd w:val="clear" w:color="auto" w:fill="FFFFFF"/>
              </w:rPr>
              <w:t xml:space="preserve">На виконання вимог Наказу Міністерства енергетики від 12.08.2023 №242 НЕК «Укренерго» здійснила заходи щодо встановлення </w:t>
            </w:r>
            <w:r w:rsidRPr="00985B6F">
              <w:rPr>
                <w:rFonts w:ascii="Times New Roman" w:hAnsi="Times New Roman" w:cs="Times New Roman"/>
              </w:rPr>
              <w:t>захисних споруд цивільного захисту, які були капіталізовані відповідно до вимог Міжнародних стандартів бухгалтерського обліку та звітності, та вимагають відображення у звітності 1-НКРЕКП</w:t>
            </w:r>
          </w:p>
          <w:p w14:paraId="72C243CC" w14:textId="57C59C3F" w:rsidR="00250C42" w:rsidRPr="00985B6F" w:rsidRDefault="00250C42" w:rsidP="00985B6F">
            <w:pPr>
              <w:jc w:val="both"/>
              <w:rPr>
                <w:rFonts w:ascii="Times New Roman" w:hAnsi="Times New Roman" w:cs="Times New Roman"/>
                <w:b/>
                <w:bCs/>
              </w:rPr>
            </w:pPr>
          </w:p>
        </w:tc>
        <w:tc>
          <w:tcPr>
            <w:tcW w:w="1528" w:type="pct"/>
          </w:tcPr>
          <w:p w14:paraId="58E8C666" w14:textId="77777777" w:rsidR="00A66D81" w:rsidRDefault="00A66D81" w:rsidP="00A66D81">
            <w:pPr>
              <w:jc w:val="both"/>
              <w:rPr>
                <w:rFonts w:ascii="Times New Roman" w:hAnsi="Times New Roman" w:cs="Times New Roman"/>
                <w:bCs/>
                <w:shd w:val="clear" w:color="auto" w:fill="FFFFFF"/>
              </w:rPr>
            </w:pPr>
          </w:p>
          <w:p w14:paraId="604B15AC" w14:textId="77777777"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3B8B5DB9"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1BA8C6D6" w14:textId="0390E29B" w:rsidR="00A66D81"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Pr>
                <w:rFonts w:ascii="Times New Roman" w:eastAsia="Calibri" w:hAnsi="Times New Roman" w:cs="Times New Roman"/>
                <w:kern w:val="2"/>
                <w14:ligatures w14:val="standardContextual"/>
              </w:rPr>
              <w:t xml:space="preserve"> </w:t>
            </w:r>
          </w:p>
          <w:p w14:paraId="2F72AD09" w14:textId="77777777" w:rsidR="00A66D81" w:rsidRDefault="00A66D81" w:rsidP="00A66D81">
            <w:pPr>
              <w:jc w:val="both"/>
              <w:rPr>
                <w:rFonts w:ascii="Times New Roman" w:eastAsia="Calibri" w:hAnsi="Times New Roman" w:cs="Times New Roman"/>
                <w:kern w:val="2"/>
                <w14:ligatures w14:val="standardContextual"/>
              </w:rPr>
            </w:pPr>
          </w:p>
          <w:p w14:paraId="0954B6ED" w14:textId="77777777" w:rsidR="00A66D81" w:rsidRDefault="00A66D81" w:rsidP="00A66D81">
            <w:pPr>
              <w:jc w:val="both"/>
              <w:rPr>
                <w:rFonts w:ascii="Times New Roman" w:eastAsia="Calibri" w:hAnsi="Times New Roman" w:cs="Times New Roman"/>
                <w:kern w:val="2"/>
                <w14:ligatures w14:val="standardContextual"/>
              </w:rPr>
            </w:pPr>
          </w:p>
          <w:p w14:paraId="4941F623" w14:textId="77777777" w:rsidR="00A66D81" w:rsidRDefault="00A66D81" w:rsidP="00A66D81">
            <w:pPr>
              <w:jc w:val="both"/>
              <w:rPr>
                <w:rFonts w:ascii="Times New Roman" w:eastAsia="Calibri" w:hAnsi="Times New Roman" w:cs="Times New Roman"/>
                <w:kern w:val="2"/>
                <w14:ligatures w14:val="standardContextual"/>
              </w:rPr>
            </w:pPr>
          </w:p>
          <w:p w14:paraId="6364C378" w14:textId="77777777" w:rsidR="00A66D81" w:rsidRDefault="00A66D81" w:rsidP="00A66D81">
            <w:pPr>
              <w:jc w:val="both"/>
              <w:rPr>
                <w:rFonts w:ascii="Times New Roman" w:eastAsia="Calibri" w:hAnsi="Times New Roman" w:cs="Times New Roman"/>
                <w:kern w:val="2"/>
                <w14:ligatures w14:val="standardContextual"/>
              </w:rPr>
            </w:pPr>
          </w:p>
          <w:p w14:paraId="77308266" w14:textId="77777777" w:rsidR="00A66D81" w:rsidRDefault="00A66D81" w:rsidP="00A66D81">
            <w:pPr>
              <w:jc w:val="both"/>
              <w:rPr>
                <w:rFonts w:ascii="Times New Roman" w:eastAsia="Calibri" w:hAnsi="Times New Roman" w:cs="Times New Roman"/>
                <w:kern w:val="2"/>
                <w14:ligatures w14:val="standardContextual"/>
              </w:rPr>
            </w:pPr>
          </w:p>
          <w:p w14:paraId="0688F7AA" w14:textId="77777777" w:rsidR="00A66D81" w:rsidRDefault="00A66D81" w:rsidP="00A66D81">
            <w:pPr>
              <w:jc w:val="both"/>
              <w:rPr>
                <w:rFonts w:ascii="Times New Roman" w:eastAsia="Calibri" w:hAnsi="Times New Roman" w:cs="Times New Roman"/>
                <w:kern w:val="2"/>
                <w14:ligatures w14:val="standardContextual"/>
              </w:rPr>
            </w:pPr>
          </w:p>
          <w:p w14:paraId="2A92C277" w14:textId="77777777" w:rsidR="00A66D81" w:rsidRDefault="00A66D81" w:rsidP="00A66D81">
            <w:pPr>
              <w:jc w:val="both"/>
              <w:rPr>
                <w:rFonts w:ascii="Times New Roman" w:eastAsia="Calibri" w:hAnsi="Times New Roman" w:cs="Times New Roman"/>
                <w:kern w:val="2"/>
                <w14:ligatures w14:val="standardContextual"/>
              </w:rPr>
            </w:pPr>
          </w:p>
          <w:p w14:paraId="0293038A" w14:textId="77777777" w:rsidR="00A66D81" w:rsidRDefault="00A66D81" w:rsidP="00A66D81">
            <w:pPr>
              <w:jc w:val="both"/>
              <w:rPr>
                <w:rFonts w:ascii="Times New Roman" w:eastAsia="Calibri" w:hAnsi="Times New Roman" w:cs="Times New Roman"/>
                <w:kern w:val="2"/>
                <w14:ligatures w14:val="standardContextual"/>
              </w:rPr>
            </w:pPr>
          </w:p>
          <w:p w14:paraId="38CFCD82" w14:textId="77777777" w:rsidR="00A66D81" w:rsidRDefault="00A66D81" w:rsidP="00A66D81">
            <w:pPr>
              <w:jc w:val="both"/>
              <w:rPr>
                <w:rFonts w:ascii="Times New Roman" w:eastAsia="Calibri" w:hAnsi="Times New Roman" w:cs="Times New Roman"/>
                <w:kern w:val="2"/>
                <w14:ligatures w14:val="standardContextual"/>
              </w:rPr>
            </w:pPr>
          </w:p>
          <w:p w14:paraId="38D0CC29" w14:textId="77777777" w:rsidR="00A66D81" w:rsidRDefault="00A66D81" w:rsidP="00A66D81">
            <w:pPr>
              <w:jc w:val="both"/>
              <w:rPr>
                <w:rFonts w:ascii="Times New Roman" w:eastAsia="Calibri" w:hAnsi="Times New Roman" w:cs="Times New Roman"/>
                <w:kern w:val="2"/>
                <w14:ligatures w14:val="standardContextual"/>
              </w:rPr>
            </w:pPr>
          </w:p>
          <w:p w14:paraId="3A5DA3D0" w14:textId="77777777" w:rsidR="00A66D81" w:rsidRDefault="00A66D81" w:rsidP="00A66D81">
            <w:pPr>
              <w:jc w:val="both"/>
              <w:rPr>
                <w:rFonts w:ascii="Times New Roman" w:eastAsia="Calibri" w:hAnsi="Times New Roman" w:cs="Times New Roman"/>
                <w:kern w:val="2"/>
                <w14:ligatures w14:val="standardContextual"/>
              </w:rPr>
            </w:pPr>
          </w:p>
          <w:p w14:paraId="14131456" w14:textId="77777777" w:rsidR="00A66D81" w:rsidRDefault="00A66D81" w:rsidP="00A66D81">
            <w:pPr>
              <w:jc w:val="both"/>
              <w:rPr>
                <w:rFonts w:ascii="Times New Roman" w:eastAsia="Calibri" w:hAnsi="Times New Roman" w:cs="Times New Roman"/>
                <w:kern w:val="2"/>
                <w14:ligatures w14:val="standardContextual"/>
              </w:rPr>
            </w:pPr>
          </w:p>
          <w:p w14:paraId="047C5643" w14:textId="77777777" w:rsidR="00A66D81" w:rsidRDefault="00A66D81" w:rsidP="00A66D81">
            <w:pPr>
              <w:jc w:val="both"/>
              <w:rPr>
                <w:rFonts w:ascii="Times New Roman" w:eastAsia="Calibri" w:hAnsi="Times New Roman" w:cs="Times New Roman"/>
                <w:kern w:val="2"/>
                <w14:ligatures w14:val="standardContextual"/>
              </w:rPr>
            </w:pPr>
          </w:p>
          <w:p w14:paraId="4C4CE199" w14:textId="77777777" w:rsidR="00A66D81" w:rsidRDefault="00A66D81" w:rsidP="00A66D81">
            <w:pPr>
              <w:jc w:val="both"/>
              <w:rPr>
                <w:rFonts w:ascii="Times New Roman" w:eastAsia="Calibri" w:hAnsi="Times New Roman" w:cs="Times New Roman"/>
                <w:kern w:val="2"/>
                <w14:ligatures w14:val="standardContextual"/>
              </w:rPr>
            </w:pPr>
          </w:p>
          <w:p w14:paraId="52B51729" w14:textId="77777777" w:rsidR="00A66D81" w:rsidRDefault="00A66D81" w:rsidP="00A66D81">
            <w:pPr>
              <w:jc w:val="both"/>
              <w:rPr>
                <w:rFonts w:ascii="Times New Roman" w:eastAsia="Calibri" w:hAnsi="Times New Roman" w:cs="Times New Roman"/>
                <w:kern w:val="2"/>
                <w14:ligatures w14:val="standardContextual"/>
              </w:rPr>
            </w:pPr>
          </w:p>
          <w:p w14:paraId="0F8B4059" w14:textId="77777777" w:rsidR="00A66D81" w:rsidRDefault="00A66D81" w:rsidP="00A66D81">
            <w:pPr>
              <w:jc w:val="both"/>
              <w:rPr>
                <w:rFonts w:ascii="Times New Roman" w:eastAsia="Calibri" w:hAnsi="Times New Roman" w:cs="Times New Roman"/>
                <w:kern w:val="2"/>
                <w14:ligatures w14:val="standardContextual"/>
              </w:rPr>
            </w:pPr>
          </w:p>
          <w:p w14:paraId="1688F979" w14:textId="77777777" w:rsidR="00A66D81" w:rsidRDefault="00A66D81" w:rsidP="00A66D81">
            <w:pPr>
              <w:jc w:val="both"/>
              <w:rPr>
                <w:rFonts w:ascii="Times New Roman" w:eastAsia="Calibri" w:hAnsi="Times New Roman" w:cs="Times New Roman"/>
                <w:kern w:val="2"/>
                <w14:ligatures w14:val="standardContextual"/>
              </w:rPr>
            </w:pPr>
          </w:p>
          <w:p w14:paraId="23B0BA95" w14:textId="77777777" w:rsidR="00A66D81" w:rsidRDefault="00A66D81" w:rsidP="00A66D81">
            <w:pPr>
              <w:jc w:val="both"/>
              <w:rPr>
                <w:rFonts w:ascii="Times New Roman" w:eastAsia="Calibri" w:hAnsi="Times New Roman" w:cs="Times New Roman"/>
                <w:kern w:val="2"/>
                <w14:ligatures w14:val="standardContextual"/>
              </w:rPr>
            </w:pPr>
          </w:p>
          <w:p w14:paraId="7037D2C1" w14:textId="77777777" w:rsidR="00A66D81" w:rsidRDefault="00A66D81" w:rsidP="00A66D81">
            <w:pPr>
              <w:jc w:val="both"/>
              <w:rPr>
                <w:rFonts w:ascii="Times New Roman" w:eastAsia="Calibri" w:hAnsi="Times New Roman" w:cs="Times New Roman"/>
                <w:kern w:val="2"/>
                <w14:ligatures w14:val="standardContextual"/>
              </w:rPr>
            </w:pPr>
          </w:p>
          <w:p w14:paraId="2D76CA02" w14:textId="77777777" w:rsidR="00A66D81" w:rsidRDefault="00A66D81" w:rsidP="00A66D81">
            <w:pPr>
              <w:jc w:val="both"/>
              <w:rPr>
                <w:rFonts w:ascii="Times New Roman" w:eastAsia="Calibri" w:hAnsi="Times New Roman" w:cs="Times New Roman"/>
                <w:kern w:val="2"/>
                <w14:ligatures w14:val="standardContextual"/>
              </w:rPr>
            </w:pPr>
          </w:p>
          <w:p w14:paraId="7C532719" w14:textId="77777777" w:rsidR="00A66D81" w:rsidRDefault="00A66D81" w:rsidP="00A66D81">
            <w:pPr>
              <w:jc w:val="both"/>
              <w:rPr>
                <w:rFonts w:ascii="Times New Roman" w:eastAsia="Calibri" w:hAnsi="Times New Roman" w:cs="Times New Roman"/>
                <w:kern w:val="2"/>
                <w14:ligatures w14:val="standardContextual"/>
              </w:rPr>
            </w:pPr>
          </w:p>
          <w:p w14:paraId="041AC109" w14:textId="77777777" w:rsidR="00A66D81" w:rsidRDefault="00A66D81" w:rsidP="00A66D81">
            <w:pPr>
              <w:jc w:val="both"/>
              <w:rPr>
                <w:rFonts w:ascii="Times New Roman" w:eastAsia="Calibri" w:hAnsi="Times New Roman" w:cs="Times New Roman"/>
                <w:kern w:val="2"/>
                <w14:ligatures w14:val="standardContextual"/>
              </w:rPr>
            </w:pPr>
          </w:p>
          <w:p w14:paraId="7D36F9CE" w14:textId="77777777" w:rsidR="00A66D81" w:rsidRDefault="00A66D81" w:rsidP="00A66D81">
            <w:pPr>
              <w:jc w:val="both"/>
              <w:rPr>
                <w:rFonts w:ascii="Times New Roman" w:eastAsia="Calibri" w:hAnsi="Times New Roman" w:cs="Times New Roman"/>
                <w:kern w:val="2"/>
                <w14:ligatures w14:val="standardContextual"/>
              </w:rPr>
            </w:pPr>
          </w:p>
          <w:p w14:paraId="2AAF2E74" w14:textId="77777777" w:rsidR="00A66D81" w:rsidRDefault="00A66D81" w:rsidP="00A66D81">
            <w:pPr>
              <w:jc w:val="both"/>
              <w:rPr>
                <w:rFonts w:ascii="Times New Roman" w:eastAsia="Calibri" w:hAnsi="Times New Roman" w:cs="Times New Roman"/>
                <w:kern w:val="2"/>
                <w14:ligatures w14:val="standardContextual"/>
              </w:rPr>
            </w:pPr>
          </w:p>
          <w:p w14:paraId="18634A8B" w14:textId="77777777" w:rsidR="00A66D81" w:rsidRDefault="00A66D81" w:rsidP="00A66D81">
            <w:pPr>
              <w:jc w:val="both"/>
              <w:rPr>
                <w:rFonts w:ascii="Times New Roman" w:eastAsia="Calibri" w:hAnsi="Times New Roman" w:cs="Times New Roman"/>
                <w:kern w:val="2"/>
                <w14:ligatures w14:val="standardContextual"/>
              </w:rPr>
            </w:pPr>
          </w:p>
          <w:p w14:paraId="1E6AF44E" w14:textId="77777777" w:rsidR="00A66D81" w:rsidRDefault="00A66D81" w:rsidP="00A66D81">
            <w:pPr>
              <w:jc w:val="both"/>
              <w:rPr>
                <w:rFonts w:ascii="Times New Roman" w:eastAsia="Calibri" w:hAnsi="Times New Roman" w:cs="Times New Roman"/>
                <w:kern w:val="2"/>
                <w14:ligatures w14:val="standardContextual"/>
              </w:rPr>
            </w:pPr>
          </w:p>
          <w:p w14:paraId="7A46F526" w14:textId="77777777" w:rsidR="00A66D81" w:rsidRDefault="00A66D81" w:rsidP="00A66D81">
            <w:pPr>
              <w:jc w:val="both"/>
              <w:rPr>
                <w:rFonts w:ascii="Times New Roman" w:eastAsia="Calibri" w:hAnsi="Times New Roman" w:cs="Times New Roman"/>
                <w:kern w:val="2"/>
                <w14:ligatures w14:val="standardContextual"/>
              </w:rPr>
            </w:pPr>
          </w:p>
          <w:p w14:paraId="644EA2C1" w14:textId="77777777" w:rsidR="00A66D81" w:rsidRDefault="00A66D81" w:rsidP="00A66D81">
            <w:pPr>
              <w:jc w:val="both"/>
              <w:rPr>
                <w:rFonts w:ascii="Times New Roman" w:eastAsia="Calibri" w:hAnsi="Times New Roman" w:cs="Times New Roman"/>
                <w:kern w:val="2"/>
                <w14:ligatures w14:val="standardContextual"/>
              </w:rPr>
            </w:pPr>
          </w:p>
          <w:p w14:paraId="5C182C9C" w14:textId="77777777" w:rsidR="00A66D81" w:rsidRDefault="00A66D81" w:rsidP="00A66D81">
            <w:pPr>
              <w:jc w:val="both"/>
              <w:rPr>
                <w:rFonts w:ascii="Times New Roman" w:eastAsia="Calibri" w:hAnsi="Times New Roman" w:cs="Times New Roman"/>
                <w:kern w:val="2"/>
                <w14:ligatures w14:val="standardContextual"/>
              </w:rPr>
            </w:pPr>
          </w:p>
          <w:p w14:paraId="5610D218" w14:textId="77777777" w:rsidR="00A66D81" w:rsidRDefault="00A66D81" w:rsidP="00A66D81">
            <w:pPr>
              <w:jc w:val="both"/>
              <w:rPr>
                <w:rFonts w:ascii="Times New Roman" w:eastAsia="Calibri" w:hAnsi="Times New Roman" w:cs="Times New Roman"/>
                <w:kern w:val="2"/>
                <w14:ligatures w14:val="standardContextual"/>
              </w:rPr>
            </w:pPr>
          </w:p>
          <w:p w14:paraId="0DD92507" w14:textId="77777777" w:rsidR="00A66D81" w:rsidRDefault="00A66D81" w:rsidP="00A66D81">
            <w:pPr>
              <w:jc w:val="both"/>
              <w:rPr>
                <w:rFonts w:ascii="Times New Roman" w:eastAsia="Calibri" w:hAnsi="Times New Roman" w:cs="Times New Roman"/>
                <w:kern w:val="2"/>
                <w14:ligatures w14:val="standardContextual"/>
              </w:rPr>
            </w:pPr>
          </w:p>
          <w:p w14:paraId="47499CBC" w14:textId="77777777" w:rsidR="00A66D81" w:rsidRDefault="00A66D81" w:rsidP="00A66D81">
            <w:pPr>
              <w:jc w:val="both"/>
              <w:rPr>
                <w:rFonts w:ascii="Times New Roman" w:eastAsia="Calibri" w:hAnsi="Times New Roman" w:cs="Times New Roman"/>
                <w:kern w:val="2"/>
                <w14:ligatures w14:val="standardContextual"/>
              </w:rPr>
            </w:pPr>
          </w:p>
          <w:p w14:paraId="448CDD9F" w14:textId="77777777" w:rsidR="00A66D81" w:rsidRDefault="00A66D81" w:rsidP="00A66D81">
            <w:pPr>
              <w:jc w:val="both"/>
              <w:rPr>
                <w:rFonts w:ascii="Times New Roman" w:eastAsia="Calibri" w:hAnsi="Times New Roman" w:cs="Times New Roman"/>
                <w:kern w:val="2"/>
                <w14:ligatures w14:val="standardContextual"/>
              </w:rPr>
            </w:pPr>
          </w:p>
          <w:p w14:paraId="1C0A1916" w14:textId="77777777" w:rsidR="00A66D81" w:rsidRDefault="00A66D81" w:rsidP="00A66D81">
            <w:pPr>
              <w:jc w:val="both"/>
              <w:rPr>
                <w:rFonts w:ascii="Times New Roman" w:eastAsia="Calibri" w:hAnsi="Times New Roman" w:cs="Times New Roman"/>
                <w:kern w:val="2"/>
                <w14:ligatures w14:val="standardContextual"/>
              </w:rPr>
            </w:pPr>
          </w:p>
          <w:p w14:paraId="73E25AF2" w14:textId="77777777" w:rsidR="00A66D81" w:rsidRDefault="00A66D81" w:rsidP="00A66D81">
            <w:pPr>
              <w:jc w:val="both"/>
              <w:rPr>
                <w:rFonts w:ascii="Times New Roman" w:eastAsia="Calibri" w:hAnsi="Times New Roman" w:cs="Times New Roman"/>
                <w:kern w:val="2"/>
                <w14:ligatures w14:val="standardContextual"/>
              </w:rPr>
            </w:pPr>
          </w:p>
          <w:p w14:paraId="0A7BF72F" w14:textId="77777777" w:rsidR="00A66D81" w:rsidRDefault="00A66D81" w:rsidP="00A66D81">
            <w:pPr>
              <w:jc w:val="both"/>
              <w:rPr>
                <w:rFonts w:ascii="Times New Roman" w:eastAsia="Calibri" w:hAnsi="Times New Roman" w:cs="Times New Roman"/>
                <w:kern w:val="2"/>
                <w14:ligatures w14:val="standardContextual"/>
              </w:rPr>
            </w:pPr>
          </w:p>
          <w:p w14:paraId="6AB036B1" w14:textId="77777777" w:rsidR="00A66D81" w:rsidRDefault="00A66D81" w:rsidP="00A66D81">
            <w:pPr>
              <w:jc w:val="both"/>
              <w:rPr>
                <w:rFonts w:ascii="Times New Roman" w:eastAsia="Calibri" w:hAnsi="Times New Roman" w:cs="Times New Roman"/>
                <w:kern w:val="2"/>
                <w14:ligatures w14:val="standardContextual"/>
              </w:rPr>
            </w:pPr>
          </w:p>
          <w:p w14:paraId="7AE06E52" w14:textId="77777777" w:rsidR="00A66D81" w:rsidRDefault="00A66D81" w:rsidP="00A66D81">
            <w:pPr>
              <w:jc w:val="both"/>
              <w:rPr>
                <w:rFonts w:ascii="Times New Roman" w:eastAsia="Calibri" w:hAnsi="Times New Roman" w:cs="Times New Roman"/>
                <w:kern w:val="2"/>
                <w14:ligatures w14:val="standardContextual"/>
              </w:rPr>
            </w:pPr>
          </w:p>
          <w:p w14:paraId="6E54CB18" w14:textId="77777777" w:rsidR="00A66D81" w:rsidRDefault="00A66D81" w:rsidP="00A66D81">
            <w:pPr>
              <w:jc w:val="both"/>
              <w:rPr>
                <w:rFonts w:ascii="Times New Roman" w:eastAsia="Calibri" w:hAnsi="Times New Roman" w:cs="Times New Roman"/>
                <w:kern w:val="2"/>
                <w14:ligatures w14:val="standardContextual"/>
              </w:rPr>
            </w:pPr>
          </w:p>
          <w:p w14:paraId="145F7FE6" w14:textId="77777777" w:rsidR="00A66D81" w:rsidRDefault="00A66D81" w:rsidP="00A66D81">
            <w:pPr>
              <w:jc w:val="both"/>
              <w:rPr>
                <w:rFonts w:ascii="Times New Roman" w:eastAsia="Calibri" w:hAnsi="Times New Roman" w:cs="Times New Roman"/>
                <w:kern w:val="2"/>
                <w14:ligatures w14:val="standardContextual"/>
              </w:rPr>
            </w:pPr>
          </w:p>
          <w:p w14:paraId="3CC07589" w14:textId="77777777" w:rsidR="00A66D81" w:rsidRDefault="00A66D81" w:rsidP="00A66D81">
            <w:pPr>
              <w:jc w:val="both"/>
              <w:rPr>
                <w:rFonts w:ascii="Times New Roman" w:eastAsia="Calibri" w:hAnsi="Times New Roman" w:cs="Times New Roman"/>
                <w:kern w:val="2"/>
                <w14:ligatures w14:val="standardContextual"/>
              </w:rPr>
            </w:pPr>
          </w:p>
          <w:p w14:paraId="7DFF39A9" w14:textId="77777777" w:rsidR="00A66D81" w:rsidRDefault="00A66D81" w:rsidP="00A66D81">
            <w:pPr>
              <w:jc w:val="both"/>
              <w:rPr>
                <w:rFonts w:ascii="Times New Roman" w:eastAsia="Calibri" w:hAnsi="Times New Roman" w:cs="Times New Roman"/>
                <w:kern w:val="2"/>
                <w14:ligatures w14:val="standardContextual"/>
              </w:rPr>
            </w:pPr>
          </w:p>
          <w:p w14:paraId="0A2843EA" w14:textId="77777777" w:rsidR="00A66D81" w:rsidRDefault="00A66D81" w:rsidP="00A66D81">
            <w:pPr>
              <w:jc w:val="both"/>
              <w:rPr>
                <w:rFonts w:ascii="Times New Roman" w:eastAsia="Calibri" w:hAnsi="Times New Roman" w:cs="Times New Roman"/>
                <w:kern w:val="2"/>
                <w14:ligatures w14:val="standardContextual"/>
              </w:rPr>
            </w:pPr>
          </w:p>
          <w:p w14:paraId="453D37D8" w14:textId="77777777" w:rsidR="00A66D81" w:rsidRDefault="00A66D81" w:rsidP="00A66D81">
            <w:pPr>
              <w:jc w:val="both"/>
              <w:rPr>
                <w:rFonts w:ascii="Times New Roman" w:eastAsia="Calibri" w:hAnsi="Times New Roman" w:cs="Times New Roman"/>
                <w:kern w:val="2"/>
                <w14:ligatures w14:val="standardContextual"/>
              </w:rPr>
            </w:pPr>
          </w:p>
          <w:p w14:paraId="498103DC" w14:textId="77777777" w:rsidR="00A66D81" w:rsidRDefault="00A66D81" w:rsidP="00A66D81">
            <w:pPr>
              <w:jc w:val="both"/>
              <w:rPr>
                <w:rFonts w:ascii="Times New Roman" w:eastAsia="Calibri" w:hAnsi="Times New Roman" w:cs="Times New Roman"/>
                <w:kern w:val="2"/>
                <w14:ligatures w14:val="standardContextual"/>
              </w:rPr>
            </w:pPr>
          </w:p>
          <w:p w14:paraId="7CCCD630" w14:textId="77777777" w:rsidR="00A66D81" w:rsidRDefault="00A66D81" w:rsidP="00A66D81">
            <w:pPr>
              <w:jc w:val="both"/>
              <w:rPr>
                <w:rFonts w:ascii="Times New Roman" w:eastAsia="Calibri" w:hAnsi="Times New Roman" w:cs="Times New Roman"/>
                <w:kern w:val="2"/>
                <w14:ligatures w14:val="standardContextual"/>
              </w:rPr>
            </w:pPr>
          </w:p>
          <w:p w14:paraId="4E7F9BC2" w14:textId="77777777" w:rsidR="00A66D81" w:rsidRDefault="00A66D81" w:rsidP="00A66D81">
            <w:pPr>
              <w:jc w:val="both"/>
              <w:rPr>
                <w:rFonts w:ascii="Times New Roman" w:eastAsia="Calibri" w:hAnsi="Times New Roman" w:cs="Times New Roman"/>
                <w:kern w:val="2"/>
                <w14:ligatures w14:val="standardContextual"/>
              </w:rPr>
            </w:pPr>
          </w:p>
          <w:p w14:paraId="32739C23" w14:textId="77777777" w:rsidR="00A66D81" w:rsidRDefault="00A66D81" w:rsidP="00A66D81">
            <w:pPr>
              <w:jc w:val="both"/>
              <w:rPr>
                <w:rFonts w:ascii="Times New Roman" w:eastAsia="Calibri" w:hAnsi="Times New Roman" w:cs="Times New Roman"/>
                <w:kern w:val="2"/>
                <w14:ligatures w14:val="standardContextual"/>
              </w:rPr>
            </w:pPr>
          </w:p>
          <w:p w14:paraId="7A087AD5" w14:textId="77777777" w:rsidR="00A66D81" w:rsidRDefault="00A66D81" w:rsidP="00A66D81">
            <w:pPr>
              <w:jc w:val="both"/>
              <w:rPr>
                <w:rFonts w:ascii="Times New Roman" w:eastAsia="Calibri" w:hAnsi="Times New Roman" w:cs="Times New Roman"/>
                <w:kern w:val="2"/>
                <w14:ligatures w14:val="standardContextual"/>
              </w:rPr>
            </w:pPr>
          </w:p>
          <w:p w14:paraId="3F9A1D15" w14:textId="77777777" w:rsidR="00A66D81" w:rsidRDefault="00A66D81" w:rsidP="00A66D81">
            <w:pPr>
              <w:jc w:val="both"/>
              <w:rPr>
                <w:rFonts w:ascii="Times New Roman" w:eastAsia="Calibri" w:hAnsi="Times New Roman" w:cs="Times New Roman"/>
                <w:kern w:val="2"/>
                <w14:ligatures w14:val="standardContextual"/>
              </w:rPr>
            </w:pPr>
          </w:p>
          <w:p w14:paraId="2BC1C34A" w14:textId="77777777" w:rsidR="00A66D81" w:rsidRDefault="00A66D81" w:rsidP="00A66D81">
            <w:pPr>
              <w:jc w:val="both"/>
              <w:rPr>
                <w:rFonts w:ascii="Times New Roman" w:eastAsia="Calibri" w:hAnsi="Times New Roman" w:cs="Times New Roman"/>
                <w:kern w:val="2"/>
                <w14:ligatures w14:val="standardContextual"/>
              </w:rPr>
            </w:pPr>
          </w:p>
          <w:p w14:paraId="65E73220" w14:textId="77777777" w:rsidR="00A66D81" w:rsidRDefault="00A66D81" w:rsidP="00A66D81">
            <w:pPr>
              <w:jc w:val="both"/>
              <w:rPr>
                <w:rFonts w:ascii="Times New Roman" w:eastAsia="Calibri" w:hAnsi="Times New Roman" w:cs="Times New Roman"/>
                <w:kern w:val="2"/>
                <w14:ligatures w14:val="standardContextual"/>
              </w:rPr>
            </w:pPr>
          </w:p>
          <w:p w14:paraId="147AC019" w14:textId="77777777" w:rsidR="00A66D81" w:rsidRDefault="00A66D81" w:rsidP="00A66D81">
            <w:pPr>
              <w:jc w:val="both"/>
              <w:rPr>
                <w:rFonts w:ascii="Times New Roman" w:eastAsia="Calibri" w:hAnsi="Times New Roman" w:cs="Times New Roman"/>
                <w:kern w:val="2"/>
                <w14:ligatures w14:val="standardContextual"/>
              </w:rPr>
            </w:pPr>
          </w:p>
          <w:p w14:paraId="55002B6E" w14:textId="77777777" w:rsidR="00A66D81" w:rsidRDefault="00A66D81" w:rsidP="00A66D81">
            <w:pPr>
              <w:jc w:val="both"/>
              <w:rPr>
                <w:rFonts w:ascii="Times New Roman" w:eastAsia="Calibri" w:hAnsi="Times New Roman" w:cs="Times New Roman"/>
                <w:kern w:val="2"/>
                <w14:ligatures w14:val="standardContextual"/>
              </w:rPr>
            </w:pPr>
          </w:p>
          <w:p w14:paraId="44268D8E" w14:textId="77777777" w:rsidR="00A66D81" w:rsidRDefault="00A66D81" w:rsidP="00A66D81">
            <w:pPr>
              <w:jc w:val="both"/>
              <w:rPr>
                <w:rFonts w:ascii="Times New Roman" w:eastAsia="Calibri" w:hAnsi="Times New Roman" w:cs="Times New Roman"/>
                <w:kern w:val="2"/>
                <w14:ligatures w14:val="standardContextual"/>
              </w:rPr>
            </w:pPr>
          </w:p>
          <w:p w14:paraId="324E35B5" w14:textId="77777777" w:rsidR="00A66D81" w:rsidRDefault="00A66D81" w:rsidP="00A66D81">
            <w:pPr>
              <w:jc w:val="both"/>
              <w:rPr>
                <w:rFonts w:ascii="Times New Roman" w:eastAsia="Calibri" w:hAnsi="Times New Roman" w:cs="Times New Roman"/>
                <w:kern w:val="2"/>
                <w14:ligatures w14:val="standardContextual"/>
              </w:rPr>
            </w:pPr>
          </w:p>
          <w:p w14:paraId="2AEBFBA6" w14:textId="77777777" w:rsidR="00A66D81" w:rsidRDefault="00A66D81" w:rsidP="00A66D81">
            <w:pPr>
              <w:jc w:val="both"/>
              <w:rPr>
                <w:rFonts w:ascii="Times New Roman" w:eastAsia="Calibri" w:hAnsi="Times New Roman" w:cs="Times New Roman"/>
                <w:kern w:val="2"/>
                <w14:ligatures w14:val="standardContextual"/>
              </w:rPr>
            </w:pPr>
          </w:p>
          <w:p w14:paraId="3F08E3FF" w14:textId="77777777" w:rsidR="00A66D81" w:rsidRDefault="00A66D81" w:rsidP="00A66D81">
            <w:pPr>
              <w:jc w:val="both"/>
              <w:rPr>
                <w:rFonts w:ascii="Times New Roman" w:eastAsia="Calibri" w:hAnsi="Times New Roman" w:cs="Times New Roman"/>
                <w:kern w:val="2"/>
                <w14:ligatures w14:val="standardContextual"/>
              </w:rPr>
            </w:pPr>
          </w:p>
          <w:p w14:paraId="7C609C32" w14:textId="77777777" w:rsidR="00A66D81" w:rsidRDefault="00A66D81" w:rsidP="00A66D81">
            <w:pPr>
              <w:jc w:val="both"/>
              <w:rPr>
                <w:rFonts w:ascii="Times New Roman" w:eastAsia="Calibri" w:hAnsi="Times New Roman" w:cs="Times New Roman"/>
                <w:kern w:val="2"/>
                <w14:ligatures w14:val="standardContextual"/>
              </w:rPr>
            </w:pPr>
          </w:p>
          <w:p w14:paraId="59757ED8" w14:textId="77777777" w:rsidR="00A66D81" w:rsidRDefault="00A66D81" w:rsidP="00A66D81">
            <w:pPr>
              <w:jc w:val="both"/>
              <w:rPr>
                <w:rFonts w:ascii="Times New Roman" w:eastAsia="Calibri" w:hAnsi="Times New Roman" w:cs="Times New Roman"/>
                <w:kern w:val="2"/>
                <w14:ligatures w14:val="standardContextual"/>
              </w:rPr>
            </w:pPr>
          </w:p>
          <w:p w14:paraId="3166287B" w14:textId="77777777" w:rsidR="00A66D81" w:rsidRDefault="00A66D81" w:rsidP="00A66D81">
            <w:pPr>
              <w:jc w:val="both"/>
              <w:rPr>
                <w:rFonts w:ascii="Times New Roman" w:eastAsia="Calibri" w:hAnsi="Times New Roman" w:cs="Times New Roman"/>
                <w:kern w:val="2"/>
                <w14:ligatures w14:val="standardContextual"/>
              </w:rPr>
            </w:pPr>
          </w:p>
          <w:p w14:paraId="241FB68E" w14:textId="77777777" w:rsidR="00A66D81" w:rsidRDefault="00A66D81" w:rsidP="00A66D81">
            <w:pPr>
              <w:jc w:val="both"/>
              <w:rPr>
                <w:rFonts w:ascii="Times New Roman" w:eastAsia="Calibri" w:hAnsi="Times New Roman" w:cs="Times New Roman"/>
                <w:kern w:val="2"/>
                <w14:ligatures w14:val="standardContextual"/>
              </w:rPr>
            </w:pPr>
          </w:p>
          <w:p w14:paraId="1628FBBB" w14:textId="77777777" w:rsidR="00A66D81" w:rsidRDefault="00A66D81" w:rsidP="00A66D81">
            <w:pPr>
              <w:jc w:val="both"/>
              <w:rPr>
                <w:rFonts w:ascii="Times New Roman" w:eastAsia="Calibri" w:hAnsi="Times New Roman" w:cs="Times New Roman"/>
                <w:kern w:val="2"/>
                <w14:ligatures w14:val="standardContextual"/>
              </w:rPr>
            </w:pPr>
          </w:p>
          <w:p w14:paraId="73AE3539" w14:textId="77777777" w:rsidR="00A66D81" w:rsidRDefault="00A66D81" w:rsidP="00A66D81">
            <w:pPr>
              <w:jc w:val="both"/>
              <w:rPr>
                <w:rFonts w:ascii="Times New Roman" w:eastAsia="Calibri" w:hAnsi="Times New Roman" w:cs="Times New Roman"/>
                <w:kern w:val="2"/>
                <w14:ligatures w14:val="standardContextual"/>
              </w:rPr>
            </w:pPr>
          </w:p>
          <w:p w14:paraId="1FEEC0D3" w14:textId="77777777" w:rsidR="00A66D81" w:rsidRDefault="00A66D81" w:rsidP="00A66D81">
            <w:pPr>
              <w:jc w:val="both"/>
              <w:rPr>
                <w:rFonts w:ascii="Times New Roman" w:eastAsia="Calibri" w:hAnsi="Times New Roman" w:cs="Times New Roman"/>
                <w:kern w:val="2"/>
                <w14:ligatures w14:val="standardContextual"/>
              </w:rPr>
            </w:pPr>
          </w:p>
          <w:p w14:paraId="287A6066" w14:textId="77777777" w:rsidR="00A66D81" w:rsidRDefault="00A66D81" w:rsidP="00A66D81">
            <w:pPr>
              <w:jc w:val="both"/>
              <w:rPr>
                <w:rFonts w:ascii="Times New Roman" w:eastAsia="Calibri" w:hAnsi="Times New Roman" w:cs="Times New Roman"/>
                <w:kern w:val="2"/>
                <w14:ligatures w14:val="standardContextual"/>
              </w:rPr>
            </w:pPr>
          </w:p>
          <w:p w14:paraId="5EE80536" w14:textId="77777777" w:rsidR="00A66D81" w:rsidRDefault="00A66D81" w:rsidP="00A66D81">
            <w:pPr>
              <w:jc w:val="both"/>
              <w:rPr>
                <w:rFonts w:ascii="Times New Roman" w:eastAsia="Calibri" w:hAnsi="Times New Roman" w:cs="Times New Roman"/>
                <w:kern w:val="2"/>
                <w14:ligatures w14:val="standardContextual"/>
              </w:rPr>
            </w:pPr>
          </w:p>
          <w:p w14:paraId="1B48328E" w14:textId="77777777" w:rsidR="00A66D81" w:rsidRDefault="00A66D81" w:rsidP="00A66D81">
            <w:pPr>
              <w:jc w:val="both"/>
              <w:rPr>
                <w:rFonts w:ascii="Times New Roman" w:eastAsia="Calibri" w:hAnsi="Times New Roman" w:cs="Times New Roman"/>
                <w:kern w:val="2"/>
                <w14:ligatures w14:val="standardContextual"/>
              </w:rPr>
            </w:pPr>
          </w:p>
          <w:p w14:paraId="0898E49C" w14:textId="77777777" w:rsidR="00A66D81" w:rsidRDefault="00A66D81" w:rsidP="00A66D81">
            <w:pPr>
              <w:jc w:val="both"/>
              <w:rPr>
                <w:rFonts w:ascii="Times New Roman" w:eastAsia="Calibri" w:hAnsi="Times New Roman" w:cs="Times New Roman"/>
                <w:kern w:val="2"/>
                <w14:ligatures w14:val="standardContextual"/>
              </w:rPr>
            </w:pPr>
          </w:p>
          <w:p w14:paraId="0D2BDB00" w14:textId="77777777" w:rsidR="00A66D81" w:rsidRDefault="00A66D81" w:rsidP="00A66D81">
            <w:pPr>
              <w:jc w:val="both"/>
              <w:rPr>
                <w:rFonts w:ascii="Times New Roman" w:eastAsia="Calibri" w:hAnsi="Times New Roman" w:cs="Times New Roman"/>
                <w:kern w:val="2"/>
                <w14:ligatures w14:val="standardContextual"/>
              </w:rPr>
            </w:pPr>
          </w:p>
          <w:p w14:paraId="6DBF9BC0" w14:textId="77777777" w:rsidR="00A66D81" w:rsidRDefault="00A66D81" w:rsidP="00A66D81">
            <w:pPr>
              <w:jc w:val="both"/>
              <w:rPr>
                <w:rFonts w:ascii="Times New Roman" w:eastAsia="Calibri" w:hAnsi="Times New Roman" w:cs="Times New Roman"/>
                <w:kern w:val="2"/>
                <w14:ligatures w14:val="standardContextual"/>
              </w:rPr>
            </w:pPr>
          </w:p>
          <w:p w14:paraId="6F3A0BE4" w14:textId="77777777" w:rsidR="00A66D81" w:rsidRDefault="00A66D81" w:rsidP="00A66D81">
            <w:pPr>
              <w:jc w:val="both"/>
              <w:rPr>
                <w:rFonts w:ascii="Times New Roman" w:eastAsia="Calibri" w:hAnsi="Times New Roman" w:cs="Times New Roman"/>
                <w:kern w:val="2"/>
                <w14:ligatures w14:val="standardContextual"/>
              </w:rPr>
            </w:pPr>
          </w:p>
          <w:p w14:paraId="5B61B366" w14:textId="77777777" w:rsidR="00A66D81" w:rsidRDefault="00A66D81" w:rsidP="00A66D81">
            <w:pPr>
              <w:jc w:val="both"/>
              <w:rPr>
                <w:rFonts w:ascii="Times New Roman" w:eastAsia="Calibri" w:hAnsi="Times New Roman" w:cs="Times New Roman"/>
                <w:kern w:val="2"/>
                <w14:ligatures w14:val="standardContextual"/>
              </w:rPr>
            </w:pPr>
          </w:p>
          <w:p w14:paraId="1141517E" w14:textId="77777777" w:rsidR="00A66D81" w:rsidRDefault="00A66D81" w:rsidP="00A66D81">
            <w:pPr>
              <w:jc w:val="both"/>
              <w:rPr>
                <w:rFonts w:ascii="Times New Roman" w:eastAsia="Calibri" w:hAnsi="Times New Roman" w:cs="Times New Roman"/>
                <w:kern w:val="2"/>
                <w14:ligatures w14:val="standardContextual"/>
              </w:rPr>
            </w:pPr>
          </w:p>
          <w:p w14:paraId="5C162826" w14:textId="77777777" w:rsidR="00A66D81" w:rsidRDefault="00A66D81" w:rsidP="00A66D81">
            <w:pPr>
              <w:jc w:val="both"/>
              <w:rPr>
                <w:rFonts w:ascii="Times New Roman" w:eastAsia="Calibri" w:hAnsi="Times New Roman" w:cs="Times New Roman"/>
                <w:kern w:val="2"/>
                <w14:ligatures w14:val="standardContextual"/>
              </w:rPr>
            </w:pPr>
          </w:p>
          <w:p w14:paraId="36C420D3" w14:textId="77777777" w:rsidR="00A66D81" w:rsidRDefault="00A66D81" w:rsidP="00A66D81">
            <w:pPr>
              <w:jc w:val="both"/>
              <w:rPr>
                <w:rFonts w:ascii="Times New Roman" w:eastAsia="Calibri" w:hAnsi="Times New Roman" w:cs="Times New Roman"/>
                <w:kern w:val="2"/>
                <w14:ligatures w14:val="standardContextual"/>
              </w:rPr>
            </w:pPr>
          </w:p>
          <w:p w14:paraId="3D9523E3" w14:textId="77777777" w:rsidR="00A66D81" w:rsidRDefault="00A66D81" w:rsidP="00A66D81">
            <w:pPr>
              <w:jc w:val="both"/>
              <w:rPr>
                <w:rFonts w:ascii="Times New Roman" w:eastAsia="Calibri" w:hAnsi="Times New Roman" w:cs="Times New Roman"/>
                <w:kern w:val="2"/>
                <w14:ligatures w14:val="standardContextual"/>
              </w:rPr>
            </w:pPr>
          </w:p>
          <w:p w14:paraId="03AEEFBE" w14:textId="77777777" w:rsidR="00A66D81" w:rsidRDefault="00A66D81" w:rsidP="00A66D81">
            <w:pPr>
              <w:jc w:val="both"/>
              <w:rPr>
                <w:rFonts w:ascii="Times New Roman" w:eastAsia="Calibri" w:hAnsi="Times New Roman" w:cs="Times New Roman"/>
                <w:kern w:val="2"/>
                <w14:ligatures w14:val="standardContextual"/>
              </w:rPr>
            </w:pPr>
          </w:p>
          <w:p w14:paraId="714FC455" w14:textId="77777777" w:rsidR="00A66D81" w:rsidRDefault="00A66D81" w:rsidP="00A66D81">
            <w:pPr>
              <w:jc w:val="both"/>
              <w:rPr>
                <w:rFonts w:ascii="Times New Roman" w:eastAsia="Calibri" w:hAnsi="Times New Roman" w:cs="Times New Roman"/>
                <w:kern w:val="2"/>
                <w14:ligatures w14:val="standardContextual"/>
              </w:rPr>
            </w:pPr>
          </w:p>
          <w:p w14:paraId="5C8A6746" w14:textId="77777777" w:rsidR="00A66D81" w:rsidRDefault="00A66D81" w:rsidP="00A66D81">
            <w:pPr>
              <w:jc w:val="both"/>
              <w:rPr>
                <w:rFonts w:ascii="Times New Roman" w:eastAsia="Calibri" w:hAnsi="Times New Roman" w:cs="Times New Roman"/>
                <w:kern w:val="2"/>
                <w14:ligatures w14:val="standardContextual"/>
              </w:rPr>
            </w:pPr>
          </w:p>
          <w:p w14:paraId="1BD52459" w14:textId="77777777" w:rsidR="00A66D81" w:rsidRDefault="00A66D81" w:rsidP="00A66D81">
            <w:pPr>
              <w:jc w:val="both"/>
              <w:rPr>
                <w:rFonts w:ascii="Times New Roman" w:eastAsia="Calibri" w:hAnsi="Times New Roman" w:cs="Times New Roman"/>
                <w:kern w:val="2"/>
                <w14:ligatures w14:val="standardContextual"/>
              </w:rPr>
            </w:pPr>
          </w:p>
          <w:p w14:paraId="672B8E99" w14:textId="77777777" w:rsidR="00A66D81" w:rsidRDefault="00A66D81" w:rsidP="00A66D81">
            <w:pPr>
              <w:jc w:val="both"/>
              <w:rPr>
                <w:rFonts w:ascii="Times New Roman" w:eastAsia="Calibri" w:hAnsi="Times New Roman" w:cs="Times New Roman"/>
                <w:kern w:val="2"/>
                <w14:ligatures w14:val="standardContextual"/>
              </w:rPr>
            </w:pPr>
          </w:p>
          <w:p w14:paraId="6207E5E5" w14:textId="77777777" w:rsidR="00A66D81" w:rsidRDefault="00A66D81" w:rsidP="00A66D81">
            <w:pPr>
              <w:jc w:val="both"/>
              <w:rPr>
                <w:rFonts w:ascii="Times New Roman" w:eastAsia="Calibri" w:hAnsi="Times New Roman" w:cs="Times New Roman"/>
                <w:kern w:val="2"/>
                <w14:ligatures w14:val="standardContextual"/>
              </w:rPr>
            </w:pPr>
          </w:p>
          <w:p w14:paraId="269F24FF" w14:textId="77777777" w:rsidR="00A66D81" w:rsidRDefault="00A66D81" w:rsidP="00A66D81">
            <w:pPr>
              <w:jc w:val="both"/>
              <w:rPr>
                <w:rFonts w:ascii="Times New Roman" w:eastAsia="Calibri" w:hAnsi="Times New Roman" w:cs="Times New Roman"/>
                <w:kern w:val="2"/>
                <w14:ligatures w14:val="standardContextual"/>
              </w:rPr>
            </w:pPr>
          </w:p>
          <w:p w14:paraId="3C59DC17" w14:textId="77777777" w:rsidR="00A66D81" w:rsidRDefault="00A66D81" w:rsidP="00A66D81">
            <w:pPr>
              <w:jc w:val="both"/>
              <w:rPr>
                <w:rFonts w:ascii="Times New Roman" w:eastAsia="Calibri" w:hAnsi="Times New Roman" w:cs="Times New Roman"/>
                <w:kern w:val="2"/>
                <w14:ligatures w14:val="standardContextual"/>
              </w:rPr>
            </w:pPr>
          </w:p>
          <w:p w14:paraId="37841BE2" w14:textId="77777777" w:rsidR="00A66D81" w:rsidRDefault="00A66D81" w:rsidP="00A66D81">
            <w:pPr>
              <w:jc w:val="both"/>
              <w:rPr>
                <w:rFonts w:ascii="Times New Roman" w:eastAsia="Calibri" w:hAnsi="Times New Roman" w:cs="Times New Roman"/>
                <w:kern w:val="2"/>
                <w14:ligatures w14:val="standardContextual"/>
              </w:rPr>
            </w:pPr>
          </w:p>
          <w:p w14:paraId="2BE7D526" w14:textId="77777777" w:rsidR="00A66D81" w:rsidRDefault="00A66D81" w:rsidP="00A66D81">
            <w:pPr>
              <w:jc w:val="both"/>
              <w:rPr>
                <w:rFonts w:ascii="Times New Roman" w:eastAsia="Calibri" w:hAnsi="Times New Roman" w:cs="Times New Roman"/>
                <w:kern w:val="2"/>
                <w14:ligatures w14:val="standardContextual"/>
              </w:rPr>
            </w:pPr>
          </w:p>
          <w:p w14:paraId="3CFF30CC" w14:textId="77777777" w:rsidR="00A66D81" w:rsidRDefault="00A66D81" w:rsidP="00A66D81">
            <w:pPr>
              <w:jc w:val="both"/>
              <w:rPr>
                <w:rFonts w:ascii="Times New Roman" w:eastAsia="Calibri" w:hAnsi="Times New Roman" w:cs="Times New Roman"/>
                <w:kern w:val="2"/>
                <w14:ligatures w14:val="standardContextual"/>
              </w:rPr>
            </w:pPr>
          </w:p>
          <w:p w14:paraId="0472644D" w14:textId="77777777" w:rsidR="00A66D81" w:rsidRDefault="00A66D81" w:rsidP="00A66D81">
            <w:pPr>
              <w:jc w:val="both"/>
              <w:rPr>
                <w:rFonts w:ascii="Times New Roman" w:eastAsia="Calibri" w:hAnsi="Times New Roman" w:cs="Times New Roman"/>
                <w:kern w:val="2"/>
                <w14:ligatures w14:val="standardContextual"/>
              </w:rPr>
            </w:pPr>
          </w:p>
          <w:p w14:paraId="19DDF79B" w14:textId="77777777" w:rsidR="00A66D81" w:rsidRDefault="00A66D81" w:rsidP="00A66D81">
            <w:pPr>
              <w:jc w:val="both"/>
              <w:rPr>
                <w:rFonts w:ascii="Times New Roman" w:eastAsia="Calibri" w:hAnsi="Times New Roman" w:cs="Times New Roman"/>
                <w:kern w:val="2"/>
                <w14:ligatures w14:val="standardContextual"/>
              </w:rPr>
            </w:pPr>
          </w:p>
          <w:p w14:paraId="479FCF4F" w14:textId="77777777" w:rsidR="00A66D81" w:rsidRDefault="00A66D81" w:rsidP="00A66D81">
            <w:pPr>
              <w:jc w:val="both"/>
              <w:rPr>
                <w:rFonts w:ascii="Times New Roman" w:eastAsia="Calibri" w:hAnsi="Times New Roman" w:cs="Times New Roman"/>
                <w:kern w:val="2"/>
                <w14:ligatures w14:val="standardContextual"/>
              </w:rPr>
            </w:pPr>
          </w:p>
          <w:p w14:paraId="44529027" w14:textId="77777777" w:rsidR="00A66D81" w:rsidRDefault="00A66D81" w:rsidP="00A66D81">
            <w:pPr>
              <w:jc w:val="both"/>
              <w:rPr>
                <w:rFonts w:ascii="Times New Roman" w:eastAsia="Calibri" w:hAnsi="Times New Roman" w:cs="Times New Roman"/>
                <w:kern w:val="2"/>
                <w14:ligatures w14:val="standardContextual"/>
              </w:rPr>
            </w:pPr>
          </w:p>
          <w:p w14:paraId="40A6158E" w14:textId="77777777" w:rsidR="00A66D81" w:rsidRDefault="00A66D81" w:rsidP="00A66D81">
            <w:pPr>
              <w:jc w:val="both"/>
              <w:rPr>
                <w:rFonts w:ascii="Times New Roman" w:eastAsia="Calibri" w:hAnsi="Times New Roman" w:cs="Times New Roman"/>
                <w:kern w:val="2"/>
                <w14:ligatures w14:val="standardContextual"/>
              </w:rPr>
            </w:pPr>
          </w:p>
          <w:p w14:paraId="1028BA1A" w14:textId="77777777" w:rsidR="00A66D81" w:rsidRDefault="00A66D81" w:rsidP="00A66D81">
            <w:pPr>
              <w:jc w:val="both"/>
              <w:rPr>
                <w:rFonts w:ascii="Times New Roman" w:eastAsia="Calibri" w:hAnsi="Times New Roman" w:cs="Times New Roman"/>
                <w:kern w:val="2"/>
                <w14:ligatures w14:val="standardContextual"/>
              </w:rPr>
            </w:pPr>
          </w:p>
          <w:p w14:paraId="719A08CC" w14:textId="77777777" w:rsidR="00A66D81" w:rsidRDefault="00A66D81" w:rsidP="00A66D81">
            <w:pPr>
              <w:jc w:val="both"/>
              <w:rPr>
                <w:rFonts w:ascii="Times New Roman" w:eastAsia="Calibri" w:hAnsi="Times New Roman" w:cs="Times New Roman"/>
                <w:kern w:val="2"/>
                <w14:ligatures w14:val="standardContextual"/>
              </w:rPr>
            </w:pPr>
          </w:p>
          <w:p w14:paraId="4F2CD1F4" w14:textId="77777777" w:rsidR="00A66D81" w:rsidRDefault="00A66D81" w:rsidP="00A66D81">
            <w:pPr>
              <w:jc w:val="both"/>
              <w:rPr>
                <w:rFonts w:ascii="Times New Roman" w:eastAsia="Calibri" w:hAnsi="Times New Roman" w:cs="Times New Roman"/>
                <w:kern w:val="2"/>
                <w14:ligatures w14:val="standardContextual"/>
              </w:rPr>
            </w:pPr>
          </w:p>
          <w:p w14:paraId="013D7C02" w14:textId="77777777" w:rsidR="00A66D81" w:rsidRDefault="00A66D81" w:rsidP="00A66D81">
            <w:pPr>
              <w:jc w:val="both"/>
              <w:rPr>
                <w:rFonts w:ascii="Times New Roman" w:eastAsia="Calibri" w:hAnsi="Times New Roman" w:cs="Times New Roman"/>
                <w:kern w:val="2"/>
                <w14:ligatures w14:val="standardContextual"/>
              </w:rPr>
            </w:pPr>
          </w:p>
          <w:p w14:paraId="3BE577FE" w14:textId="77777777" w:rsidR="00A66D81" w:rsidRDefault="00A66D81" w:rsidP="00A66D81">
            <w:pPr>
              <w:jc w:val="both"/>
              <w:rPr>
                <w:rFonts w:ascii="Times New Roman" w:eastAsia="Calibri" w:hAnsi="Times New Roman" w:cs="Times New Roman"/>
                <w:kern w:val="2"/>
                <w14:ligatures w14:val="standardContextual"/>
              </w:rPr>
            </w:pPr>
          </w:p>
          <w:p w14:paraId="40D23374" w14:textId="77777777" w:rsidR="00A66D81" w:rsidRDefault="00A66D81" w:rsidP="00A66D81">
            <w:pPr>
              <w:jc w:val="both"/>
              <w:rPr>
                <w:rFonts w:ascii="Times New Roman" w:eastAsia="Calibri" w:hAnsi="Times New Roman" w:cs="Times New Roman"/>
                <w:kern w:val="2"/>
                <w14:ligatures w14:val="standardContextual"/>
              </w:rPr>
            </w:pPr>
          </w:p>
          <w:p w14:paraId="15B1D110" w14:textId="77777777" w:rsidR="00A66D81" w:rsidRDefault="00A66D81" w:rsidP="00A66D81">
            <w:pPr>
              <w:jc w:val="both"/>
              <w:rPr>
                <w:rFonts w:ascii="Times New Roman" w:eastAsia="Calibri" w:hAnsi="Times New Roman" w:cs="Times New Roman"/>
                <w:kern w:val="2"/>
                <w14:ligatures w14:val="standardContextual"/>
              </w:rPr>
            </w:pPr>
          </w:p>
          <w:p w14:paraId="6D7BC7CF" w14:textId="77777777" w:rsidR="00A66D81" w:rsidRDefault="00A66D81" w:rsidP="00A66D81">
            <w:pPr>
              <w:jc w:val="both"/>
              <w:rPr>
                <w:rFonts w:ascii="Times New Roman" w:eastAsia="Calibri" w:hAnsi="Times New Roman" w:cs="Times New Roman"/>
                <w:kern w:val="2"/>
                <w14:ligatures w14:val="standardContextual"/>
              </w:rPr>
            </w:pPr>
          </w:p>
          <w:p w14:paraId="5276E23C" w14:textId="77777777" w:rsidR="00A66D81" w:rsidRDefault="00A66D81" w:rsidP="00A66D81">
            <w:pPr>
              <w:jc w:val="both"/>
              <w:rPr>
                <w:rFonts w:ascii="Times New Roman" w:eastAsia="Calibri" w:hAnsi="Times New Roman" w:cs="Times New Roman"/>
                <w:kern w:val="2"/>
                <w14:ligatures w14:val="standardContextual"/>
              </w:rPr>
            </w:pPr>
          </w:p>
          <w:p w14:paraId="543254BD" w14:textId="77777777" w:rsidR="00A66D81" w:rsidRDefault="00A66D81" w:rsidP="00A66D81">
            <w:pPr>
              <w:jc w:val="both"/>
              <w:rPr>
                <w:rFonts w:ascii="Times New Roman" w:eastAsia="Calibri" w:hAnsi="Times New Roman" w:cs="Times New Roman"/>
                <w:kern w:val="2"/>
                <w14:ligatures w14:val="standardContextual"/>
              </w:rPr>
            </w:pPr>
          </w:p>
          <w:p w14:paraId="03C36015" w14:textId="77777777" w:rsidR="00A66D81" w:rsidRDefault="00A66D81" w:rsidP="00A66D81">
            <w:pPr>
              <w:jc w:val="both"/>
              <w:rPr>
                <w:rFonts w:ascii="Times New Roman" w:eastAsia="Calibri" w:hAnsi="Times New Roman" w:cs="Times New Roman"/>
                <w:kern w:val="2"/>
                <w14:ligatures w14:val="standardContextual"/>
              </w:rPr>
            </w:pPr>
          </w:p>
          <w:p w14:paraId="1D77252A" w14:textId="77777777" w:rsidR="00A66D81" w:rsidRDefault="00A66D81" w:rsidP="00A66D81">
            <w:pPr>
              <w:jc w:val="both"/>
              <w:rPr>
                <w:rFonts w:ascii="Times New Roman" w:eastAsia="Calibri" w:hAnsi="Times New Roman" w:cs="Times New Roman"/>
                <w:kern w:val="2"/>
                <w14:ligatures w14:val="standardContextual"/>
              </w:rPr>
            </w:pPr>
          </w:p>
          <w:p w14:paraId="763315E1" w14:textId="77777777" w:rsidR="00A66D81" w:rsidRDefault="00A66D81" w:rsidP="00A66D81">
            <w:pPr>
              <w:jc w:val="both"/>
              <w:rPr>
                <w:rFonts w:ascii="Times New Roman" w:eastAsia="Calibri" w:hAnsi="Times New Roman" w:cs="Times New Roman"/>
                <w:kern w:val="2"/>
                <w14:ligatures w14:val="standardContextual"/>
              </w:rPr>
            </w:pPr>
          </w:p>
          <w:p w14:paraId="1A5762A5" w14:textId="77777777" w:rsidR="00A66D81" w:rsidRDefault="00A66D81" w:rsidP="00A66D81">
            <w:pPr>
              <w:jc w:val="both"/>
              <w:rPr>
                <w:rFonts w:ascii="Times New Roman" w:eastAsia="Calibri" w:hAnsi="Times New Roman" w:cs="Times New Roman"/>
                <w:kern w:val="2"/>
                <w14:ligatures w14:val="standardContextual"/>
              </w:rPr>
            </w:pPr>
          </w:p>
          <w:p w14:paraId="5796F17F" w14:textId="77777777" w:rsidR="00A66D81" w:rsidRDefault="00A66D81" w:rsidP="00A66D81">
            <w:pPr>
              <w:jc w:val="both"/>
              <w:rPr>
                <w:rFonts w:ascii="Times New Roman" w:eastAsia="Calibri" w:hAnsi="Times New Roman" w:cs="Times New Roman"/>
                <w:kern w:val="2"/>
                <w14:ligatures w14:val="standardContextual"/>
              </w:rPr>
            </w:pPr>
          </w:p>
          <w:p w14:paraId="378E881F" w14:textId="77777777" w:rsidR="00A66D81" w:rsidRDefault="00A66D81" w:rsidP="00A66D81">
            <w:pPr>
              <w:jc w:val="both"/>
              <w:rPr>
                <w:rFonts w:ascii="Times New Roman" w:eastAsia="Calibri" w:hAnsi="Times New Roman" w:cs="Times New Roman"/>
                <w:kern w:val="2"/>
                <w14:ligatures w14:val="standardContextual"/>
              </w:rPr>
            </w:pPr>
          </w:p>
          <w:p w14:paraId="5729E98F" w14:textId="77777777" w:rsidR="00A66D81" w:rsidRDefault="00A66D81" w:rsidP="00A66D81">
            <w:pPr>
              <w:jc w:val="both"/>
              <w:rPr>
                <w:rFonts w:ascii="Times New Roman" w:eastAsia="Calibri" w:hAnsi="Times New Roman" w:cs="Times New Roman"/>
                <w:kern w:val="2"/>
                <w14:ligatures w14:val="standardContextual"/>
              </w:rPr>
            </w:pPr>
          </w:p>
          <w:p w14:paraId="496B6122" w14:textId="77777777" w:rsidR="00A66D81" w:rsidRDefault="00A66D81" w:rsidP="00A66D81">
            <w:pPr>
              <w:jc w:val="both"/>
              <w:rPr>
                <w:rFonts w:ascii="Times New Roman" w:eastAsia="Calibri" w:hAnsi="Times New Roman" w:cs="Times New Roman"/>
                <w:kern w:val="2"/>
                <w14:ligatures w14:val="standardContextual"/>
              </w:rPr>
            </w:pPr>
          </w:p>
          <w:p w14:paraId="687399D0" w14:textId="77777777" w:rsidR="00A66D81" w:rsidRDefault="00A66D81" w:rsidP="00A66D81">
            <w:pPr>
              <w:jc w:val="both"/>
              <w:rPr>
                <w:rFonts w:ascii="Times New Roman" w:eastAsia="Calibri" w:hAnsi="Times New Roman" w:cs="Times New Roman"/>
                <w:kern w:val="2"/>
                <w14:ligatures w14:val="standardContextual"/>
              </w:rPr>
            </w:pPr>
          </w:p>
          <w:p w14:paraId="05B565E7" w14:textId="77777777" w:rsidR="00A66D81" w:rsidRDefault="00A66D81" w:rsidP="00A66D81">
            <w:pPr>
              <w:jc w:val="both"/>
              <w:rPr>
                <w:rFonts w:ascii="Times New Roman" w:eastAsia="Calibri" w:hAnsi="Times New Roman" w:cs="Times New Roman"/>
                <w:kern w:val="2"/>
                <w14:ligatures w14:val="standardContextual"/>
              </w:rPr>
            </w:pPr>
          </w:p>
          <w:p w14:paraId="437DAC4B" w14:textId="77777777" w:rsidR="00A66D81" w:rsidRDefault="00A66D81" w:rsidP="00A66D81">
            <w:pPr>
              <w:jc w:val="both"/>
              <w:rPr>
                <w:rFonts w:ascii="Times New Roman" w:eastAsia="Calibri" w:hAnsi="Times New Roman" w:cs="Times New Roman"/>
                <w:kern w:val="2"/>
                <w14:ligatures w14:val="standardContextual"/>
              </w:rPr>
            </w:pPr>
          </w:p>
          <w:p w14:paraId="216F32D2" w14:textId="77777777" w:rsidR="00A66D81" w:rsidRDefault="00A66D81" w:rsidP="00A66D81">
            <w:pPr>
              <w:jc w:val="both"/>
              <w:rPr>
                <w:rFonts w:ascii="Times New Roman" w:eastAsia="Calibri" w:hAnsi="Times New Roman" w:cs="Times New Roman"/>
                <w:kern w:val="2"/>
                <w14:ligatures w14:val="standardContextual"/>
              </w:rPr>
            </w:pPr>
          </w:p>
          <w:p w14:paraId="2FC18703" w14:textId="77777777" w:rsidR="00A66D81" w:rsidRDefault="00A66D81" w:rsidP="00A66D81">
            <w:pPr>
              <w:jc w:val="both"/>
              <w:rPr>
                <w:rFonts w:ascii="Times New Roman" w:eastAsia="Calibri" w:hAnsi="Times New Roman" w:cs="Times New Roman"/>
                <w:kern w:val="2"/>
                <w14:ligatures w14:val="standardContextual"/>
              </w:rPr>
            </w:pPr>
          </w:p>
          <w:p w14:paraId="00B75977" w14:textId="77777777" w:rsidR="00A66D81" w:rsidRDefault="00A66D81" w:rsidP="00A66D81">
            <w:pPr>
              <w:jc w:val="both"/>
              <w:rPr>
                <w:rFonts w:ascii="Times New Roman" w:eastAsia="Calibri" w:hAnsi="Times New Roman" w:cs="Times New Roman"/>
                <w:kern w:val="2"/>
                <w14:ligatures w14:val="standardContextual"/>
              </w:rPr>
            </w:pPr>
          </w:p>
          <w:p w14:paraId="50A63F99" w14:textId="77777777" w:rsidR="00A66D81" w:rsidRDefault="00A66D81" w:rsidP="00A66D81">
            <w:pPr>
              <w:jc w:val="both"/>
              <w:rPr>
                <w:rFonts w:ascii="Times New Roman" w:eastAsia="Calibri" w:hAnsi="Times New Roman" w:cs="Times New Roman"/>
                <w:kern w:val="2"/>
                <w14:ligatures w14:val="standardContextual"/>
              </w:rPr>
            </w:pPr>
          </w:p>
          <w:p w14:paraId="5A0DAC36" w14:textId="77777777" w:rsidR="00A66D81" w:rsidRDefault="00A66D81" w:rsidP="00A66D81">
            <w:pPr>
              <w:jc w:val="both"/>
              <w:rPr>
                <w:rFonts w:ascii="Times New Roman" w:eastAsia="Calibri" w:hAnsi="Times New Roman" w:cs="Times New Roman"/>
                <w:kern w:val="2"/>
                <w14:ligatures w14:val="standardContextual"/>
              </w:rPr>
            </w:pPr>
          </w:p>
          <w:p w14:paraId="20B6BD28" w14:textId="77777777" w:rsidR="00A66D81" w:rsidRDefault="00A66D81" w:rsidP="00A66D81">
            <w:pPr>
              <w:jc w:val="both"/>
              <w:rPr>
                <w:rFonts w:ascii="Times New Roman" w:eastAsia="Calibri" w:hAnsi="Times New Roman" w:cs="Times New Roman"/>
                <w:kern w:val="2"/>
                <w14:ligatures w14:val="standardContextual"/>
              </w:rPr>
            </w:pPr>
          </w:p>
          <w:p w14:paraId="1081C507" w14:textId="77777777" w:rsidR="00A66D81" w:rsidRDefault="00A66D81" w:rsidP="00A66D81">
            <w:pPr>
              <w:jc w:val="both"/>
              <w:rPr>
                <w:rFonts w:ascii="Times New Roman" w:eastAsia="Calibri" w:hAnsi="Times New Roman" w:cs="Times New Roman"/>
                <w:kern w:val="2"/>
                <w14:ligatures w14:val="standardContextual"/>
              </w:rPr>
            </w:pPr>
          </w:p>
          <w:p w14:paraId="68521711" w14:textId="77777777"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304BE14F"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3A0EA0BC" w14:textId="6D5753E3" w:rsidR="005265AA"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Pr>
                <w:rFonts w:ascii="Times New Roman" w:eastAsia="Calibri" w:hAnsi="Times New Roman" w:cs="Times New Roman"/>
                <w:kern w:val="2"/>
                <w14:ligatures w14:val="standardContextual"/>
              </w:rPr>
              <w:t xml:space="preserve"> </w:t>
            </w:r>
          </w:p>
          <w:p w14:paraId="5AE1A4C8" w14:textId="77777777" w:rsidR="00A66D81" w:rsidRDefault="00A66D81" w:rsidP="00A66D81">
            <w:pPr>
              <w:jc w:val="both"/>
              <w:rPr>
                <w:rFonts w:ascii="Times New Roman" w:eastAsia="Calibri" w:hAnsi="Times New Roman" w:cs="Times New Roman"/>
                <w:kern w:val="2"/>
                <w14:ligatures w14:val="standardContextual"/>
              </w:rPr>
            </w:pPr>
          </w:p>
          <w:p w14:paraId="233A3AC0" w14:textId="77777777" w:rsidR="00A66D81" w:rsidRDefault="00A66D81" w:rsidP="00A66D81">
            <w:pPr>
              <w:jc w:val="both"/>
              <w:rPr>
                <w:rFonts w:ascii="Times New Roman" w:eastAsia="Calibri" w:hAnsi="Times New Roman" w:cs="Times New Roman"/>
                <w:kern w:val="2"/>
                <w14:ligatures w14:val="standardContextual"/>
              </w:rPr>
            </w:pPr>
          </w:p>
          <w:p w14:paraId="0D721890" w14:textId="77777777" w:rsidR="00A66D81" w:rsidRDefault="00A66D81" w:rsidP="00A66D81">
            <w:pPr>
              <w:jc w:val="both"/>
              <w:rPr>
                <w:rFonts w:ascii="Times New Roman" w:eastAsia="Calibri" w:hAnsi="Times New Roman" w:cs="Times New Roman"/>
                <w:kern w:val="2"/>
                <w14:ligatures w14:val="standardContextual"/>
              </w:rPr>
            </w:pPr>
          </w:p>
          <w:p w14:paraId="41898221" w14:textId="77777777" w:rsidR="00A66D81" w:rsidRDefault="00A66D81" w:rsidP="00A66D81">
            <w:pPr>
              <w:jc w:val="both"/>
              <w:rPr>
                <w:rFonts w:ascii="Times New Roman" w:eastAsia="Calibri" w:hAnsi="Times New Roman" w:cs="Times New Roman"/>
                <w:kern w:val="2"/>
                <w14:ligatures w14:val="standardContextual"/>
              </w:rPr>
            </w:pPr>
          </w:p>
          <w:p w14:paraId="0D62DFEE" w14:textId="77777777" w:rsidR="00A66D81" w:rsidRDefault="00A66D81" w:rsidP="00A66D81">
            <w:pPr>
              <w:jc w:val="both"/>
              <w:rPr>
                <w:rFonts w:ascii="Times New Roman" w:eastAsia="Calibri" w:hAnsi="Times New Roman" w:cs="Times New Roman"/>
                <w:kern w:val="2"/>
                <w14:ligatures w14:val="standardContextual"/>
              </w:rPr>
            </w:pPr>
          </w:p>
          <w:p w14:paraId="0EF3C4E9" w14:textId="77777777" w:rsidR="00A66D81" w:rsidRDefault="00A66D81" w:rsidP="00A66D81">
            <w:pPr>
              <w:jc w:val="both"/>
              <w:rPr>
                <w:rFonts w:ascii="Times New Roman" w:eastAsia="Calibri" w:hAnsi="Times New Roman" w:cs="Times New Roman"/>
                <w:kern w:val="2"/>
                <w14:ligatures w14:val="standardContextual"/>
              </w:rPr>
            </w:pPr>
          </w:p>
          <w:p w14:paraId="7EA2B8A7" w14:textId="77777777" w:rsidR="00A66D81" w:rsidRDefault="00A66D81" w:rsidP="00A66D81">
            <w:pPr>
              <w:jc w:val="both"/>
              <w:rPr>
                <w:rFonts w:ascii="Times New Roman" w:eastAsia="Calibri" w:hAnsi="Times New Roman" w:cs="Times New Roman"/>
                <w:kern w:val="2"/>
                <w14:ligatures w14:val="standardContextual"/>
              </w:rPr>
            </w:pPr>
          </w:p>
          <w:p w14:paraId="75239B41" w14:textId="77777777" w:rsidR="00A66D81" w:rsidRDefault="00A66D81" w:rsidP="00A66D81">
            <w:pPr>
              <w:jc w:val="both"/>
              <w:rPr>
                <w:rFonts w:ascii="Times New Roman" w:eastAsia="Calibri" w:hAnsi="Times New Roman" w:cs="Times New Roman"/>
                <w:kern w:val="2"/>
                <w14:ligatures w14:val="standardContextual"/>
              </w:rPr>
            </w:pPr>
          </w:p>
          <w:p w14:paraId="4C718879" w14:textId="77777777" w:rsidR="00A66D81" w:rsidRDefault="00A66D81" w:rsidP="00A66D81">
            <w:pPr>
              <w:jc w:val="both"/>
              <w:rPr>
                <w:rFonts w:ascii="Times New Roman" w:eastAsia="Calibri" w:hAnsi="Times New Roman" w:cs="Times New Roman"/>
                <w:kern w:val="2"/>
                <w14:ligatures w14:val="standardContextual"/>
              </w:rPr>
            </w:pPr>
          </w:p>
          <w:p w14:paraId="607C00BD" w14:textId="77777777" w:rsidR="00A66D81" w:rsidRDefault="00A66D81" w:rsidP="00A66D81">
            <w:pPr>
              <w:jc w:val="both"/>
              <w:rPr>
                <w:rFonts w:ascii="Times New Roman" w:eastAsia="Calibri" w:hAnsi="Times New Roman" w:cs="Times New Roman"/>
                <w:kern w:val="2"/>
                <w14:ligatures w14:val="standardContextual"/>
              </w:rPr>
            </w:pPr>
          </w:p>
          <w:p w14:paraId="6693B2A8" w14:textId="77777777" w:rsidR="00A66D81" w:rsidRDefault="00A66D81" w:rsidP="00A66D81">
            <w:pPr>
              <w:jc w:val="both"/>
              <w:rPr>
                <w:rFonts w:ascii="Times New Roman" w:eastAsia="Calibri" w:hAnsi="Times New Roman" w:cs="Times New Roman"/>
                <w:kern w:val="2"/>
                <w14:ligatures w14:val="standardContextual"/>
              </w:rPr>
            </w:pPr>
          </w:p>
          <w:p w14:paraId="022BAB31" w14:textId="77777777" w:rsidR="00A66D81" w:rsidRDefault="00A66D81" w:rsidP="00A66D81">
            <w:pPr>
              <w:jc w:val="both"/>
              <w:rPr>
                <w:rFonts w:ascii="Times New Roman" w:eastAsia="Calibri" w:hAnsi="Times New Roman" w:cs="Times New Roman"/>
                <w:kern w:val="2"/>
                <w14:ligatures w14:val="standardContextual"/>
              </w:rPr>
            </w:pPr>
          </w:p>
          <w:p w14:paraId="727E0C79" w14:textId="77777777" w:rsidR="00A66D81" w:rsidRDefault="00A66D81" w:rsidP="00A66D81">
            <w:pPr>
              <w:jc w:val="both"/>
              <w:rPr>
                <w:rFonts w:ascii="Times New Roman" w:eastAsia="Calibri" w:hAnsi="Times New Roman" w:cs="Times New Roman"/>
                <w:kern w:val="2"/>
                <w14:ligatures w14:val="standardContextual"/>
              </w:rPr>
            </w:pPr>
          </w:p>
          <w:p w14:paraId="7922A097" w14:textId="77777777" w:rsidR="00A66D81" w:rsidRDefault="00A66D81" w:rsidP="00A66D81">
            <w:pPr>
              <w:jc w:val="both"/>
              <w:rPr>
                <w:rFonts w:ascii="Times New Roman" w:eastAsia="Calibri" w:hAnsi="Times New Roman" w:cs="Times New Roman"/>
                <w:kern w:val="2"/>
                <w14:ligatures w14:val="standardContextual"/>
              </w:rPr>
            </w:pPr>
          </w:p>
          <w:p w14:paraId="4D670BEC" w14:textId="77777777" w:rsidR="00A66D81" w:rsidRDefault="00A66D81" w:rsidP="00A66D81">
            <w:pPr>
              <w:jc w:val="both"/>
              <w:rPr>
                <w:rFonts w:ascii="Times New Roman" w:eastAsia="Calibri" w:hAnsi="Times New Roman" w:cs="Times New Roman"/>
                <w:kern w:val="2"/>
                <w14:ligatures w14:val="standardContextual"/>
              </w:rPr>
            </w:pPr>
          </w:p>
          <w:p w14:paraId="32C60C57" w14:textId="77777777" w:rsidR="00A66D81" w:rsidRDefault="00A66D81" w:rsidP="00A66D81">
            <w:pPr>
              <w:jc w:val="both"/>
              <w:rPr>
                <w:rFonts w:ascii="Times New Roman" w:eastAsia="Calibri" w:hAnsi="Times New Roman" w:cs="Times New Roman"/>
                <w:kern w:val="2"/>
                <w14:ligatures w14:val="standardContextual"/>
              </w:rPr>
            </w:pPr>
          </w:p>
          <w:p w14:paraId="53FD254D" w14:textId="77777777" w:rsidR="00A66D81" w:rsidRDefault="00A66D81" w:rsidP="00A66D81">
            <w:pPr>
              <w:jc w:val="both"/>
              <w:rPr>
                <w:rFonts w:ascii="Times New Roman" w:eastAsia="Calibri" w:hAnsi="Times New Roman" w:cs="Times New Roman"/>
                <w:kern w:val="2"/>
                <w14:ligatures w14:val="standardContextual"/>
              </w:rPr>
            </w:pPr>
          </w:p>
          <w:p w14:paraId="02E40034" w14:textId="77777777" w:rsidR="00A66D81" w:rsidRDefault="00A66D81" w:rsidP="00A66D81">
            <w:pPr>
              <w:jc w:val="both"/>
              <w:rPr>
                <w:rFonts w:ascii="Times New Roman" w:eastAsia="Calibri" w:hAnsi="Times New Roman" w:cs="Times New Roman"/>
                <w:kern w:val="2"/>
                <w14:ligatures w14:val="standardContextual"/>
              </w:rPr>
            </w:pPr>
          </w:p>
          <w:p w14:paraId="1602654A" w14:textId="3967B0CC" w:rsidR="00A66D81" w:rsidRDefault="00A66D81" w:rsidP="00A66D81">
            <w:pPr>
              <w:jc w:val="both"/>
              <w:rPr>
                <w:rFonts w:ascii="Times New Roman" w:eastAsia="Calibri" w:hAnsi="Times New Roman" w:cs="Times New Roman"/>
                <w:kern w:val="2"/>
                <w14:ligatures w14:val="standardContextual"/>
              </w:rPr>
            </w:pPr>
          </w:p>
          <w:p w14:paraId="59F6422C" w14:textId="57557770" w:rsidR="00A02DBE" w:rsidRDefault="00A02DBE" w:rsidP="00A66D81">
            <w:pPr>
              <w:jc w:val="both"/>
              <w:rPr>
                <w:rFonts w:ascii="Times New Roman" w:eastAsia="Calibri" w:hAnsi="Times New Roman" w:cs="Times New Roman"/>
                <w:kern w:val="2"/>
                <w14:ligatures w14:val="standardContextual"/>
              </w:rPr>
            </w:pPr>
          </w:p>
          <w:p w14:paraId="04D3DB48" w14:textId="77777777" w:rsidR="00A02DBE" w:rsidRDefault="00A02DBE" w:rsidP="00A66D81">
            <w:pPr>
              <w:jc w:val="both"/>
              <w:rPr>
                <w:rFonts w:ascii="Times New Roman" w:eastAsia="Calibri" w:hAnsi="Times New Roman" w:cs="Times New Roman"/>
                <w:kern w:val="2"/>
                <w14:ligatures w14:val="standardContextual"/>
              </w:rPr>
            </w:pPr>
          </w:p>
          <w:p w14:paraId="650D28FC" w14:textId="77777777" w:rsidR="00A66D81" w:rsidRDefault="00A66D81" w:rsidP="00A66D81">
            <w:pPr>
              <w:jc w:val="both"/>
              <w:rPr>
                <w:rFonts w:ascii="Times New Roman" w:eastAsia="Calibri" w:hAnsi="Times New Roman" w:cs="Times New Roman"/>
                <w:kern w:val="2"/>
                <w14:ligatures w14:val="standardContextual"/>
              </w:rPr>
            </w:pPr>
          </w:p>
          <w:p w14:paraId="4A3A2812" w14:textId="77777777"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34201714"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4B0035B6" w14:textId="0D560E1A" w:rsidR="00A66D81"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Pr>
                <w:rFonts w:ascii="Times New Roman" w:eastAsia="Calibri" w:hAnsi="Times New Roman" w:cs="Times New Roman"/>
                <w:kern w:val="2"/>
                <w14:ligatures w14:val="standardContextual"/>
              </w:rPr>
              <w:t xml:space="preserve"> </w:t>
            </w:r>
          </w:p>
          <w:p w14:paraId="0521CC3A" w14:textId="77777777" w:rsidR="00A66D81" w:rsidRDefault="00A66D81" w:rsidP="00A66D81">
            <w:pPr>
              <w:jc w:val="both"/>
              <w:rPr>
                <w:rFonts w:ascii="Times New Roman" w:eastAsia="Calibri" w:hAnsi="Times New Roman" w:cs="Times New Roman"/>
                <w:kern w:val="2"/>
                <w14:ligatures w14:val="standardContextual"/>
              </w:rPr>
            </w:pPr>
          </w:p>
          <w:p w14:paraId="4FEF74FE" w14:textId="77777777" w:rsidR="00A66D81" w:rsidRDefault="00A66D81" w:rsidP="00A66D81">
            <w:pPr>
              <w:jc w:val="both"/>
              <w:rPr>
                <w:rFonts w:ascii="Times New Roman" w:eastAsia="Calibri" w:hAnsi="Times New Roman" w:cs="Times New Roman"/>
                <w:kern w:val="2"/>
                <w14:ligatures w14:val="standardContextual"/>
              </w:rPr>
            </w:pPr>
          </w:p>
          <w:p w14:paraId="3987639C" w14:textId="77777777" w:rsidR="00A66D81" w:rsidRDefault="00A66D81" w:rsidP="00A66D81">
            <w:pPr>
              <w:jc w:val="both"/>
              <w:rPr>
                <w:rFonts w:ascii="Times New Roman" w:eastAsia="Calibri" w:hAnsi="Times New Roman" w:cs="Times New Roman"/>
                <w:kern w:val="2"/>
                <w14:ligatures w14:val="standardContextual"/>
              </w:rPr>
            </w:pPr>
          </w:p>
          <w:p w14:paraId="5060ED44" w14:textId="77777777" w:rsidR="00A66D81" w:rsidRDefault="00A66D81" w:rsidP="00A66D81">
            <w:pPr>
              <w:jc w:val="both"/>
              <w:rPr>
                <w:rFonts w:ascii="Times New Roman" w:eastAsia="Calibri" w:hAnsi="Times New Roman" w:cs="Times New Roman"/>
                <w:kern w:val="2"/>
                <w14:ligatures w14:val="standardContextual"/>
              </w:rPr>
            </w:pPr>
          </w:p>
          <w:p w14:paraId="5E318498" w14:textId="77777777" w:rsidR="00A66D81" w:rsidRDefault="00A66D81" w:rsidP="00A66D81">
            <w:pPr>
              <w:jc w:val="both"/>
              <w:rPr>
                <w:rFonts w:ascii="Times New Roman" w:eastAsia="Calibri" w:hAnsi="Times New Roman" w:cs="Times New Roman"/>
                <w:kern w:val="2"/>
                <w14:ligatures w14:val="standardContextual"/>
              </w:rPr>
            </w:pPr>
          </w:p>
          <w:p w14:paraId="438E0BD7" w14:textId="77777777" w:rsidR="00A66D81" w:rsidRDefault="00A66D81" w:rsidP="00A66D81">
            <w:pPr>
              <w:jc w:val="both"/>
              <w:rPr>
                <w:rFonts w:ascii="Times New Roman" w:eastAsia="Calibri" w:hAnsi="Times New Roman" w:cs="Times New Roman"/>
                <w:kern w:val="2"/>
                <w14:ligatures w14:val="standardContextual"/>
              </w:rPr>
            </w:pPr>
          </w:p>
          <w:p w14:paraId="263122B9" w14:textId="53057447" w:rsidR="00A66D81" w:rsidRPr="00985B6F" w:rsidRDefault="00A66D81" w:rsidP="00A66D81">
            <w:pPr>
              <w:jc w:val="both"/>
              <w:rPr>
                <w:rFonts w:ascii="Times New Roman" w:eastAsia="Calibri" w:hAnsi="Times New Roman" w:cs="Times New Roman"/>
                <w:kern w:val="2"/>
                <w14:ligatures w14:val="standardContextual"/>
              </w:rPr>
            </w:pPr>
          </w:p>
        </w:tc>
      </w:tr>
      <w:tr w:rsidR="00633A98" w:rsidRPr="00985B6F" w14:paraId="7E145747" w14:textId="77777777" w:rsidTr="00250C42">
        <w:trPr>
          <w:trHeight w:val="367"/>
        </w:trPr>
        <w:tc>
          <w:tcPr>
            <w:tcW w:w="1758" w:type="pct"/>
          </w:tcPr>
          <w:p w14:paraId="672DCF2B"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hAnsi="Times New Roman" w:cs="Times New Roman"/>
                <w:b/>
                <w:bCs/>
                <w:color w:val="C00000"/>
                <w:shd w:val="clear" w:color="auto" w:fill="FFFFFF"/>
              </w:rPr>
              <w:lastRenderedPageBreak/>
              <w:t>ЗМІНИ НЕ ПРОПОНУВАЛИСЬ</w:t>
            </w:r>
            <w:r w:rsidRPr="00985B6F">
              <w:rPr>
                <w:rFonts w:ascii="Times New Roman" w:eastAsiaTheme="minorEastAsia" w:hAnsi="Times New Roman" w:cs="Times New Roman"/>
                <w:shd w:val="clear" w:color="auto" w:fill="FFFFFF"/>
                <w:lang w:eastAsia="uk-UA"/>
              </w:rPr>
              <w:t xml:space="preserve"> </w:t>
            </w:r>
          </w:p>
          <w:p w14:paraId="18C1B05B"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23AF5538" w14:textId="63719DDA"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5. Загальна сума додатково отриманого або недоотриманого доходу ОСП від здійснення діяльності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 у звітному році визначається як сума таких складових:</w:t>
            </w:r>
          </w:p>
          <w:p w14:paraId="652181A7" w14:textId="77777777"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583B67E9" w14:textId="77777777"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 xml:space="preserve">3) сума недофінансування статей витрат (у тому числі статей "витрати з прибутку: на повернення залучених кредитних коштів" (тіла кредиту), </w:t>
            </w:r>
            <w:r w:rsidRPr="00985B6F">
              <w:rPr>
                <w:rFonts w:ascii="Times New Roman" w:eastAsiaTheme="minorEastAsia" w:hAnsi="Times New Roman" w:cs="Times New Roman"/>
                <w:shd w:val="clear" w:color="auto" w:fill="FFFFFF"/>
                <w:lang w:eastAsia="uk-UA"/>
              </w:rPr>
              <w:lastRenderedPageBreak/>
              <w:t>"Фінансові витрати" (відсотки за банківський кредит з урахуванням капіталізованих витрат), "витрати на придбання допоміжних послуг") (крім суми збору за небаланс електричної енергії, "Амортизація")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 у звітному році з урахуванням витрат, які були капіталізовані за бухгалтерським обліком;</w:t>
            </w:r>
          </w:p>
          <w:p w14:paraId="661218B7" w14:textId="77777777"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4D1CD323" w14:textId="765576C3"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p>
        </w:tc>
        <w:tc>
          <w:tcPr>
            <w:tcW w:w="1714" w:type="pct"/>
          </w:tcPr>
          <w:p w14:paraId="59E178BF" w14:textId="77777777" w:rsidR="00250C42" w:rsidRPr="00985B6F" w:rsidRDefault="00250C42" w:rsidP="00985B6F">
            <w:pPr>
              <w:ind w:firstLine="320"/>
              <w:jc w:val="both"/>
              <w:rPr>
                <w:rFonts w:ascii="Times New Roman" w:hAnsi="Times New Roman" w:cs="Times New Roman"/>
                <w:bCs/>
                <w:i/>
                <w:shd w:val="clear" w:color="auto" w:fill="FFFFFF"/>
              </w:rPr>
            </w:pPr>
            <w:r w:rsidRPr="00985B6F">
              <w:rPr>
                <w:rFonts w:ascii="Times New Roman" w:hAnsi="Times New Roman" w:cs="Times New Roman"/>
                <w:bCs/>
                <w:i/>
                <w:shd w:val="clear" w:color="auto" w:fill="FFFFFF"/>
              </w:rPr>
              <w:lastRenderedPageBreak/>
              <w:t>НЕК «УКРЕНЕРГО»</w:t>
            </w:r>
          </w:p>
          <w:p w14:paraId="3422A88F"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2E6AAA80" w14:textId="39E227EE"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5. Загальна сума додатково отриманого або недоотриманого доходу ОСП від здійснення діяльності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 у звітному році визначається як сума таких складових:</w:t>
            </w:r>
          </w:p>
          <w:p w14:paraId="4D1BC7B7" w14:textId="77777777"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3DC9A1CE" w14:textId="3D9F8B9F"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 xml:space="preserve">3) сума недофінансування статей витрат (у тому числі статей "витрати з прибутку: на повернення залучених кредитних коштів" (тіла кредиту), </w:t>
            </w:r>
            <w:r w:rsidRPr="00985B6F">
              <w:rPr>
                <w:rFonts w:ascii="Times New Roman" w:eastAsiaTheme="minorEastAsia" w:hAnsi="Times New Roman" w:cs="Times New Roman"/>
                <w:shd w:val="clear" w:color="auto" w:fill="FFFFFF"/>
                <w:lang w:eastAsia="uk-UA"/>
              </w:rPr>
              <w:lastRenderedPageBreak/>
              <w:t>"Фінансові витрати" (відсотки за банківський кредит з урахуванням капіталізованих витрат), "витрати на придбання допоміжних послуг</w:t>
            </w:r>
            <w:r w:rsidRPr="00985B6F">
              <w:rPr>
                <w:rFonts w:ascii="Times New Roman" w:eastAsiaTheme="minorEastAsia" w:hAnsi="Times New Roman" w:cs="Times New Roman"/>
                <w:b/>
                <w:bCs/>
                <w:shd w:val="clear" w:color="auto" w:fill="FFFFFF"/>
                <w:lang w:eastAsia="uk-UA"/>
              </w:rPr>
              <w:t>", «витрати та системні обмеження»</w:t>
            </w:r>
            <w:r w:rsidRPr="00985B6F">
              <w:rPr>
                <w:rFonts w:ascii="Times New Roman" w:eastAsiaTheme="minorEastAsia" w:hAnsi="Times New Roman" w:cs="Times New Roman"/>
                <w:shd w:val="clear" w:color="auto" w:fill="FFFFFF"/>
                <w:lang w:eastAsia="uk-UA"/>
              </w:rPr>
              <w:t>) (крім суми збору за небаланс електричної енергії, "Амортизація")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 у звітному році з урахуванням витрат, які були капіталізовані за бухгалтерським обліком;</w:t>
            </w:r>
          </w:p>
          <w:p w14:paraId="06A2B779" w14:textId="77777777" w:rsidR="00633A98" w:rsidRPr="00985B6F" w:rsidRDefault="00633A98"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29508883"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670E0F08" w14:textId="1F7C41F0"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Calibri" w:hAnsi="Times New Roman" w:cs="Times New Roman"/>
                <w:kern w:val="2"/>
                <w14:ligatures w14:val="standardContextual"/>
              </w:rPr>
              <w:t>Поточна редакція постанови НКРЕКП №586 «Про затвердження Порядку формування тарифу на послуги з диспетчерського (</w:t>
            </w:r>
            <w:proofErr w:type="spellStart"/>
            <w:r w:rsidRPr="00985B6F">
              <w:rPr>
                <w:rFonts w:ascii="Times New Roman" w:eastAsia="Calibri" w:hAnsi="Times New Roman" w:cs="Times New Roman"/>
                <w:kern w:val="2"/>
                <w14:ligatures w14:val="standardContextual"/>
              </w:rPr>
              <w:t>оперативно</w:t>
            </w:r>
            <w:proofErr w:type="spellEnd"/>
            <w:r w:rsidRPr="00985B6F">
              <w:rPr>
                <w:rFonts w:ascii="Times New Roman" w:eastAsia="Calibri" w:hAnsi="Times New Roman" w:cs="Times New Roman"/>
                <w:kern w:val="2"/>
                <w14:ligatures w14:val="standardContextual"/>
              </w:rPr>
              <w:t xml:space="preserve">-технологічного) управління» передбачає, що у статті витрат «Витрати на врегулювання системних обмежень» плануються витрати на системні обмеження планового року та включається сальдований розмір збору за небаланс електричної енергії, що підтверджується результатами здійснення заходів контролю за дотриманням Ліцензійних умов. Водночас поточна редакція постанови НКРЕКП 428 (Додаток 28) не дає однозначного розуміння стосовно включення фактичних витрат на системні обмеження за період, що перевіряється, у складі суми недофінансування статей витрат. Пропонуємо чітко розділяти фактичні витрати на системні обмеження та </w:t>
            </w:r>
            <w:r w:rsidRPr="00985B6F">
              <w:rPr>
                <w:rFonts w:ascii="Times New Roman" w:eastAsiaTheme="minorEastAsia" w:hAnsi="Times New Roman" w:cs="Times New Roman"/>
                <w:shd w:val="clear" w:color="auto" w:fill="FFFFFF"/>
                <w:lang w:eastAsia="uk-UA"/>
              </w:rPr>
              <w:t>суму збору за небаланс електричної енергії за період, що перевіряється.</w:t>
            </w:r>
          </w:p>
          <w:p w14:paraId="65DCCEB0" w14:textId="2B6544D3"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tc>
        <w:tc>
          <w:tcPr>
            <w:tcW w:w="1528" w:type="pct"/>
          </w:tcPr>
          <w:p w14:paraId="74567004" w14:textId="77777777" w:rsidR="00633A98" w:rsidRDefault="00633A98" w:rsidP="00985B6F">
            <w:pPr>
              <w:jc w:val="both"/>
              <w:rPr>
                <w:rFonts w:ascii="Times New Roman" w:eastAsia="Calibri" w:hAnsi="Times New Roman" w:cs="Times New Roman"/>
                <w:kern w:val="2"/>
                <w14:ligatures w14:val="standardContextual"/>
              </w:rPr>
            </w:pPr>
          </w:p>
          <w:p w14:paraId="42C3BD84" w14:textId="77777777" w:rsidR="00A66D81" w:rsidRDefault="00A66D81" w:rsidP="00985B6F">
            <w:pPr>
              <w:jc w:val="both"/>
              <w:rPr>
                <w:rFonts w:ascii="Times New Roman" w:eastAsia="Calibri" w:hAnsi="Times New Roman" w:cs="Times New Roman"/>
                <w:kern w:val="2"/>
                <w14:ligatures w14:val="standardContextual"/>
              </w:rPr>
            </w:pPr>
          </w:p>
          <w:p w14:paraId="4E901998" w14:textId="77777777"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0932BE27"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62F22222" w14:textId="24F43DD8" w:rsidR="00A66D81" w:rsidRPr="00985B6F"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sidRPr="00985B6F">
              <w:rPr>
                <w:rFonts w:ascii="Times New Roman" w:eastAsia="Calibri" w:hAnsi="Times New Roman" w:cs="Times New Roman"/>
                <w:kern w:val="2"/>
                <w14:ligatures w14:val="standardContextual"/>
              </w:rPr>
              <w:t xml:space="preserve"> </w:t>
            </w:r>
          </w:p>
        </w:tc>
      </w:tr>
      <w:tr w:rsidR="00E30227" w:rsidRPr="00985B6F" w14:paraId="051205BB" w14:textId="77777777" w:rsidTr="00250C42">
        <w:trPr>
          <w:trHeight w:val="367"/>
        </w:trPr>
        <w:tc>
          <w:tcPr>
            <w:tcW w:w="1758" w:type="pct"/>
          </w:tcPr>
          <w:p w14:paraId="46ECC290"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hAnsi="Times New Roman" w:cs="Times New Roman"/>
                <w:b/>
                <w:bCs/>
                <w:color w:val="C00000"/>
                <w:shd w:val="clear" w:color="auto" w:fill="FFFFFF"/>
              </w:rPr>
              <w:t>ЗМІНИ НЕ ПРОПОНУВАЛИСЬ</w:t>
            </w:r>
            <w:r w:rsidRPr="00985B6F">
              <w:rPr>
                <w:rFonts w:ascii="Times New Roman" w:eastAsiaTheme="minorEastAsia" w:hAnsi="Times New Roman" w:cs="Times New Roman"/>
                <w:shd w:val="clear" w:color="auto" w:fill="FFFFFF"/>
                <w:lang w:eastAsia="uk-UA"/>
              </w:rPr>
              <w:t xml:space="preserve"> </w:t>
            </w:r>
          </w:p>
          <w:p w14:paraId="4A7763D1"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79B129E5" w14:textId="03F0DDBE"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6. Розмір об'єктивних чинників недофінансування діяльності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 визначається як сума таких об'єктивних чинників недофінансування:</w:t>
            </w:r>
          </w:p>
          <w:p w14:paraId="155EE5EC" w14:textId="77777777"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10AAC0E9" w14:textId="77777777"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lastRenderedPageBreak/>
              <w:t>3) сума обґрунтованих перевитрат статей витрат структури тарифу у звітному році з урахуванням витрат, які були капіталізовані за бухгалтерським обліком (крім суми збору за небаланс електричної енергії);</w:t>
            </w:r>
          </w:p>
          <w:p w14:paraId="43B6B9B1" w14:textId="08A80979"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tc>
        <w:tc>
          <w:tcPr>
            <w:tcW w:w="1714" w:type="pct"/>
          </w:tcPr>
          <w:p w14:paraId="26F81A33" w14:textId="77777777" w:rsidR="00250C42" w:rsidRPr="00985B6F" w:rsidRDefault="00250C42" w:rsidP="00985B6F">
            <w:pPr>
              <w:ind w:firstLine="320"/>
              <w:jc w:val="both"/>
              <w:rPr>
                <w:rFonts w:ascii="Times New Roman" w:hAnsi="Times New Roman" w:cs="Times New Roman"/>
                <w:bCs/>
                <w:i/>
                <w:shd w:val="clear" w:color="auto" w:fill="FFFFFF"/>
              </w:rPr>
            </w:pPr>
            <w:r w:rsidRPr="00985B6F">
              <w:rPr>
                <w:rFonts w:ascii="Times New Roman" w:hAnsi="Times New Roman" w:cs="Times New Roman"/>
                <w:bCs/>
                <w:i/>
                <w:shd w:val="clear" w:color="auto" w:fill="FFFFFF"/>
              </w:rPr>
              <w:lastRenderedPageBreak/>
              <w:t>НЕК «УКРЕНЕРГО»</w:t>
            </w:r>
          </w:p>
          <w:p w14:paraId="252E041C"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02602320" w14:textId="1711E940"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6. Розмір об'єктивних чинників недофінансування діяльності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 визначається як сума таких об'єктивних чинників недофінансування:</w:t>
            </w:r>
          </w:p>
          <w:p w14:paraId="3D3021A6" w14:textId="77777777"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7A87AF6B" w14:textId="08437C78"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lastRenderedPageBreak/>
              <w:t>3) сума обґрунтованих перевитрат статей витрат структури тарифу у звітному році з урахуванням витрат, які були капіталізовані за бухгалтерським обліком</w:t>
            </w:r>
            <w:r w:rsidRPr="00985B6F">
              <w:rPr>
                <w:rFonts w:ascii="Times New Roman" w:eastAsiaTheme="minorEastAsia" w:hAnsi="Times New Roman" w:cs="Times New Roman"/>
                <w:b/>
                <w:bCs/>
                <w:shd w:val="clear" w:color="auto" w:fill="FFFFFF"/>
                <w:lang w:eastAsia="uk-UA"/>
              </w:rPr>
              <w:t>, а також перевитрат по статті «витрати на системні обмеження»</w:t>
            </w:r>
            <w:r w:rsidRPr="00985B6F">
              <w:rPr>
                <w:rFonts w:ascii="Times New Roman" w:eastAsiaTheme="minorEastAsia" w:hAnsi="Times New Roman" w:cs="Times New Roman"/>
                <w:shd w:val="clear" w:color="auto" w:fill="FFFFFF"/>
                <w:lang w:eastAsia="uk-UA"/>
              </w:rPr>
              <w:t xml:space="preserve"> (крім суми збору за небаланс електричної енергії);</w:t>
            </w:r>
          </w:p>
          <w:p w14:paraId="45708FC9" w14:textId="77777777" w:rsidR="00E30227" w:rsidRPr="00985B6F" w:rsidRDefault="00E30227"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w:t>
            </w:r>
          </w:p>
          <w:p w14:paraId="2D110BA0"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01F7D01F"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53FEA480" w14:textId="751681B8"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Calibri" w:hAnsi="Times New Roman" w:cs="Times New Roman"/>
                <w:kern w:val="2"/>
                <w14:ligatures w14:val="standardContextual"/>
              </w:rPr>
              <w:t>Поточна редакція постанови НКРЕКП №586 «Про затвердження Порядку формування тарифу на послуги з диспетчерського (</w:t>
            </w:r>
            <w:proofErr w:type="spellStart"/>
            <w:r w:rsidRPr="00985B6F">
              <w:rPr>
                <w:rFonts w:ascii="Times New Roman" w:eastAsia="Calibri" w:hAnsi="Times New Roman" w:cs="Times New Roman"/>
                <w:kern w:val="2"/>
                <w14:ligatures w14:val="standardContextual"/>
              </w:rPr>
              <w:t>оперативно</w:t>
            </w:r>
            <w:proofErr w:type="spellEnd"/>
            <w:r w:rsidRPr="00985B6F">
              <w:rPr>
                <w:rFonts w:ascii="Times New Roman" w:eastAsia="Calibri" w:hAnsi="Times New Roman" w:cs="Times New Roman"/>
                <w:kern w:val="2"/>
                <w14:ligatures w14:val="standardContextual"/>
              </w:rPr>
              <w:t xml:space="preserve">-технологічного) управління» передбачає, що у статті витрат «Витрати на врегулювання системних обмежень» плануються витрати на системні обмеження планового року та включається сальдований розмір збору за небаланс електричної енергії, що підтверджується результатами здійснення заходів контролю за дотриманням Ліцензійних умов. В той самий час поточна редакція постанови НКРЕКП 428 (Додаток 28) не дає однозначного розуміння стосовно включення фактичних витрат на системні обмеження за період, що перевіряється, у складі суми обґрунтованих перевитрат. Пропонуємо чітко розділяти фактичні витрати на системні обмеження та </w:t>
            </w:r>
            <w:r w:rsidRPr="00985B6F">
              <w:rPr>
                <w:rFonts w:ascii="Times New Roman" w:eastAsiaTheme="minorEastAsia" w:hAnsi="Times New Roman" w:cs="Times New Roman"/>
                <w:shd w:val="clear" w:color="auto" w:fill="FFFFFF"/>
                <w:lang w:eastAsia="uk-UA"/>
              </w:rPr>
              <w:t>суму збору за небаланс електричної енергії за період, що перевіряється.</w:t>
            </w:r>
          </w:p>
        </w:tc>
        <w:tc>
          <w:tcPr>
            <w:tcW w:w="1528" w:type="pct"/>
          </w:tcPr>
          <w:p w14:paraId="6308C16B" w14:textId="222A3099" w:rsidR="00E30227" w:rsidRDefault="00E30227" w:rsidP="00985B6F">
            <w:pPr>
              <w:jc w:val="both"/>
              <w:rPr>
                <w:rFonts w:ascii="Times New Roman" w:eastAsia="Calibri" w:hAnsi="Times New Roman" w:cs="Times New Roman"/>
                <w:kern w:val="2"/>
                <w14:ligatures w14:val="standardContextual"/>
              </w:rPr>
            </w:pPr>
          </w:p>
          <w:p w14:paraId="47972DE8" w14:textId="77777777" w:rsidR="00A02DBE" w:rsidRDefault="00A02DBE" w:rsidP="00985B6F">
            <w:pPr>
              <w:jc w:val="both"/>
              <w:rPr>
                <w:rFonts w:ascii="Times New Roman" w:eastAsia="Calibri" w:hAnsi="Times New Roman" w:cs="Times New Roman"/>
                <w:kern w:val="2"/>
                <w14:ligatures w14:val="standardContextual"/>
              </w:rPr>
            </w:pPr>
          </w:p>
          <w:p w14:paraId="294B4256" w14:textId="77777777"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473CB4AF"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6AF99D3C" w14:textId="508890DC" w:rsidR="005E3FC6" w:rsidRPr="00985B6F"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sidRPr="00985B6F">
              <w:rPr>
                <w:rFonts w:ascii="Times New Roman" w:eastAsia="Calibri" w:hAnsi="Times New Roman" w:cs="Times New Roman"/>
                <w:kern w:val="2"/>
                <w14:ligatures w14:val="standardContextual"/>
              </w:rPr>
              <w:t xml:space="preserve"> </w:t>
            </w:r>
          </w:p>
        </w:tc>
      </w:tr>
      <w:tr w:rsidR="00D45906" w:rsidRPr="00985B6F" w14:paraId="197570E9" w14:textId="77777777" w:rsidTr="00250C42">
        <w:trPr>
          <w:trHeight w:val="367"/>
        </w:trPr>
        <w:tc>
          <w:tcPr>
            <w:tcW w:w="1758" w:type="pct"/>
          </w:tcPr>
          <w:p w14:paraId="030E2635"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hAnsi="Times New Roman" w:cs="Times New Roman"/>
                <w:b/>
                <w:bCs/>
                <w:color w:val="C00000"/>
                <w:shd w:val="clear" w:color="auto" w:fill="FFFFFF"/>
              </w:rPr>
              <w:t>ЗМІНИ НЕ ПРОПОНУВАЛИСЬ</w:t>
            </w:r>
            <w:r w:rsidRPr="00985B6F">
              <w:rPr>
                <w:rFonts w:ascii="Times New Roman" w:eastAsiaTheme="minorEastAsia" w:hAnsi="Times New Roman" w:cs="Times New Roman"/>
                <w:shd w:val="clear" w:color="auto" w:fill="FFFFFF"/>
                <w:lang w:eastAsia="uk-UA"/>
              </w:rPr>
              <w:t xml:space="preserve"> </w:t>
            </w:r>
          </w:p>
          <w:p w14:paraId="34D3E57A"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3485A99D" w14:textId="40173D6E"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 xml:space="preserve">8. Позитивна сума, визначена згідно з пунктом 7 цього додатка, коригується на індекс споживчих цін на товари та послуги з грудня звітного року до грудня попереднього року (використовується інформація, оприлюднена на офіційному </w:t>
            </w:r>
            <w:proofErr w:type="spellStart"/>
            <w:r w:rsidRPr="00985B6F">
              <w:rPr>
                <w:rFonts w:ascii="Times New Roman" w:eastAsiaTheme="minorEastAsia" w:hAnsi="Times New Roman" w:cs="Times New Roman"/>
                <w:shd w:val="clear" w:color="auto" w:fill="FFFFFF"/>
                <w:lang w:eastAsia="uk-UA"/>
              </w:rPr>
              <w:t>вебсайті</w:t>
            </w:r>
            <w:proofErr w:type="spellEnd"/>
            <w:r w:rsidRPr="00985B6F">
              <w:rPr>
                <w:rFonts w:ascii="Times New Roman" w:eastAsiaTheme="minorEastAsia" w:hAnsi="Times New Roman" w:cs="Times New Roman"/>
                <w:shd w:val="clear" w:color="auto" w:fill="FFFFFF"/>
                <w:lang w:eastAsia="uk-UA"/>
              </w:rPr>
              <w:t xml:space="preserve"> Державної служби статистики України) та визначається як джерело фінансування інвестиційної програми на рік, наступний за звітним, за умови:</w:t>
            </w:r>
          </w:p>
          <w:p w14:paraId="06C8BE29" w14:textId="77777777"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lastRenderedPageBreak/>
              <w:t>95 % виконання заходів інвестиційної програми (у фізичних обсягах) станом на 01 січня року, наступного за звітним;</w:t>
            </w:r>
          </w:p>
          <w:p w14:paraId="5E33E15E" w14:textId="77777777"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100 % виконання програми ремонтів.</w:t>
            </w:r>
          </w:p>
          <w:p w14:paraId="3B3221E7" w14:textId="0759AF04"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В іншому випадку така сума підлягає вилученню зі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w:t>
            </w:r>
          </w:p>
        </w:tc>
        <w:tc>
          <w:tcPr>
            <w:tcW w:w="1714" w:type="pct"/>
          </w:tcPr>
          <w:p w14:paraId="5631FAD2" w14:textId="77777777" w:rsidR="00250C42" w:rsidRPr="00985B6F" w:rsidRDefault="00250C42" w:rsidP="00985B6F">
            <w:pPr>
              <w:ind w:firstLine="320"/>
              <w:jc w:val="both"/>
              <w:rPr>
                <w:rFonts w:ascii="Times New Roman" w:hAnsi="Times New Roman" w:cs="Times New Roman"/>
                <w:bCs/>
                <w:i/>
                <w:shd w:val="clear" w:color="auto" w:fill="FFFFFF"/>
              </w:rPr>
            </w:pPr>
            <w:r w:rsidRPr="00985B6F">
              <w:rPr>
                <w:rFonts w:ascii="Times New Roman" w:hAnsi="Times New Roman" w:cs="Times New Roman"/>
                <w:bCs/>
                <w:i/>
                <w:shd w:val="clear" w:color="auto" w:fill="FFFFFF"/>
              </w:rPr>
              <w:lastRenderedPageBreak/>
              <w:t>НЕК «УКРЕНЕРГО»</w:t>
            </w:r>
          </w:p>
          <w:p w14:paraId="28E4639E"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03E2BA40" w14:textId="5CCE64D6" w:rsidR="00D45906" w:rsidRPr="00985B6F" w:rsidRDefault="00D45906" w:rsidP="00985B6F">
            <w:pPr>
              <w:ind w:firstLine="320"/>
              <w:jc w:val="both"/>
              <w:rPr>
                <w:rFonts w:ascii="Times New Roman" w:eastAsiaTheme="minorEastAsia" w:hAnsi="Times New Roman" w:cs="Times New Roman"/>
                <w:b/>
                <w:bCs/>
                <w:shd w:val="clear" w:color="auto" w:fill="FFFFFF"/>
                <w:lang w:eastAsia="uk-UA"/>
              </w:rPr>
            </w:pPr>
            <w:r w:rsidRPr="00985B6F">
              <w:rPr>
                <w:rFonts w:ascii="Times New Roman" w:eastAsiaTheme="minorEastAsia" w:hAnsi="Times New Roman" w:cs="Times New Roman"/>
                <w:shd w:val="clear" w:color="auto" w:fill="FFFFFF"/>
                <w:lang w:eastAsia="uk-UA"/>
              </w:rPr>
              <w:t xml:space="preserve">8. Позитивна сума, визначена згідно з пунктом 7 цього додатка, коригується на індекс споживчих цін на товари та послуги з грудня звітного року до грудня попереднього року (використовується інформація, оприлюднена на офіційному </w:t>
            </w:r>
            <w:proofErr w:type="spellStart"/>
            <w:r w:rsidRPr="00985B6F">
              <w:rPr>
                <w:rFonts w:ascii="Times New Roman" w:eastAsiaTheme="minorEastAsia" w:hAnsi="Times New Roman" w:cs="Times New Roman"/>
                <w:shd w:val="clear" w:color="auto" w:fill="FFFFFF"/>
                <w:lang w:eastAsia="uk-UA"/>
              </w:rPr>
              <w:t>вебсайті</w:t>
            </w:r>
            <w:proofErr w:type="spellEnd"/>
            <w:r w:rsidRPr="00985B6F">
              <w:rPr>
                <w:rFonts w:ascii="Times New Roman" w:eastAsiaTheme="minorEastAsia" w:hAnsi="Times New Roman" w:cs="Times New Roman"/>
                <w:shd w:val="clear" w:color="auto" w:fill="FFFFFF"/>
                <w:lang w:eastAsia="uk-UA"/>
              </w:rPr>
              <w:t xml:space="preserve"> Державної служби статистики України) та визначається як джерело фінансування </w:t>
            </w:r>
            <w:r w:rsidRPr="00985B6F">
              <w:rPr>
                <w:rFonts w:ascii="Times New Roman" w:eastAsiaTheme="minorEastAsia" w:hAnsi="Times New Roman" w:cs="Times New Roman"/>
                <w:b/>
                <w:bCs/>
                <w:shd w:val="clear" w:color="auto" w:fill="FFFFFF"/>
                <w:lang w:eastAsia="uk-UA"/>
              </w:rPr>
              <w:t>позитивної залишкової вартості збору за небаланс електричної енергії</w:t>
            </w:r>
            <w:r w:rsidR="0069714F" w:rsidRPr="00985B6F">
              <w:rPr>
                <w:rFonts w:ascii="Times New Roman" w:eastAsiaTheme="minorEastAsia" w:hAnsi="Times New Roman" w:cs="Times New Roman"/>
                <w:b/>
                <w:bCs/>
                <w:shd w:val="clear" w:color="auto" w:fill="FFFFFF"/>
                <w:lang w:eastAsia="uk-UA"/>
              </w:rPr>
              <w:t xml:space="preserve"> на кінець періоду, що </w:t>
            </w:r>
            <w:r w:rsidR="0069714F" w:rsidRPr="00985B6F">
              <w:rPr>
                <w:rFonts w:ascii="Times New Roman" w:eastAsiaTheme="minorEastAsia" w:hAnsi="Times New Roman" w:cs="Times New Roman"/>
                <w:b/>
                <w:bCs/>
                <w:shd w:val="clear" w:color="auto" w:fill="FFFFFF"/>
                <w:lang w:eastAsia="uk-UA"/>
              </w:rPr>
              <w:lastRenderedPageBreak/>
              <w:t>перевіряється</w:t>
            </w:r>
            <w:r w:rsidRPr="00985B6F">
              <w:rPr>
                <w:rFonts w:ascii="Times New Roman" w:eastAsiaTheme="minorEastAsia" w:hAnsi="Times New Roman" w:cs="Times New Roman"/>
                <w:b/>
                <w:bCs/>
                <w:shd w:val="clear" w:color="auto" w:fill="FFFFFF"/>
                <w:lang w:eastAsia="uk-UA"/>
              </w:rPr>
              <w:t>, визначеної відповідно до вимог ц</w:t>
            </w:r>
            <w:r w:rsidR="0069714F" w:rsidRPr="00985B6F">
              <w:rPr>
                <w:rFonts w:ascii="Times New Roman" w:eastAsiaTheme="minorEastAsia" w:hAnsi="Times New Roman" w:cs="Times New Roman"/>
                <w:b/>
                <w:bCs/>
                <w:shd w:val="clear" w:color="auto" w:fill="FFFFFF"/>
                <w:lang w:eastAsia="uk-UA"/>
              </w:rPr>
              <w:t>ього додатку</w:t>
            </w:r>
            <w:r w:rsidRPr="00985B6F">
              <w:rPr>
                <w:rFonts w:ascii="Times New Roman" w:eastAsiaTheme="minorEastAsia" w:hAnsi="Times New Roman" w:cs="Times New Roman"/>
                <w:b/>
                <w:bCs/>
                <w:shd w:val="clear" w:color="auto" w:fill="FFFFFF"/>
                <w:lang w:eastAsia="uk-UA"/>
              </w:rPr>
              <w:t>, з пріоритетним спрямуванням на покриття заборгованості</w:t>
            </w:r>
            <w:r w:rsidR="0069714F" w:rsidRPr="00985B6F">
              <w:rPr>
                <w:rFonts w:ascii="Times New Roman" w:eastAsiaTheme="minorEastAsia" w:hAnsi="Times New Roman" w:cs="Times New Roman"/>
                <w:b/>
                <w:bCs/>
                <w:shd w:val="clear" w:color="auto" w:fill="FFFFFF"/>
                <w:lang w:eastAsia="uk-UA"/>
              </w:rPr>
              <w:t xml:space="preserve"> по системним обмеженням, сформованої</w:t>
            </w:r>
            <w:r w:rsidRPr="00985B6F">
              <w:rPr>
                <w:rFonts w:ascii="Times New Roman" w:eastAsiaTheme="minorEastAsia" w:hAnsi="Times New Roman" w:cs="Times New Roman"/>
                <w:b/>
                <w:bCs/>
                <w:shd w:val="clear" w:color="auto" w:fill="FFFFFF"/>
                <w:lang w:eastAsia="uk-UA"/>
              </w:rPr>
              <w:t xml:space="preserve"> на кінець періоду, що перевіряється</w:t>
            </w:r>
            <w:r w:rsidR="0069714F" w:rsidRPr="00985B6F">
              <w:rPr>
                <w:rFonts w:ascii="Times New Roman" w:eastAsiaTheme="minorEastAsia" w:hAnsi="Times New Roman" w:cs="Times New Roman"/>
                <w:b/>
                <w:bCs/>
                <w:shd w:val="clear" w:color="auto" w:fill="FFFFFF"/>
                <w:lang w:eastAsia="uk-UA"/>
              </w:rPr>
              <w:t>.</w:t>
            </w:r>
            <w:r w:rsidRPr="00985B6F">
              <w:rPr>
                <w:rFonts w:ascii="Times New Roman" w:eastAsiaTheme="minorEastAsia" w:hAnsi="Times New Roman" w:cs="Times New Roman"/>
                <w:b/>
                <w:bCs/>
                <w:shd w:val="clear" w:color="auto" w:fill="FFFFFF"/>
                <w:lang w:eastAsia="uk-UA"/>
              </w:rPr>
              <w:t xml:space="preserve"> </w:t>
            </w:r>
          </w:p>
          <w:p w14:paraId="1E4CF343" w14:textId="3FD78290"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b/>
                <w:bCs/>
                <w:shd w:val="clear" w:color="auto" w:fill="FFFFFF"/>
                <w:lang w:eastAsia="uk-UA"/>
              </w:rPr>
              <w:t xml:space="preserve">Залишкова позитивна сума, визначена згідно з пунктом 7 цього додатка та скоригована на індекс споживчих цін на товари та послуги з грудня звітного року до грудня попереднього року (використовується інформація, оприлюднена на офіційному </w:t>
            </w:r>
            <w:proofErr w:type="spellStart"/>
            <w:r w:rsidRPr="00985B6F">
              <w:rPr>
                <w:rFonts w:ascii="Times New Roman" w:eastAsiaTheme="minorEastAsia" w:hAnsi="Times New Roman" w:cs="Times New Roman"/>
                <w:b/>
                <w:bCs/>
                <w:shd w:val="clear" w:color="auto" w:fill="FFFFFF"/>
                <w:lang w:eastAsia="uk-UA"/>
              </w:rPr>
              <w:t>вебсайті</w:t>
            </w:r>
            <w:proofErr w:type="spellEnd"/>
            <w:r w:rsidRPr="00985B6F">
              <w:rPr>
                <w:rFonts w:ascii="Times New Roman" w:eastAsiaTheme="minorEastAsia" w:hAnsi="Times New Roman" w:cs="Times New Roman"/>
                <w:b/>
                <w:bCs/>
                <w:shd w:val="clear" w:color="auto" w:fill="FFFFFF"/>
                <w:lang w:eastAsia="uk-UA"/>
              </w:rPr>
              <w:t xml:space="preserve"> Державної служби статистики України), визначається як джерело фінансування </w:t>
            </w:r>
            <w:r w:rsidRPr="00985B6F">
              <w:rPr>
                <w:rFonts w:ascii="Times New Roman" w:eastAsiaTheme="minorEastAsia" w:hAnsi="Times New Roman" w:cs="Times New Roman"/>
                <w:shd w:val="clear" w:color="auto" w:fill="FFFFFF"/>
                <w:lang w:eastAsia="uk-UA"/>
              </w:rPr>
              <w:t>інвестиційної програми на рік, наступний за звітним, за умови:</w:t>
            </w:r>
          </w:p>
          <w:p w14:paraId="091D257D" w14:textId="77777777"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95 % виконання заходів інвестиційної програми (у фізичних обсягах) станом на 01 січня року, наступного за звітним;</w:t>
            </w:r>
          </w:p>
          <w:p w14:paraId="3E33DF36" w14:textId="77777777"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100 % виконання програми ремонтів.</w:t>
            </w:r>
          </w:p>
          <w:p w14:paraId="2540B92A" w14:textId="77777777" w:rsidR="00D45906" w:rsidRPr="00985B6F" w:rsidRDefault="00D45906"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В іншому випадку така сума підлягає вилученню зі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w:t>
            </w:r>
          </w:p>
          <w:p w14:paraId="5476CA75"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6C41C311"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0D4B689F" w14:textId="4667A5E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Calibri" w:hAnsi="Times New Roman" w:cs="Times New Roman"/>
                <w:kern w:val="2"/>
                <w14:ligatures w14:val="standardContextual"/>
              </w:rPr>
              <w:t xml:space="preserve">Запропоновані зміни дозволять </w:t>
            </w:r>
            <w:proofErr w:type="spellStart"/>
            <w:r w:rsidRPr="00985B6F">
              <w:rPr>
                <w:rFonts w:ascii="Times New Roman" w:eastAsia="Calibri" w:hAnsi="Times New Roman" w:cs="Times New Roman"/>
                <w:kern w:val="2"/>
                <w14:ligatures w14:val="standardContextual"/>
              </w:rPr>
              <w:t>оперативно</w:t>
            </w:r>
            <w:proofErr w:type="spellEnd"/>
            <w:r w:rsidRPr="00985B6F">
              <w:rPr>
                <w:rFonts w:ascii="Times New Roman" w:eastAsia="Calibri" w:hAnsi="Times New Roman" w:cs="Times New Roman"/>
                <w:kern w:val="2"/>
                <w14:ligatures w14:val="standardContextual"/>
              </w:rPr>
              <w:t xml:space="preserve"> спрямувати кошти на балансуючий ринок без зміни тарифів майбутніх періодів.</w:t>
            </w:r>
          </w:p>
        </w:tc>
        <w:tc>
          <w:tcPr>
            <w:tcW w:w="1528" w:type="pct"/>
          </w:tcPr>
          <w:p w14:paraId="40B927F0" w14:textId="77777777" w:rsidR="00A02DBE" w:rsidRDefault="00A02DBE" w:rsidP="00A02DBE">
            <w:pPr>
              <w:jc w:val="both"/>
              <w:rPr>
                <w:rFonts w:ascii="Times New Roman" w:hAnsi="Times New Roman" w:cs="Times New Roman"/>
                <w:b/>
                <w:shd w:val="clear" w:color="auto" w:fill="FFFFFF"/>
              </w:rPr>
            </w:pPr>
          </w:p>
          <w:p w14:paraId="574AE698" w14:textId="77777777" w:rsidR="00A02DBE" w:rsidRDefault="00A02DBE" w:rsidP="00A02DBE">
            <w:pPr>
              <w:jc w:val="both"/>
              <w:rPr>
                <w:rFonts w:ascii="Times New Roman" w:hAnsi="Times New Roman" w:cs="Times New Roman"/>
                <w:b/>
                <w:shd w:val="clear" w:color="auto" w:fill="FFFFFF"/>
              </w:rPr>
            </w:pPr>
          </w:p>
          <w:p w14:paraId="0DC8EC56" w14:textId="1A3DFE21"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701F448E"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20F95D1A" w14:textId="63CA2A15" w:rsidR="00D45906" w:rsidRPr="00985B6F"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sidRPr="00985B6F">
              <w:rPr>
                <w:rFonts w:ascii="Times New Roman" w:eastAsia="Calibri" w:hAnsi="Times New Roman" w:cs="Times New Roman"/>
                <w:kern w:val="2"/>
                <w14:ligatures w14:val="standardContextual"/>
              </w:rPr>
              <w:t xml:space="preserve"> </w:t>
            </w:r>
          </w:p>
        </w:tc>
      </w:tr>
      <w:tr w:rsidR="00521DF2" w:rsidRPr="00985B6F" w14:paraId="64FD160C" w14:textId="77777777" w:rsidTr="00250C42">
        <w:trPr>
          <w:trHeight w:val="367"/>
        </w:trPr>
        <w:tc>
          <w:tcPr>
            <w:tcW w:w="1758" w:type="pct"/>
          </w:tcPr>
          <w:p w14:paraId="29BEC9BC"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hAnsi="Times New Roman" w:cs="Times New Roman"/>
                <w:b/>
                <w:bCs/>
                <w:color w:val="C00000"/>
                <w:shd w:val="clear" w:color="auto" w:fill="FFFFFF"/>
              </w:rPr>
              <w:t>ЗМІНИ НЕ ПРОПОНУВАЛИСЬ</w:t>
            </w:r>
            <w:r w:rsidRPr="00985B6F">
              <w:rPr>
                <w:rFonts w:ascii="Times New Roman" w:eastAsiaTheme="minorEastAsia" w:hAnsi="Times New Roman" w:cs="Times New Roman"/>
                <w:shd w:val="clear" w:color="auto" w:fill="FFFFFF"/>
                <w:lang w:eastAsia="uk-UA"/>
              </w:rPr>
              <w:t xml:space="preserve"> </w:t>
            </w:r>
          </w:p>
          <w:p w14:paraId="251FD125"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146C3EC0" w14:textId="174DF795" w:rsidR="00327DB2" w:rsidRPr="00985B6F" w:rsidRDefault="004228DC"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13. Якщо залишкова вартість збору за небаланс електричної енергії на кінець звітного періоду негативна, вона обліковується на субрахунку UA-1 на наступний період, а якщо позитивна, її абсолютне значення обліковується на субрахунку UA-1 та підлягає включенню до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-технологічного) управління.</w:t>
            </w:r>
          </w:p>
        </w:tc>
        <w:tc>
          <w:tcPr>
            <w:tcW w:w="1714" w:type="pct"/>
          </w:tcPr>
          <w:p w14:paraId="7E4B9758" w14:textId="77777777" w:rsidR="00250C42" w:rsidRPr="00985B6F" w:rsidRDefault="00250C42" w:rsidP="00985B6F">
            <w:pPr>
              <w:ind w:firstLine="320"/>
              <w:jc w:val="both"/>
              <w:rPr>
                <w:rFonts w:ascii="Times New Roman" w:hAnsi="Times New Roman" w:cs="Times New Roman"/>
                <w:bCs/>
                <w:i/>
                <w:shd w:val="clear" w:color="auto" w:fill="FFFFFF"/>
              </w:rPr>
            </w:pPr>
            <w:r w:rsidRPr="00985B6F">
              <w:rPr>
                <w:rFonts w:ascii="Times New Roman" w:hAnsi="Times New Roman" w:cs="Times New Roman"/>
                <w:bCs/>
                <w:i/>
                <w:shd w:val="clear" w:color="auto" w:fill="FFFFFF"/>
              </w:rPr>
              <w:t>НЕК «УКРЕНЕРГО»</w:t>
            </w:r>
          </w:p>
          <w:p w14:paraId="0C85A65B"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2AAC1655" w14:textId="77777777" w:rsidR="00327DB2" w:rsidRPr="00985B6F" w:rsidRDefault="004228DC"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Theme="minorEastAsia" w:hAnsi="Times New Roman" w:cs="Times New Roman"/>
                <w:shd w:val="clear" w:color="auto" w:fill="FFFFFF"/>
                <w:lang w:eastAsia="uk-UA"/>
              </w:rPr>
              <w:t>13. Якщо залишкова вартість збору за небаланс електричної енергії на кінець звітного періоду негативна, вона обліковується на субрахунку UA-1 на наступний період</w:t>
            </w:r>
            <w:r w:rsidR="00D45906" w:rsidRPr="00985B6F">
              <w:rPr>
                <w:rFonts w:ascii="Times New Roman" w:eastAsiaTheme="minorEastAsia" w:hAnsi="Times New Roman" w:cs="Times New Roman"/>
                <w:shd w:val="clear" w:color="auto" w:fill="FFFFFF"/>
                <w:lang w:eastAsia="uk-UA"/>
              </w:rPr>
              <w:t>.</w:t>
            </w:r>
            <w:r w:rsidRPr="00985B6F">
              <w:rPr>
                <w:rFonts w:ascii="Times New Roman" w:eastAsiaTheme="minorEastAsia" w:hAnsi="Times New Roman" w:cs="Times New Roman"/>
                <w:shd w:val="clear" w:color="auto" w:fill="FFFFFF"/>
                <w:lang w:eastAsia="uk-UA"/>
              </w:rPr>
              <w:t xml:space="preserve"> </w:t>
            </w:r>
            <w:r w:rsidRPr="00985B6F">
              <w:rPr>
                <w:rFonts w:ascii="Times New Roman" w:eastAsiaTheme="minorEastAsia" w:hAnsi="Times New Roman" w:cs="Times New Roman"/>
                <w:strike/>
                <w:shd w:val="clear" w:color="auto" w:fill="FFFFFF"/>
                <w:lang w:eastAsia="uk-UA"/>
              </w:rPr>
              <w:t xml:space="preserve">а </w:t>
            </w:r>
            <w:r w:rsidR="00D45906" w:rsidRPr="00985B6F">
              <w:rPr>
                <w:rFonts w:ascii="Times New Roman" w:eastAsiaTheme="minorEastAsia" w:hAnsi="Times New Roman" w:cs="Times New Roman"/>
                <w:b/>
                <w:bCs/>
                <w:shd w:val="clear" w:color="auto" w:fill="FFFFFF"/>
                <w:lang w:eastAsia="uk-UA"/>
              </w:rPr>
              <w:t>Якщо</w:t>
            </w:r>
            <w:r w:rsidR="00D45906" w:rsidRPr="00985B6F">
              <w:rPr>
                <w:rFonts w:ascii="Times New Roman" w:eastAsiaTheme="minorEastAsia" w:hAnsi="Times New Roman" w:cs="Times New Roman"/>
                <w:shd w:val="clear" w:color="auto" w:fill="FFFFFF"/>
                <w:lang w:eastAsia="uk-UA"/>
              </w:rPr>
              <w:t xml:space="preserve"> </w:t>
            </w:r>
            <w:r w:rsidRPr="00985B6F">
              <w:rPr>
                <w:rFonts w:ascii="Times New Roman" w:eastAsiaTheme="minorEastAsia" w:hAnsi="Times New Roman" w:cs="Times New Roman"/>
                <w:shd w:val="clear" w:color="auto" w:fill="FFFFFF"/>
                <w:lang w:eastAsia="uk-UA"/>
              </w:rPr>
              <w:t xml:space="preserve">позитивна, її абсолютне </w:t>
            </w:r>
            <w:r w:rsidR="00D45906" w:rsidRPr="00985B6F">
              <w:rPr>
                <w:rFonts w:ascii="Times New Roman" w:eastAsiaTheme="minorEastAsia" w:hAnsi="Times New Roman" w:cs="Times New Roman"/>
                <w:b/>
                <w:bCs/>
                <w:shd w:val="clear" w:color="auto" w:fill="FFFFFF"/>
                <w:lang w:eastAsia="uk-UA"/>
              </w:rPr>
              <w:t>залишкове</w:t>
            </w:r>
            <w:r w:rsidR="00D45906" w:rsidRPr="00985B6F">
              <w:rPr>
                <w:rFonts w:ascii="Times New Roman" w:eastAsiaTheme="minorEastAsia" w:hAnsi="Times New Roman" w:cs="Times New Roman"/>
                <w:shd w:val="clear" w:color="auto" w:fill="FFFFFF"/>
                <w:lang w:eastAsia="uk-UA"/>
              </w:rPr>
              <w:t xml:space="preserve"> </w:t>
            </w:r>
            <w:r w:rsidRPr="00985B6F">
              <w:rPr>
                <w:rFonts w:ascii="Times New Roman" w:eastAsiaTheme="minorEastAsia" w:hAnsi="Times New Roman" w:cs="Times New Roman"/>
                <w:shd w:val="clear" w:color="auto" w:fill="FFFFFF"/>
                <w:lang w:eastAsia="uk-UA"/>
              </w:rPr>
              <w:t xml:space="preserve">значення </w:t>
            </w:r>
            <w:r w:rsidRPr="00985B6F">
              <w:rPr>
                <w:rFonts w:ascii="Times New Roman" w:eastAsiaTheme="minorEastAsia" w:hAnsi="Times New Roman" w:cs="Times New Roman"/>
                <w:strike/>
                <w:shd w:val="clear" w:color="auto" w:fill="FFFFFF"/>
                <w:lang w:eastAsia="uk-UA"/>
              </w:rPr>
              <w:t>обліковується на субрахунку UA-1 та</w:t>
            </w:r>
            <w:r w:rsidR="00D45906" w:rsidRPr="00985B6F">
              <w:rPr>
                <w:rFonts w:ascii="Times New Roman" w:eastAsiaTheme="minorEastAsia" w:hAnsi="Times New Roman" w:cs="Times New Roman"/>
                <w:shd w:val="clear" w:color="auto" w:fill="FFFFFF"/>
                <w:lang w:eastAsia="uk-UA"/>
              </w:rPr>
              <w:t xml:space="preserve"> </w:t>
            </w:r>
            <w:r w:rsidR="00D45906" w:rsidRPr="00985B6F">
              <w:rPr>
                <w:rFonts w:ascii="Times New Roman" w:eastAsiaTheme="minorEastAsia" w:hAnsi="Times New Roman" w:cs="Times New Roman"/>
                <w:b/>
                <w:bCs/>
                <w:shd w:val="clear" w:color="auto" w:fill="FFFFFF"/>
                <w:lang w:eastAsia="uk-UA"/>
              </w:rPr>
              <w:t>після виконання вимог пункту 8 цього додатку, обліковується на субрахунку UA-1 та</w:t>
            </w:r>
            <w:r w:rsidR="00D45906" w:rsidRPr="00985B6F">
              <w:rPr>
                <w:rFonts w:ascii="Times New Roman" w:eastAsiaTheme="minorEastAsia" w:hAnsi="Times New Roman" w:cs="Times New Roman"/>
                <w:shd w:val="clear" w:color="auto" w:fill="FFFFFF"/>
                <w:lang w:eastAsia="uk-UA"/>
              </w:rPr>
              <w:t xml:space="preserve"> </w:t>
            </w:r>
            <w:r w:rsidRPr="00985B6F">
              <w:rPr>
                <w:rFonts w:ascii="Times New Roman" w:eastAsiaTheme="minorEastAsia" w:hAnsi="Times New Roman" w:cs="Times New Roman"/>
                <w:shd w:val="clear" w:color="auto" w:fill="FFFFFF"/>
                <w:lang w:eastAsia="uk-UA"/>
              </w:rPr>
              <w:t xml:space="preserve"> підлягає включенню до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 xml:space="preserve">-технологічного) управління </w:t>
            </w:r>
            <w:r w:rsidRPr="00985B6F">
              <w:rPr>
                <w:rFonts w:ascii="Times New Roman" w:eastAsiaTheme="minorEastAsia" w:hAnsi="Times New Roman" w:cs="Times New Roman"/>
                <w:b/>
                <w:bCs/>
                <w:shd w:val="clear" w:color="auto" w:fill="FFFFFF"/>
                <w:lang w:eastAsia="uk-UA"/>
              </w:rPr>
              <w:t xml:space="preserve">у складі статті </w:t>
            </w:r>
            <w:r w:rsidRPr="00985B6F">
              <w:rPr>
                <w:rFonts w:ascii="Times New Roman" w:eastAsiaTheme="minorEastAsia" w:hAnsi="Times New Roman" w:cs="Times New Roman"/>
                <w:b/>
                <w:bCs/>
                <w:shd w:val="clear" w:color="auto" w:fill="FFFFFF"/>
                <w:lang w:eastAsia="uk-UA"/>
              </w:rPr>
              <w:lastRenderedPageBreak/>
              <w:t>«Витрати на врегулювання системних обмежень»</w:t>
            </w:r>
            <w:r w:rsidRPr="00985B6F">
              <w:rPr>
                <w:rFonts w:ascii="Times New Roman" w:eastAsiaTheme="minorEastAsia" w:hAnsi="Times New Roman" w:cs="Times New Roman"/>
                <w:shd w:val="clear" w:color="auto" w:fill="FFFFFF"/>
                <w:lang w:eastAsia="uk-UA"/>
              </w:rPr>
              <w:t>.</w:t>
            </w:r>
          </w:p>
          <w:p w14:paraId="34A64473" w14:textId="7777777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p>
          <w:p w14:paraId="699CD0F5" w14:textId="77777777" w:rsidR="00250C42" w:rsidRPr="00985B6F" w:rsidRDefault="00250C42" w:rsidP="00985B6F">
            <w:pPr>
              <w:jc w:val="both"/>
              <w:rPr>
                <w:rFonts w:ascii="Times New Roman" w:hAnsi="Times New Roman" w:cs="Times New Roman"/>
                <w:b/>
                <w:bCs/>
                <w:shd w:val="clear" w:color="auto" w:fill="FFFFFF"/>
              </w:rPr>
            </w:pPr>
            <w:r w:rsidRPr="00985B6F">
              <w:rPr>
                <w:rFonts w:ascii="Times New Roman" w:hAnsi="Times New Roman" w:cs="Times New Roman"/>
                <w:b/>
                <w:bCs/>
                <w:shd w:val="clear" w:color="auto" w:fill="FFFFFF"/>
              </w:rPr>
              <w:t>Обґрунтування:</w:t>
            </w:r>
          </w:p>
          <w:p w14:paraId="17AFF94F" w14:textId="3C9F0937" w:rsidR="00250C42" w:rsidRPr="00985B6F" w:rsidRDefault="00250C42" w:rsidP="00985B6F">
            <w:pPr>
              <w:ind w:firstLine="320"/>
              <w:jc w:val="both"/>
              <w:rPr>
                <w:rFonts w:ascii="Times New Roman" w:eastAsiaTheme="minorEastAsia" w:hAnsi="Times New Roman" w:cs="Times New Roman"/>
                <w:shd w:val="clear" w:color="auto" w:fill="FFFFFF"/>
                <w:lang w:eastAsia="uk-UA"/>
              </w:rPr>
            </w:pPr>
            <w:r w:rsidRPr="00985B6F">
              <w:rPr>
                <w:rFonts w:ascii="Times New Roman" w:eastAsia="Calibri" w:hAnsi="Times New Roman" w:cs="Times New Roman"/>
                <w:kern w:val="2"/>
                <w14:ligatures w14:val="standardContextual"/>
              </w:rPr>
              <w:t xml:space="preserve">Сума збору </w:t>
            </w:r>
            <w:r w:rsidRPr="00985B6F">
              <w:rPr>
                <w:rFonts w:ascii="Times New Roman" w:eastAsiaTheme="minorEastAsia" w:hAnsi="Times New Roman" w:cs="Times New Roman"/>
                <w:shd w:val="clear" w:color="auto" w:fill="FFFFFF"/>
                <w:lang w:eastAsia="uk-UA"/>
              </w:rPr>
              <w:t>за небаланс електричної енергії, що буде включена до структури тарифу на послуги з диспетчерського (</w:t>
            </w:r>
            <w:proofErr w:type="spellStart"/>
            <w:r w:rsidRPr="00985B6F">
              <w:rPr>
                <w:rFonts w:ascii="Times New Roman" w:eastAsiaTheme="minorEastAsia" w:hAnsi="Times New Roman" w:cs="Times New Roman"/>
                <w:shd w:val="clear" w:color="auto" w:fill="FFFFFF"/>
                <w:lang w:eastAsia="uk-UA"/>
              </w:rPr>
              <w:t>оперативно</w:t>
            </w:r>
            <w:proofErr w:type="spellEnd"/>
            <w:r w:rsidRPr="00985B6F">
              <w:rPr>
                <w:rFonts w:ascii="Times New Roman" w:eastAsiaTheme="minorEastAsia" w:hAnsi="Times New Roman" w:cs="Times New Roman"/>
                <w:shd w:val="clear" w:color="auto" w:fill="FFFFFF"/>
                <w:lang w:eastAsia="uk-UA"/>
              </w:rPr>
              <w:t xml:space="preserve">-технологічного) управління буде спрямована на погашення зобов’язань ОСП на балансуючому ринку, в </w:t>
            </w:r>
            <w:proofErr w:type="spellStart"/>
            <w:r w:rsidRPr="00985B6F">
              <w:rPr>
                <w:rFonts w:ascii="Times New Roman" w:eastAsiaTheme="minorEastAsia" w:hAnsi="Times New Roman" w:cs="Times New Roman"/>
                <w:shd w:val="clear" w:color="auto" w:fill="FFFFFF"/>
                <w:lang w:eastAsia="uk-UA"/>
              </w:rPr>
              <w:t>т.ч</w:t>
            </w:r>
            <w:proofErr w:type="spellEnd"/>
            <w:r w:rsidRPr="00985B6F">
              <w:rPr>
                <w:rFonts w:ascii="Times New Roman" w:eastAsiaTheme="minorEastAsia" w:hAnsi="Times New Roman" w:cs="Times New Roman"/>
                <w:shd w:val="clear" w:color="auto" w:fill="FFFFFF"/>
                <w:lang w:eastAsia="uk-UA"/>
              </w:rPr>
              <w:t xml:space="preserve">. за врегулювання системних обмежень. Даний механізм має позитивно вплинути на ситуацію з </w:t>
            </w:r>
            <w:proofErr w:type="spellStart"/>
            <w:r w:rsidRPr="00985B6F">
              <w:rPr>
                <w:rFonts w:ascii="Times New Roman" w:eastAsiaTheme="minorEastAsia" w:hAnsi="Times New Roman" w:cs="Times New Roman"/>
                <w:shd w:val="clear" w:color="auto" w:fill="FFFFFF"/>
                <w:lang w:eastAsia="uk-UA"/>
              </w:rPr>
              <w:t>платежами</w:t>
            </w:r>
            <w:proofErr w:type="spellEnd"/>
            <w:r w:rsidRPr="00985B6F">
              <w:rPr>
                <w:rFonts w:ascii="Times New Roman" w:eastAsiaTheme="minorEastAsia" w:hAnsi="Times New Roman" w:cs="Times New Roman"/>
                <w:shd w:val="clear" w:color="auto" w:fill="FFFFFF"/>
                <w:lang w:eastAsia="uk-UA"/>
              </w:rPr>
              <w:t xml:space="preserve"> на ринку електричної енергії, а також дозволить іншим учасникам ринку спрямувати кошти на відновлення інфраструктури та забезпечення проходження осінньо-зимових періодів.</w:t>
            </w:r>
          </w:p>
        </w:tc>
        <w:tc>
          <w:tcPr>
            <w:tcW w:w="1528" w:type="pct"/>
          </w:tcPr>
          <w:p w14:paraId="7A02ECD3" w14:textId="77777777" w:rsidR="00A02DBE" w:rsidRDefault="00A02DBE" w:rsidP="00A02DBE">
            <w:pPr>
              <w:jc w:val="both"/>
              <w:rPr>
                <w:rFonts w:ascii="Times New Roman" w:hAnsi="Times New Roman" w:cs="Times New Roman"/>
                <w:b/>
                <w:shd w:val="clear" w:color="auto" w:fill="FFFFFF"/>
              </w:rPr>
            </w:pPr>
          </w:p>
          <w:p w14:paraId="209DE97C" w14:textId="77777777" w:rsidR="00A02DBE" w:rsidRDefault="00A02DBE" w:rsidP="00A02DBE">
            <w:pPr>
              <w:jc w:val="both"/>
              <w:rPr>
                <w:rFonts w:ascii="Times New Roman" w:hAnsi="Times New Roman" w:cs="Times New Roman"/>
                <w:b/>
                <w:shd w:val="clear" w:color="auto" w:fill="FFFFFF"/>
              </w:rPr>
            </w:pPr>
          </w:p>
          <w:p w14:paraId="6F7D2E4E" w14:textId="5D444F2A" w:rsidR="00A02DBE" w:rsidRPr="00A02DBE" w:rsidRDefault="00A02DBE" w:rsidP="00A02DBE">
            <w:pPr>
              <w:jc w:val="both"/>
              <w:rPr>
                <w:rFonts w:ascii="Times New Roman" w:hAnsi="Times New Roman" w:cs="Times New Roman"/>
                <w:b/>
                <w:shd w:val="clear" w:color="auto" w:fill="FFFFFF"/>
              </w:rPr>
            </w:pPr>
            <w:r w:rsidRPr="00A02DBE">
              <w:rPr>
                <w:rFonts w:ascii="Times New Roman" w:hAnsi="Times New Roman" w:cs="Times New Roman"/>
                <w:b/>
                <w:shd w:val="clear" w:color="auto" w:fill="FFFFFF"/>
              </w:rPr>
              <w:t>Не враховано</w:t>
            </w:r>
          </w:p>
          <w:p w14:paraId="3066656A" w14:textId="77777777" w:rsidR="00A02DBE" w:rsidRPr="00A02DBE" w:rsidRDefault="00A02DBE" w:rsidP="00A02DBE">
            <w:pPr>
              <w:jc w:val="both"/>
              <w:rPr>
                <w:rFonts w:ascii="Times New Roman" w:hAnsi="Times New Roman" w:cs="Times New Roman"/>
                <w:shd w:val="clear" w:color="auto" w:fill="FFFFFF"/>
              </w:rPr>
            </w:pPr>
            <w:r w:rsidRPr="00A02DBE">
              <w:rPr>
                <w:rFonts w:ascii="Times New Roman" w:hAnsi="Times New Roman" w:cs="Times New Roman"/>
                <w:shd w:val="clear" w:color="auto" w:fill="FFFFFF"/>
              </w:rPr>
              <w:t>Зміни не пропонувались.</w:t>
            </w:r>
          </w:p>
          <w:p w14:paraId="54FC0FF5" w14:textId="2CC4BCDE" w:rsidR="00521DF2" w:rsidRPr="00985B6F" w:rsidRDefault="00A02DBE" w:rsidP="00A02DBE">
            <w:pPr>
              <w:jc w:val="both"/>
              <w:rPr>
                <w:rFonts w:ascii="Times New Roman" w:eastAsia="Calibri" w:hAnsi="Times New Roman" w:cs="Times New Roman"/>
                <w:kern w:val="2"/>
                <w14:ligatures w14:val="standardContextual"/>
              </w:rPr>
            </w:pPr>
            <w:r w:rsidRPr="00A02DBE">
              <w:rPr>
                <w:rFonts w:ascii="Times New Roman" w:hAnsi="Times New Roman" w:cs="Times New Roman"/>
                <w:shd w:val="clear" w:color="auto" w:fill="FFFFFF"/>
              </w:rPr>
              <w:t>Пропонується більш детально розглянути відповідні пропозиції під час формування наступних змін до відповідного додатку до Порядку контролю</w:t>
            </w:r>
            <w:r w:rsidRPr="00985B6F">
              <w:rPr>
                <w:rFonts w:ascii="Times New Roman" w:eastAsia="Calibri" w:hAnsi="Times New Roman" w:cs="Times New Roman"/>
                <w:kern w:val="2"/>
                <w14:ligatures w14:val="standardContextual"/>
              </w:rPr>
              <w:t xml:space="preserve"> </w:t>
            </w:r>
          </w:p>
        </w:tc>
      </w:tr>
    </w:tbl>
    <w:p w14:paraId="385713E5" w14:textId="77777777" w:rsidR="003E223D" w:rsidRPr="00985B6F" w:rsidRDefault="003E223D" w:rsidP="00530BFE">
      <w:pPr>
        <w:spacing w:after="0" w:line="240" w:lineRule="auto"/>
        <w:ind w:firstLine="540"/>
        <w:rPr>
          <w:rFonts w:ascii="Times New Roman" w:hAnsi="Times New Roman" w:cs="Times New Roman"/>
          <w:shd w:val="clear" w:color="auto" w:fill="FFFFFF"/>
        </w:rPr>
      </w:pPr>
    </w:p>
    <w:sectPr w:rsidR="003E223D" w:rsidRPr="00985B6F" w:rsidSect="009C3821">
      <w:headerReference w:type="default" r:id="rId17"/>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E1D70" w14:textId="77777777" w:rsidR="002C0F4B" w:rsidRDefault="002C0F4B" w:rsidP="00605DDB">
      <w:pPr>
        <w:spacing w:after="0" w:line="240" w:lineRule="auto"/>
      </w:pPr>
      <w:r>
        <w:separator/>
      </w:r>
    </w:p>
  </w:endnote>
  <w:endnote w:type="continuationSeparator" w:id="0">
    <w:p w14:paraId="499E1A88" w14:textId="77777777" w:rsidR="002C0F4B" w:rsidRDefault="002C0F4B" w:rsidP="00605DDB">
      <w:pPr>
        <w:spacing w:after="0" w:line="240" w:lineRule="auto"/>
      </w:pPr>
      <w:r>
        <w:continuationSeparator/>
      </w:r>
    </w:p>
  </w:endnote>
  <w:endnote w:type="continuationNotice" w:id="1">
    <w:p w14:paraId="508723D6" w14:textId="77777777" w:rsidR="002C0F4B" w:rsidRDefault="002C0F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551A3" w14:textId="77777777" w:rsidR="002C0F4B" w:rsidRDefault="002C0F4B" w:rsidP="00605DDB">
      <w:pPr>
        <w:spacing w:after="0" w:line="240" w:lineRule="auto"/>
      </w:pPr>
      <w:r>
        <w:separator/>
      </w:r>
    </w:p>
  </w:footnote>
  <w:footnote w:type="continuationSeparator" w:id="0">
    <w:p w14:paraId="43304DD6" w14:textId="77777777" w:rsidR="002C0F4B" w:rsidRDefault="002C0F4B" w:rsidP="00605DDB">
      <w:pPr>
        <w:spacing w:after="0" w:line="240" w:lineRule="auto"/>
      </w:pPr>
      <w:r>
        <w:continuationSeparator/>
      </w:r>
    </w:p>
  </w:footnote>
  <w:footnote w:type="continuationNotice" w:id="1">
    <w:p w14:paraId="02780CAB" w14:textId="77777777" w:rsidR="002C0F4B" w:rsidRDefault="002C0F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841880560"/>
      <w:docPartObj>
        <w:docPartGallery w:val="Page Numbers (Top of Page)"/>
        <w:docPartUnique/>
      </w:docPartObj>
    </w:sdtPr>
    <w:sdtEndPr/>
    <w:sdtContent>
      <w:p w14:paraId="6A70D77F" w14:textId="7E9FF089" w:rsidR="00250C42" w:rsidRPr="00250C42" w:rsidRDefault="00250C42">
        <w:pPr>
          <w:pStyle w:val="aa"/>
          <w:jc w:val="center"/>
          <w:rPr>
            <w:rFonts w:ascii="Times New Roman" w:hAnsi="Times New Roman" w:cs="Times New Roman"/>
          </w:rPr>
        </w:pPr>
        <w:r w:rsidRPr="00250C42">
          <w:rPr>
            <w:rFonts w:ascii="Times New Roman" w:hAnsi="Times New Roman" w:cs="Times New Roman"/>
          </w:rPr>
          <w:fldChar w:fldCharType="begin"/>
        </w:r>
        <w:r w:rsidRPr="00250C42">
          <w:rPr>
            <w:rFonts w:ascii="Times New Roman" w:hAnsi="Times New Roman" w:cs="Times New Roman"/>
          </w:rPr>
          <w:instrText>PAGE   \* MERGEFORMAT</w:instrText>
        </w:r>
        <w:r w:rsidRPr="00250C42">
          <w:rPr>
            <w:rFonts w:ascii="Times New Roman" w:hAnsi="Times New Roman" w:cs="Times New Roman"/>
          </w:rPr>
          <w:fldChar w:fldCharType="separate"/>
        </w:r>
        <w:r w:rsidRPr="00250C42">
          <w:rPr>
            <w:rFonts w:ascii="Times New Roman" w:hAnsi="Times New Roman" w:cs="Times New Roman"/>
          </w:rPr>
          <w:t>2</w:t>
        </w:r>
        <w:r w:rsidRPr="00250C42">
          <w:rPr>
            <w:rFonts w:ascii="Times New Roman" w:hAnsi="Times New Roman" w:cs="Times New Roman"/>
          </w:rPr>
          <w:fldChar w:fldCharType="end"/>
        </w:r>
      </w:p>
    </w:sdtContent>
  </w:sdt>
  <w:p w14:paraId="1EC3C19D" w14:textId="77777777" w:rsidR="00250C42" w:rsidRPr="00250C42" w:rsidRDefault="00250C42">
    <w:pPr>
      <w:pStyle w:val="aa"/>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2F1B"/>
    <w:multiLevelType w:val="hybridMultilevel"/>
    <w:tmpl w:val="2CECE38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1168C6"/>
    <w:multiLevelType w:val="hybridMultilevel"/>
    <w:tmpl w:val="1DA21DA6"/>
    <w:lvl w:ilvl="0" w:tplc="BFA21D02">
      <w:start w:val="3"/>
      <w:numFmt w:val="bullet"/>
      <w:lvlText w:val="-"/>
      <w:lvlJc w:val="left"/>
      <w:pPr>
        <w:ind w:left="408" w:hanging="360"/>
      </w:pPr>
      <w:rPr>
        <w:rFonts w:ascii="Calibri" w:eastAsiaTheme="minorHAnsi" w:hAnsi="Calibri" w:cs="Calibri"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2" w15:restartNumberingAfterBreak="0">
    <w:nsid w:val="20576C49"/>
    <w:multiLevelType w:val="hybridMultilevel"/>
    <w:tmpl w:val="E17E33EC"/>
    <w:lvl w:ilvl="0" w:tplc="04220011">
      <w:start w:val="1"/>
      <w:numFmt w:val="decimal"/>
      <w:lvlText w:val="%1)"/>
      <w:lvlJc w:val="left"/>
      <w:pPr>
        <w:ind w:left="72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95B3E98"/>
    <w:multiLevelType w:val="hybridMultilevel"/>
    <w:tmpl w:val="32D20C7A"/>
    <w:lvl w:ilvl="0" w:tplc="7FB6CE26">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C6020E1"/>
    <w:multiLevelType w:val="hybridMultilevel"/>
    <w:tmpl w:val="6468832E"/>
    <w:lvl w:ilvl="0" w:tplc="E53CF64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ECC633B"/>
    <w:multiLevelType w:val="hybridMultilevel"/>
    <w:tmpl w:val="8466D54E"/>
    <w:lvl w:ilvl="0" w:tplc="CF2EB1EE">
      <w:start w:val="2"/>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759E7F14"/>
    <w:multiLevelType w:val="hybridMultilevel"/>
    <w:tmpl w:val="E17E33EC"/>
    <w:lvl w:ilvl="0" w:tplc="04220011">
      <w:start w:val="1"/>
      <w:numFmt w:val="decimal"/>
      <w:lvlText w:val="%1)"/>
      <w:lvlJc w:val="left"/>
      <w:pPr>
        <w:ind w:left="36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F3C"/>
    <w:rsid w:val="00000DFB"/>
    <w:rsid w:val="00001CAB"/>
    <w:rsid w:val="000069D0"/>
    <w:rsid w:val="00010FBA"/>
    <w:rsid w:val="00011FBF"/>
    <w:rsid w:val="000121E4"/>
    <w:rsid w:val="00015455"/>
    <w:rsid w:val="00016BAA"/>
    <w:rsid w:val="00016C62"/>
    <w:rsid w:val="000176AB"/>
    <w:rsid w:val="0002075B"/>
    <w:rsid w:val="0002243B"/>
    <w:rsid w:val="00022B84"/>
    <w:rsid w:val="00027809"/>
    <w:rsid w:val="00033C30"/>
    <w:rsid w:val="00033E03"/>
    <w:rsid w:val="00035FD1"/>
    <w:rsid w:val="00036211"/>
    <w:rsid w:val="00037A64"/>
    <w:rsid w:val="00040138"/>
    <w:rsid w:val="00040828"/>
    <w:rsid w:val="00041673"/>
    <w:rsid w:val="00043138"/>
    <w:rsid w:val="00046BDF"/>
    <w:rsid w:val="00046C8F"/>
    <w:rsid w:val="000511AE"/>
    <w:rsid w:val="00051DF8"/>
    <w:rsid w:val="000523BF"/>
    <w:rsid w:val="00053A61"/>
    <w:rsid w:val="0005452B"/>
    <w:rsid w:val="000552B9"/>
    <w:rsid w:val="00057840"/>
    <w:rsid w:val="00062CA9"/>
    <w:rsid w:val="00064461"/>
    <w:rsid w:val="00066084"/>
    <w:rsid w:val="0006786F"/>
    <w:rsid w:val="00067A2E"/>
    <w:rsid w:val="0007245D"/>
    <w:rsid w:val="0007260F"/>
    <w:rsid w:val="00074126"/>
    <w:rsid w:val="00076F30"/>
    <w:rsid w:val="000777C9"/>
    <w:rsid w:val="00081152"/>
    <w:rsid w:val="000813C6"/>
    <w:rsid w:val="00083546"/>
    <w:rsid w:val="00083E8E"/>
    <w:rsid w:val="000844DF"/>
    <w:rsid w:val="00084ED1"/>
    <w:rsid w:val="00084FED"/>
    <w:rsid w:val="0008672A"/>
    <w:rsid w:val="000925D0"/>
    <w:rsid w:val="000927B9"/>
    <w:rsid w:val="00093F39"/>
    <w:rsid w:val="000A0BE9"/>
    <w:rsid w:val="000A13A5"/>
    <w:rsid w:val="000A1493"/>
    <w:rsid w:val="000A6365"/>
    <w:rsid w:val="000A7605"/>
    <w:rsid w:val="000B0038"/>
    <w:rsid w:val="000B4117"/>
    <w:rsid w:val="000B4446"/>
    <w:rsid w:val="000B4B66"/>
    <w:rsid w:val="000C4A7D"/>
    <w:rsid w:val="000C5BC4"/>
    <w:rsid w:val="000C5DB1"/>
    <w:rsid w:val="000C62CF"/>
    <w:rsid w:val="000C7D04"/>
    <w:rsid w:val="000D0ECF"/>
    <w:rsid w:val="000D3B8E"/>
    <w:rsid w:val="000D5FFC"/>
    <w:rsid w:val="000D6375"/>
    <w:rsid w:val="000E0418"/>
    <w:rsid w:val="000E1166"/>
    <w:rsid w:val="000E2B39"/>
    <w:rsid w:val="000E745E"/>
    <w:rsid w:val="000F14E6"/>
    <w:rsid w:val="000F3D3F"/>
    <w:rsid w:val="000F3FD7"/>
    <w:rsid w:val="000F55E5"/>
    <w:rsid w:val="000F5E6D"/>
    <w:rsid w:val="0010084F"/>
    <w:rsid w:val="001014F7"/>
    <w:rsid w:val="00102692"/>
    <w:rsid w:val="00103951"/>
    <w:rsid w:val="001039A8"/>
    <w:rsid w:val="00103B31"/>
    <w:rsid w:val="001041ED"/>
    <w:rsid w:val="001046E6"/>
    <w:rsid w:val="001049A9"/>
    <w:rsid w:val="00104AA0"/>
    <w:rsid w:val="00107323"/>
    <w:rsid w:val="00111B12"/>
    <w:rsid w:val="001129C4"/>
    <w:rsid w:val="00113616"/>
    <w:rsid w:val="00116F9F"/>
    <w:rsid w:val="00121A38"/>
    <w:rsid w:val="00124D06"/>
    <w:rsid w:val="00130074"/>
    <w:rsid w:val="0013250E"/>
    <w:rsid w:val="00136F19"/>
    <w:rsid w:val="00137D9B"/>
    <w:rsid w:val="00141C38"/>
    <w:rsid w:val="00141EB2"/>
    <w:rsid w:val="00143005"/>
    <w:rsid w:val="0014650B"/>
    <w:rsid w:val="00150464"/>
    <w:rsid w:val="00151F11"/>
    <w:rsid w:val="00152BD6"/>
    <w:rsid w:val="0015472E"/>
    <w:rsid w:val="00157FF4"/>
    <w:rsid w:val="00161AE9"/>
    <w:rsid w:val="001633F0"/>
    <w:rsid w:val="00164105"/>
    <w:rsid w:val="00164CEB"/>
    <w:rsid w:val="00164EE8"/>
    <w:rsid w:val="00166110"/>
    <w:rsid w:val="001674BA"/>
    <w:rsid w:val="00183A38"/>
    <w:rsid w:val="001853D4"/>
    <w:rsid w:val="00186B59"/>
    <w:rsid w:val="001872D0"/>
    <w:rsid w:val="001875C9"/>
    <w:rsid w:val="00190CC7"/>
    <w:rsid w:val="00192B51"/>
    <w:rsid w:val="00193220"/>
    <w:rsid w:val="00193372"/>
    <w:rsid w:val="00193F3A"/>
    <w:rsid w:val="00194D2F"/>
    <w:rsid w:val="001969A5"/>
    <w:rsid w:val="00196E08"/>
    <w:rsid w:val="001A4347"/>
    <w:rsid w:val="001A5136"/>
    <w:rsid w:val="001A68AC"/>
    <w:rsid w:val="001B0390"/>
    <w:rsid w:val="001B3EE0"/>
    <w:rsid w:val="001B4893"/>
    <w:rsid w:val="001B6A85"/>
    <w:rsid w:val="001B7432"/>
    <w:rsid w:val="001B78F5"/>
    <w:rsid w:val="001C275F"/>
    <w:rsid w:val="001C3262"/>
    <w:rsid w:val="001C57B4"/>
    <w:rsid w:val="001C5A1A"/>
    <w:rsid w:val="001D0E91"/>
    <w:rsid w:val="001D13A4"/>
    <w:rsid w:val="001D1793"/>
    <w:rsid w:val="001D28B0"/>
    <w:rsid w:val="001D3527"/>
    <w:rsid w:val="001D37FE"/>
    <w:rsid w:val="001D3EF2"/>
    <w:rsid w:val="001E0C41"/>
    <w:rsid w:val="001E1070"/>
    <w:rsid w:val="001E16DC"/>
    <w:rsid w:val="001E2275"/>
    <w:rsid w:val="001E2EE7"/>
    <w:rsid w:val="001E7F2D"/>
    <w:rsid w:val="001F1F82"/>
    <w:rsid w:val="001F302F"/>
    <w:rsid w:val="001F4634"/>
    <w:rsid w:val="001F579D"/>
    <w:rsid w:val="001F71B3"/>
    <w:rsid w:val="00200AD5"/>
    <w:rsid w:val="0020317A"/>
    <w:rsid w:val="0020324C"/>
    <w:rsid w:val="00206471"/>
    <w:rsid w:val="0021246D"/>
    <w:rsid w:val="00213473"/>
    <w:rsid w:val="00216276"/>
    <w:rsid w:val="002209AF"/>
    <w:rsid w:val="00221354"/>
    <w:rsid w:val="0022249E"/>
    <w:rsid w:val="00224949"/>
    <w:rsid w:val="00225AED"/>
    <w:rsid w:val="00225B52"/>
    <w:rsid w:val="00227262"/>
    <w:rsid w:val="00230C73"/>
    <w:rsid w:val="0023392A"/>
    <w:rsid w:val="00243F31"/>
    <w:rsid w:val="002446C1"/>
    <w:rsid w:val="002448B6"/>
    <w:rsid w:val="0024541E"/>
    <w:rsid w:val="00245B80"/>
    <w:rsid w:val="0024620F"/>
    <w:rsid w:val="002468A7"/>
    <w:rsid w:val="002469A1"/>
    <w:rsid w:val="00246EB1"/>
    <w:rsid w:val="00247D3B"/>
    <w:rsid w:val="00250C42"/>
    <w:rsid w:val="00252DDB"/>
    <w:rsid w:val="00253AF3"/>
    <w:rsid w:val="00255E0F"/>
    <w:rsid w:val="002577D3"/>
    <w:rsid w:val="00260BD3"/>
    <w:rsid w:val="002612AB"/>
    <w:rsid w:val="00263D0E"/>
    <w:rsid w:val="00272F58"/>
    <w:rsid w:val="002734BC"/>
    <w:rsid w:val="00284068"/>
    <w:rsid w:val="00286A17"/>
    <w:rsid w:val="00287481"/>
    <w:rsid w:val="00290A05"/>
    <w:rsid w:val="002913AD"/>
    <w:rsid w:val="00291CB3"/>
    <w:rsid w:val="00295079"/>
    <w:rsid w:val="002A22BB"/>
    <w:rsid w:val="002A33B3"/>
    <w:rsid w:val="002A3906"/>
    <w:rsid w:val="002A4787"/>
    <w:rsid w:val="002B193B"/>
    <w:rsid w:val="002B2144"/>
    <w:rsid w:val="002B569F"/>
    <w:rsid w:val="002B715A"/>
    <w:rsid w:val="002C068F"/>
    <w:rsid w:val="002C0F4B"/>
    <w:rsid w:val="002C1401"/>
    <w:rsid w:val="002C3669"/>
    <w:rsid w:val="002C449F"/>
    <w:rsid w:val="002C7717"/>
    <w:rsid w:val="002D46FA"/>
    <w:rsid w:val="002D5515"/>
    <w:rsid w:val="002D65AF"/>
    <w:rsid w:val="002E2806"/>
    <w:rsid w:val="002E405C"/>
    <w:rsid w:val="002F0059"/>
    <w:rsid w:val="002F2044"/>
    <w:rsid w:val="002F3AB3"/>
    <w:rsid w:val="002F540C"/>
    <w:rsid w:val="002F66E7"/>
    <w:rsid w:val="0030024F"/>
    <w:rsid w:val="0030581D"/>
    <w:rsid w:val="00305F35"/>
    <w:rsid w:val="00307F16"/>
    <w:rsid w:val="00310C66"/>
    <w:rsid w:val="00312765"/>
    <w:rsid w:val="00313EB0"/>
    <w:rsid w:val="00314E4B"/>
    <w:rsid w:val="00315832"/>
    <w:rsid w:val="003206BB"/>
    <w:rsid w:val="00320FD1"/>
    <w:rsid w:val="00322B63"/>
    <w:rsid w:val="00324E1F"/>
    <w:rsid w:val="00326708"/>
    <w:rsid w:val="00327B8A"/>
    <w:rsid w:val="00327DB2"/>
    <w:rsid w:val="00333B99"/>
    <w:rsid w:val="00334AA7"/>
    <w:rsid w:val="003414D1"/>
    <w:rsid w:val="00341E4D"/>
    <w:rsid w:val="003433BD"/>
    <w:rsid w:val="003434C8"/>
    <w:rsid w:val="00343D47"/>
    <w:rsid w:val="00345C29"/>
    <w:rsid w:val="00346D7B"/>
    <w:rsid w:val="00347ED0"/>
    <w:rsid w:val="00350088"/>
    <w:rsid w:val="00350747"/>
    <w:rsid w:val="00352DAD"/>
    <w:rsid w:val="00353CF8"/>
    <w:rsid w:val="00354066"/>
    <w:rsid w:val="00354626"/>
    <w:rsid w:val="00355377"/>
    <w:rsid w:val="0035794D"/>
    <w:rsid w:val="00360FE5"/>
    <w:rsid w:val="00361EAB"/>
    <w:rsid w:val="00362C26"/>
    <w:rsid w:val="00363077"/>
    <w:rsid w:val="003700D1"/>
    <w:rsid w:val="00370BCE"/>
    <w:rsid w:val="00375D9C"/>
    <w:rsid w:val="00377B57"/>
    <w:rsid w:val="0038197D"/>
    <w:rsid w:val="0038368F"/>
    <w:rsid w:val="0038439A"/>
    <w:rsid w:val="00387581"/>
    <w:rsid w:val="00391374"/>
    <w:rsid w:val="003939A3"/>
    <w:rsid w:val="00394B5B"/>
    <w:rsid w:val="00395570"/>
    <w:rsid w:val="003A2EB4"/>
    <w:rsid w:val="003A38F4"/>
    <w:rsid w:val="003A45E5"/>
    <w:rsid w:val="003A4D50"/>
    <w:rsid w:val="003A60C3"/>
    <w:rsid w:val="003B1EF1"/>
    <w:rsid w:val="003B628A"/>
    <w:rsid w:val="003B6A5B"/>
    <w:rsid w:val="003C2A54"/>
    <w:rsid w:val="003C647B"/>
    <w:rsid w:val="003C7DD0"/>
    <w:rsid w:val="003D0781"/>
    <w:rsid w:val="003D2C4D"/>
    <w:rsid w:val="003D37D9"/>
    <w:rsid w:val="003D5BDF"/>
    <w:rsid w:val="003D5E35"/>
    <w:rsid w:val="003D6DB0"/>
    <w:rsid w:val="003E223D"/>
    <w:rsid w:val="003E36DC"/>
    <w:rsid w:val="003E3B5D"/>
    <w:rsid w:val="003E558A"/>
    <w:rsid w:val="003E6E78"/>
    <w:rsid w:val="003F0695"/>
    <w:rsid w:val="003F1E7E"/>
    <w:rsid w:val="003F78E5"/>
    <w:rsid w:val="00401EAC"/>
    <w:rsid w:val="00402E76"/>
    <w:rsid w:val="00403375"/>
    <w:rsid w:val="0040472E"/>
    <w:rsid w:val="00407C2E"/>
    <w:rsid w:val="00410829"/>
    <w:rsid w:val="00411123"/>
    <w:rsid w:val="004136D2"/>
    <w:rsid w:val="0041601F"/>
    <w:rsid w:val="004204F3"/>
    <w:rsid w:val="00420CE4"/>
    <w:rsid w:val="00421220"/>
    <w:rsid w:val="004228DC"/>
    <w:rsid w:val="0042342E"/>
    <w:rsid w:val="004247AD"/>
    <w:rsid w:val="004261EA"/>
    <w:rsid w:val="004265F0"/>
    <w:rsid w:val="00426B4F"/>
    <w:rsid w:val="004308B3"/>
    <w:rsid w:val="00434694"/>
    <w:rsid w:val="0043567A"/>
    <w:rsid w:val="00442187"/>
    <w:rsid w:val="004446AD"/>
    <w:rsid w:val="004454EE"/>
    <w:rsid w:val="004476CA"/>
    <w:rsid w:val="004501F5"/>
    <w:rsid w:val="00451FCC"/>
    <w:rsid w:val="00453B38"/>
    <w:rsid w:val="00453E0F"/>
    <w:rsid w:val="00455218"/>
    <w:rsid w:val="004569BF"/>
    <w:rsid w:val="00460420"/>
    <w:rsid w:val="004615D0"/>
    <w:rsid w:val="004616F7"/>
    <w:rsid w:val="004630FF"/>
    <w:rsid w:val="00467A7A"/>
    <w:rsid w:val="00467B6F"/>
    <w:rsid w:val="00477599"/>
    <w:rsid w:val="00480601"/>
    <w:rsid w:val="0048235E"/>
    <w:rsid w:val="00482A09"/>
    <w:rsid w:val="00482BA8"/>
    <w:rsid w:val="0049135E"/>
    <w:rsid w:val="004918E1"/>
    <w:rsid w:val="00492546"/>
    <w:rsid w:val="004943C2"/>
    <w:rsid w:val="004951A2"/>
    <w:rsid w:val="00495F00"/>
    <w:rsid w:val="00495F3B"/>
    <w:rsid w:val="004A06F6"/>
    <w:rsid w:val="004A1344"/>
    <w:rsid w:val="004A1ABD"/>
    <w:rsid w:val="004A3C76"/>
    <w:rsid w:val="004A77F4"/>
    <w:rsid w:val="004B0D5D"/>
    <w:rsid w:val="004B1C27"/>
    <w:rsid w:val="004B5099"/>
    <w:rsid w:val="004B6609"/>
    <w:rsid w:val="004C7334"/>
    <w:rsid w:val="004D294E"/>
    <w:rsid w:val="004D3403"/>
    <w:rsid w:val="004D4B98"/>
    <w:rsid w:val="004D7DE4"/>
    <w:rsid w:val="004E120B"/>
    <w:rsid w:val="004E48AE"/>
    <w:rsid w:val="004E4C27"/>
    <w:rsid w:val="004E57B4"/>
    <w:rsid w:val="004E6129"/>
    <w:rsid w:val="004F47FF"/>
    <w:rsid w:val="004F48AE"/>
    <w:rsid w:val="004F6275"/>
    <w:rsid w:val="004F6385"/>
    <w:rsid w:val="00500196"/>
    <w:rsid w:val="0050035A"/>
    <w:rsid w:val="00501D3C"/>
    <w:rsid w:val="00504946"/>
    <w:rsid w:val="005133E6"/>
    <w:rsid w:val="005151CD"/>
    <w:rsid w:val="00516287"/>
    <w:rsid w:val="005174C0"/>
    <w:rsid w:val="00521D67"/>
    <w:rsid w:val="00521DF2"/>
    <w:rsid w:val="00522F50"/>
    <w:rsid w:val="00525BEA"/>
    <w:rsid w:val="00525D4B"/>
    <w:rsid w:val="005265AA"/>
    <w:rsid w:val="0052697A"/>
    <w:rsid w:val="0053044B"/>
    <w:rsid w:val="0053060E"/>
    <w:rsid w:val="00530625"/>
    <w:rsid w:val="00530A0D"/>
    <w:rsid w:val="00530BFE"/>
    <w:rsid w:val="00532E09"/>
    <w:rsid w:val="00533619"/>
    <w:rsid w:val="00534DFB"/>
    <w:rsid w:val="00535D99"/>
    <w:rsid w:val="0053627B"/>
    <w:rsid w:val="00537108"/>
    <w:rsid w:val="00540C58"/>
    <w:rsid w:val="00541E55"/>
    <w:rsid w:val="00542F41"/>
    <w:rsid w:val="005430A9"/>
    <w:rsid w:val="00543CA7"/>
    <w:rsid w:val="00544635"/>
    <w:rsid w:val="00546D0F"/>
    <w:rsid w:val="005532A3"/>
    <w:rsid w:val="00556203"/>
    <w:rsid w:val="00557364"/>
    <w:rsid w:val="00557B48"/>
    <w:rsid w:val="005600FF"/>
    <w:rsid w:val="005621BC"/>
    <w:rsid w:val="005663A5"/>
    <w:rsid w:val="00567DF9"/>
    <w:rsid w:val="00571862"/>
    <w:rsid w:val="005727F2"/>
    <w:rsid w:val="00574C17"/>
    <w:rsid w:val="00575403"/>
    <w:rsid w:val="0057701C"/>
    <w:rsid w:val="00580351"/>
    <w:rsid w:val="00580459"/>
    <w:rsid w:val="005835E1"/>
    <w:rsid w:val="00583825"/>
    <w:rsid w:val="0058585E"/>
    <w:rsid w:val="00585CFD"/>
    <w:rsid w:val="0058655D"/>
    <w:rsid w:val="00586C70"/>
    <w:rsid w:val="00586FA4"/>
    <w:rsid w:val="00587DCA"/>
    <w:rsid w:val="00590FAC"/>
    <w:rsid w:val="00593059"/>
    <w:rsid w:val="00596B14"/>
    <w:rsid w:val="00597E8E"/>
    <w:rsid w:val="005A0AFE"/>
    <w:rsid w:val="005B0872"/>
    <w:rsid w:val="005B0F58"/>
    <w:rsid w:val="005B1DBE"/>
    <w:rsid w:val="005B4A08"/>
    <w:rsid w:val="005B5606"/>
    <w:rsid w:val="005B5C02"/>
    <w:rsid w:val="005C3C36"/>
    <w:rsid w:val="005C63EB"/>
    <w:rsid w:val="005C662F"/>
    <w:rsid w:val="005D0440"/>
    <w:rsid w:val="005D1DA5"/>
    <w:rsid w:val="005E3C17"/>
    <w:rsid w:val="005E3FC6"/>
    <w:rsid w:val="005E565E"/>
    <w:rsid w:val="005E7BF4"/>
    <w:rsid w:val="005F1689"/>
    <w:rsid w:val="005F2572"/>
    <w:rsid w:val="005F26D2"/>
    <w:rsid w:val="005F4D94"/>
    <w:rsid w:val="005F6769"/>
    <w:rsid w:val="006037DC"/>
    <w:rsid w:val="00605DDB"/>
    <w:rsid w:val="0060610A"/>
    <w:rsid w:val="00610330"/>
    <w:rsid w:val="00610F61"/>
    <w:rsid w:val="00612CFA"/>
    <w:rsid w:val="0061594A"/>
    <w:rsid w:val="00617123"/>
    <w:rsid w:val="00620A28"/>
    <w:rsid w:val="0062131B"/>
    <w:rsid w:val="00621B20"/>
    <w:rsid w:val="00623300"/>
    <w:rsid w:val="0062405E"/>
    <w:rsid w:val="00626992"/>
    <w:rsid w:val="00633A98"/>
    <w:rsid w:val="00635F41"/>
    <w:rsid w:val="006366BC"/>
    <w:rsid w:val="00641299"/>
    <w:rsid w:val="006442B8"/>
    <w:rsid w:val="00645C01"/>
    <w:rsid w:val="006470F6"/>
    <w:rsid w:val="00647ED5"/>
    <w:rsid w:val="00650375"/>
    <w:rsid w:val="00651853"/>
    <w:rsid w:val="00653226"/>
    <w:rsid w:val="00653F38"/>
    <w:rsid w:val="00657CF9"/>
    <w:rsid w:val="00660788"/>
    <w:rsid w:val="00661E20"/>
    <w:rsid w:val="006620C7"/>
    <w:rsid w:val="00662C08"/>
    <w:rsid w:val="00664613"/>
    <w:rsid w:val="00665245"/>
    <w:rsid w:val="00666C3E"/>
    <w:rsid w:val="0067506F"/>
    <w:rsid w:val="00675375"/>
    <w:rsid w:val="00675D66"/>
    <w:rsid w:val="00677BBD"/>
    <w:rsid w:val="006806D5"/>
    <w:rsid w:val="00682914"/>
    <w:rsid w:val="00687B5C"/>
    <w:rsid w:val="00692378"/>
    <w:rsid w:val="00693CB3"/>
    <w:rsid w:val="006949AC"/>
    <w:rsid w:val="00696DDE"/>
    <w:rsid w:val="0069714F"/>
    <w:rsid w:val="00697167"/>
    <w:rsid w:val="006A0B17"/>
    <w:rsid w:val="006A24B0"/>
    <w:rsid w:val="006A44F3"/>
    <w:rsid w:val="006A44FC"/>
    <w:rsid w:val="006B0D03"/>
    <w:rsid w:val="006B23B7"/>
    <w:rsid w:val="006B3D8C"/>
    <w:rsid w:val="006B3DD8"/>
    <w:rsid w:val="006B4DA2"/>
    <w:rsid w:val="006B51ED"/>
    <w:rsid w:val="006B74B4"/>
    <w:rsid w:val="006B7C37"/>
    <w:rsid w:val="006B7E57"/>
    <w:rsid w:val="006C06D2"/>
    <w:rsid w:val="006C21FB"/>
    <w:rsid w:val="006C4D27"/>
    <w:rsid w:val="006C6783"/>
    <w:rsid w:val="006C7177"/>
    <w:rsid w:val="006D056B"/>
    <w:rsid w:val="006D1AB9"/>
    <w:rsid w:val="006D259E"/>
    <w:rsid w:val="006D3AB7"/>
    <w:rsid w:val="006D3E37"/>
    <w:rsid w:val="006E4995"/>
    <w:rsid w:val="006E611D"/>
    <w:rsid w:val="006E676A"/>
    <w:rsid w:val="006E694A"/>
    <w:rsid w:val="006E6CA7"/>
    <w:rsid w:val="006E6ECF"/>
    <w:rsid w:val="006E6F93"/>
    <w:rsid w:val="006F1857"/>
    <w:rsid w:val="006F284A"/>
    <w:rsid w:val="006F3340"/>
    <w:rsid w:val="006F3CCB"/>
    <w:rsid w:val="006F5956"/>
    <w:rsid w:val="006F5A70"/>
    <w:rsid w:val="006F5C06"/>
    <w:rsid w:val="006F5E9B"/>
    <w:rsid w:val="00701A05"/>
    <w:rsid w:val="00701A45"/>
    <w:rsid w:val="00701FC1"/>
    <w:rsid w:val="00703476"/>
    <w:rsid w:val="0070547B"/>
    <w:rsid w:val="00707D66"/>
    <w:rsid w:val="00712682"/>
    <w:rsid w:val="00715150"/>
    <w:rsid w:val="007167D4"/>
    <w:rsid w:val="00721AD5"/>
    <w:rsid w:val="007237E8"/>
    <w:rsid w:val="007268BF"/>
    <w:rsid w:val="0072771E"/>
    <w:rsid w:val="007278E7"/>
    <w:rsid w:val="0073052F"/>
    <w:rsid w:val="00730CC9"/>
    <w:rsid w:val="007328E0"/>
    <w:rsid w:val="00732C3B"/>
    <w:rsid w:val="00735429"/>
    <w:rsid w:val="00737BDF"/>
    <w:rsid w:val="00746415"/>
    <w:rsid w:val="00747814"/>
    <w:rsid w:val="0075068C"/>
    <w:rsid w:val="00750783"/>
    <w:rsid w:val="00750961"/>
    <w:rsid w:val="00753264"/>
    <w:rsid w:val="0075412C"/>
    <w:rsid w:val="007564E7"/>
    <w:rsid w:val="00756881"/>
    <w:rsid w:val="0076059B"/>
    <w:rsid w:val="00762C1B"/>
    <w:rsid w:val="00763705"/>
    <w:rsid w:val="00765EA7"/>
    <w:rsid w:val="00766B40"/>
    <w:rsid w:val="0076747F"/>
    <w:rsid w:val="007704EC"/>
    <w:rsid w:val="007729BB"/>
    <w:rsid w:val="007731FF"/>
    <w:rsid w:val="007733F0"/>
    <w:rsid w:val="007750F5"/>
    <w:rsid w:val="00776B79"/>
    <w:rsid w:val="00781BA0"/>
    <w:rsid w:val="0078436D"/>
    <w:rsid w:val="00784D2A"/>
    <w:rsid w:val="00786B01"/>
    <w:rsid w:val="00786D44"/>
    <w:rsid w:val="0078795C"/>
    <w:rsid w:val="007915D4"/>
    <w:rsid w:val="007920A7"/>
    <w:rsid w:val="00793F03"/>
    <w:rsid w:val="0079660D"/>
    <w:rsid w:val="007A14E3"/>
    <w:rsid w:val="007A4685"/>
    <w:rsid w:val="007B0C6B"/>
    <w:rsid w:val="007B1826"/>
    <w:rsid w:val="007B2AF4"/>
    <w:rsid w:val="007B688B"/>
    <w:rsid w:val="007B6F8E"/>
    <w:rsid w:val="007C075A"/>
    <w:rsid w:val="007C0AA5"/>
    <w:rsid w:val="007C0D00"/>
    <w:rsid w:val="007C12C5"/>
    <w:rsid w:val="007C2B45"/>
    <w:rsid w:val="007C33AA"/>
    <w:rsid w:val="007C4585"/>
    <w:rsid w:val="007C6CC1"/>
    <w:rsid w:val="007C753C"/>
    <w:rsid w:val="007D475B"/>
    <w:rsid w:val="007D4776"/>
    <w:rsid w:val="007D6259"/>
    <w:rsid w:val="007D64FB"/>
    <w:rsid w:val="007D68E4"/>
    <w:rsid w:val="007D7009"/>
    <w:rsid w:val="007D79AD"/>
    <w:rsid w:val="007D7C65"/>
    <w:rsid w:val="007E1E59"/>
    <w:rsid w:val="007E278F"/>
    <w:rsid w:val="007E2912"/>
    <w:rsid w:val="007E3D54"/>
    <w:rsid w:val="007E3DE2"/>
    <w:rsid w:val="007E403B"/>
    <w:rsid w:val="007E5DB8"/>
    <w:rsid w:val="007E7880"/>
    <w:rsid w:val="007F0946"/>
    <w:rsid w:val="007F115B"/>
    <w:rsid w:val="007F17B5"/>
    <w:rsid w:val="007F21D5"/>
    <w:rsid w:val="007F2222"/>
    <w:rsid w:val="007F27DD"/>
    <w:rsid w:val="007F28F3"/>
    <w:rsid w:val="007F348C"/>
    <w:rsid w:val="007F34A3"/>
    <w:rsid w:val="007F3FD4"/>
    <w:rsid w:val="008002A6"/>
    <w:rsid w:val="008007B9"/>
    <w:rsid w:val="0080203B"/>
    <w:rsid w:val="008024DF"/>
    <w:rsid w:val="00804829"/>
    <w:rsid w:val="00805676"/>
    <w:rsid w:val="008117AD"/>
    <w:rsid w:val="00812A6D"/>
    <w:rsid w:val="00814A81"/>
    <w:rsid w:val="008173B1"/>
    <w:rsid w:val="0082187A"/>
    <w:rsid w:val="008249AB"/>
    <w:rsid w:val="0082675E"/>
    <w:rsid w:val="008301D3"/>
    <w:rsid w:val="008303A8"/>
    <w:rsid w:val="00831235"/>
    <w:rsid w:val="00831E77"/>
    <w:rsid w:val="0083205D"/>
    <w:rsid w:val="008342F3"/>
    <w:rsid w:val="00834434"/>
    <w:rsid w:val="008344E3"/>
    <w:rsid w:val="0083457D"/>
    <w:rsid w:val="008378B5"/>
    <w:rsid w:val="00837D71"/>
    <w:rsid w:val="008412E3"/>
    <w:rsid w:val="00841586"/>
    <w:rsid w:val="00842746"/>
    <w:rsid w:val="0084723A"/>
    <w:rsid w:val="008477B1"/>
    <w:rsid w:val="00847BCD"/>
    <w:rsid w:val="00853A5C"/>
    <w:rsid w:val="008553DA"/>
    <w:rsid w:val="00865396"/>
    <w:rsid w:val="00865482"/>
    <w:rsid w:val="008678FC"/>
    <w:rsid w:val="00870B47"/>
    <w:rsid w:val="00871087"/>
    <w:rsid w:val="0087215B"/>
    <w:rsid w:val="008743FC"/>
    <w:rsid w:val="008763ED"/>
    <w:rsid w:val="00881CDB"/>
    <w:rsid w:val="00887C92"/>
    <w:rsid w:val="0089177F"/>
    <w:rsid w:val="00892C17"/>
    <w:rsid w:val="00892C1E"/>
    <w:rsid w:val="008931D5"/>
    <w:rsid w:val="0089470A"/>
    <w:rsid w:val="00897BB1"/>
    <w:rsid w:val="008A141F"/>
    <w:rsid w:val="008A2EC2"/>
    <w:rsid w:val="008A2EEB"/>
    <w:rsid w:val="008A6D93"/>
    <w:rsid w:val="008B10A9"/>
    <w:rsid w:val="008B1498"/>
    <w:rsid w:val="008B186A"/>
    <w:rsid w:val="008B3CED"/>
    <w:rsid w:val="008B500B"/>
    <w:rsid w:val="008C235F"/>
    <w:rsid w:val="008C2434"/>
    <w:rsid w:val="008C2525"/>
    <w:rsid w:val="008C3DC9"/>
    <w:rsid w:val="008C7637"/>
    <w:rsid w:val="008D0719"/>
    <w:rsid w:val="008D0FDD"/>
    <w:rsid w:val="008D19D5"/>
    <w:rsid w:val="008D4C84"/>
    <w:rsid w:val="008E1138"/>
    <w:rsid w:val="008E19F5"/>
    <w:rsid w:val="008E2832"/>
    <w:rsid w:val="008F12DA"/>
    <w:rsid w:val="008F40DF"/>
    <w:rsid w:val="008F444B"/>
    <w:rsid w:val="008F74A2"/>
    <w:rsid w:val="00900595"/>
    <w:rsid w:val="00904E94"/>
    <w:rsid w:val="00906C88"/>
    <w:rsid w:val="00906CAF"/>
    <w:rsid w:val="009130AF"/>
    <w:rsid w:val="00915CF2"/>
    <w:rsid w:val="009206D1"/>
    <w:rsid w:val="00922EAB"/>
    <w:rsid w:val="00924F77"/>
    <w:rsid w:val="00926D1B"/>
    <w:rsid w:val="00931611"/>
    <w:rsid w:val="009329E2"/>
    <w:rsid w:val="00933A02"/>
    <w:rsid w:val="00935831"/>
    <w:rsid w:val="00936F75"/>
    <w:rsid w:val="009374C0"/>
    <w:rsid w:val="009400A3"/>
    <w:rsid w:val="00942EFC"/>
    <w:rsid w:val="00943D79"/>
    <w:rsid w:val="00943EC8"/>
    <w:rsid w:val="00946907"/>
    <w:rsid w:val="00946FC9"/>
    <w:rsid w:val="009515A2"/>
    <w:rsid w:val="009517CF"/>
    <w:rsid w:val="00952E32"/>
    <w:rsid w:val="00953B74"/>
    <w:rsid w:val="00953E41"/>
    <w:rsid w:val="00953EE2"/>
    <w:rsid w:val="0095683F"/>
    <w:rsid w:val="009571F1"/>
    <w:rsid w:val="00960665"/>
    <w:rsid w:val="00961BCF"/>
    <w:rsid w:val="009633CC"/>
    <w:rsid w:val="00963A53"/>
    <w:rsid w:val="00967FA1"/>
    <w:rsid w:val="00970B3A"/>
    <w:rsid w:val="009716A0"/>
    <w:rsid w:val="00971816"/>
    <w:rsid w:val="009744FE"/>
    <w:rsid w:val="00974702"/>
    <w:rsid w:val="00974C6C"/>
    <w:rsid w:val="009754F9"/>
    <w:rsid w:val="0097658F"/>
    <w:rsid w:val="00985B6F"/>
    <w:rsid w:val="00985F62"/>
    <w:rsid w:val="009901BB"/>
    <w:rsid w:val="009909D7"/>
    <w:rsid w:val="00991C6B"/>
    <w:rsid w:val="009923FC"/>
    <w:rsid w:val="00992549"/>
    <w:rsid w:val="0099276F"/>
    <w:rsid w:val="00992EBF"/>
    <w:rsid w:val="009934E7"/>
    <w:rsid w:val="0099501F"/>
    <w:rsid w:val="009954E3"/>
    <w:rsid w:val="00995AA0"/>
    <w:rsid w:val="009973E8"/>
    <w:rsid w:val="00997AFB"/>
    <w:rsid w:val="009A282C"/>
    <w:rsid w:val="009A3571"/>
    <w:rsid w:val="009B039A"/>
    <w:rsid w:val="009B5934"/>
    <w:rsid w:val="009B7503"/>
    <w:rsid w:val="009B77D1"/>
    <w:rsid w:val="009C008F"/>
    <w:rsid w:val="009C3821"/>
    <w:rsid w:val="009C4A63"/>
    <w:rsid w:val="009C7008"/>
    <w:rsid w:val="009C7133"/>
    <w:rsid w:val="009C714D"/>
    <w:rsid w:val="009C7511"/>
    <w:rsid w:val="009D26C3"/>
    <w:rsid w:val="009D376B"/>
    <w:rsid w:val="009D50E5"/>
    <w:rsid w:val="009D5B05"/>
    <w:rsid w:val="009D5FCB"/>
    <w:rsid w:val="009D7052"/>
    <w:rsid w:val="009E33EB"/>
    <w:rsid w:val="009E4E08"/>
    <w:rsid w:val="009E751D"/>
    <w:rsid w:val="009E789F"/>
    <w:rsid w:val="009F5331"/>
    <w:rsid w:val="009F7BB0"/>
    <w:rsid w:val="00A0087E"/>
    <w:rsid w:val="00A01AFD"/>
    <w:rsid w:val="00A01E3A"/>
    <w:rsid w:val="00A02D2F"/>
    <w:rsid w:val="00A02DBE"/>
    <w:rsid w:val="00A04936"/>
    <w:rsid w:val="00A049F6"/>
    <w:rsid w:val="00A12CF8"/>
    <w:rsid w:val="00A14F18"/>
    <w:rsid w:val="00A2264E"/>
    <w:rsid w:val="00A23842"/>
    <w:rsid w:val="00A2576E"/>
    <w:rsid w:val="00A25C5C"/>
    <w:rsid w:val="00A26136"/>
    <w:rsid w:val="00A2799A"/>
    <w:rsid w:val="00A30BF0"/>
    <w:rsid w:val="00A31776"/>
    <w:rsid w:val="00A32D0C"/>
    <w:rsid w:val="00A34BDC"/>
    <w:rsid w:val="00A3765C"/>
    <w:rsid w:val="00A40133"/>
    <w:rsid w:val="00A415C9"/>
    <w:rsid w:val="00A41A80"/>
    <w:rsid w:val="00A51F8D"/>
    <w:rsid w:val="00A52C8D"/>
    <w:rsid w:val="00A56E75"/>
    <w:rsid w:val="00A60883"/>
    <w:rsid w:val="00A612FC"/>
    <w:rsid w:val="00A6503B"/>
    <w:rsid w:val="00A663D8"/>
    <w:rsid w:val="00A66D81"/>
    <w:rsid w:val="00A67F92"/>
    <w:rsid w:val="00A727FA"/>
    <w:rsid w:val="00A73FE2"/>
    <w:rsid w:val="00A74F64"/>
    <w:rsid w:val="00A75AC0"/>
    <w:rsid w:val="00A77995"/>
    <w:rsid w:val="00A779EC"/>
    <w:rsid w:val="00A80301"/>
    <w:rsid w:val="00A821CA"/>
    <w:rsid w:val="00A8400F"/>
    <w:rsid w:val="00A87FB0"/>
    <w:rsid w:val="00A90867"/>
    <w:rsid w:val="00A91549"/>
    <w:rsid w:val="00A9194B"/>
    <w:rsid w:val="00A93C5F"/>
    <w:rsid w:val="00A9545F"/>
    <w:rsid w:val="00AA1718"/>
    <w:rsid w:val="00AA32E3"/>
    <w:rsid w:val="00AA3C55"/>
    <w:rsid w:val="00AA4C9B"/>
    <w:rsid w:val="00AA5471"/>
    <w:rsid w:val="00AA6D2A"/>
    <w:rsid w:val="00AB395C"/>
    <w:rsid w:val="00AB746E"/>
    <w:rsid w:val="00AC58C5"/>
    <w:rsid w:val="00AC612C"/>
    <w:rsid w:val="00AC6CCC"/>
    <w:rsid w:val="00AC75BE"/>
    <w:rsid w:val="00AD0214"/>
    <w:rsid w:val="00AE0F76"/>
    <w:rsid w:val="00AE1E65"/>
    <w:rsid w:val="00AE6CA4"/>
    <w:rsid w:val="00AE7466"/>
    <w:rsid w:val="00AF1537"/>
    <w:rsid w:val="00AF1B39"/>
    <w:rsid w:val="00AF35DC"/>
    <w:rsid w:val="00AF3E2E"/>
    <w:rsid w:val="00B0036D"/>
    <w:rsid w:val="00B01EEA"/>
    <w:rsid w:val="00B01F21"/>
    <w:rsid w:val="00B02DBB"/>
    <w:rsid w:val="00B03351"/>
    <w:rsid w:val="00B05378"/>
    <w:rsid w:val="00B05C98"/>
    <w:rsid w:val="00B068EB"/>
    <w:rsid w:val="00B147DC"/>
    <w:rsid w:val="00B14C7E"/>
    <w:rsid w:val="00B1562D"/>
    <w:rsid w:val="00B16961"/>
    <w:rsid w:val="00B2078C"/>
    <w:rsid w:val="00B2139C"/>
    <w:rsid w:val="00B279A8"/>
    <w:rsid w:val="00B33372"/>
    <w:rsid w:val="00B36CC3"/>
    <w:rsid w:val="00B42199"/>
    <w:rsid w:val="00B428A0"/>
    <w:rsid w:val="00B431F6"/>
    <w:rsid w:val="00B45B46"/>
    <w:rsid w:val="00B52031"/>
    <w:rsid w:val="00B52158"/>
    <w:rsid w:val="00B52CCC"/>
    <w:rsid w:val="00B52D0E"/>
    <w:rsid w:val="00B554D4"/>
    <w:rsid w:val="00B567B4"/>
    <w:rsid w:val="00B573A3"/>
    <w:rsid w:val="00B57926"/>
    <w:rsid w:val="00B618EC"/>
    <w:rsid w:val="00B62C35"/>
    <w:rsid w:val="00B64E49"/>
    <w:rsid w:val="00B6529C"/>
    <w:rsid w:val="00B65ECC"/>
    <w:rsid w:val="00B66046"/>
    <w:rsid w:val="00B73A18"/>
    <w:rsid w:val="00B84EFF"/>
    <w:rsid w:val="00B87CA6"/>
    <w:rsid w:val="00B90865"/>
    <w:rsid w:val="00B9439E"/>
    <w:rsid w:val="00B95B8D"/>
    <w:rsid w:val="00B95CCE"/>
    <w:rsid w:val="00B9669E"/>
    <w:rsid w:val="00B974DA"/>
    <w:rsid w:val="00B977A5"/>
    <w:rsid w:val="00BA0BC7"/>
    <w:rsid w:val="00BA1139"/>
    <w:rsid w:val="00BA3F84"/>
    <w:rsid w:val="00BA4B78"/>
    <w:rsid w:val="00BA4BB2"/>
    <w:rsid w:val="00BA71D7"/>
    <w:rsid w:val="00BA76BB"/>
    <w:rsid w:val="00BB024D"/>
    <w:rsid w:val="00BB3CD9"/>
    <w:rsid w:val="00BB3EAE"/>
    <w:rsid w:val="00BB4E63"/>
    <w:rsid w:val="00BB558F"/>
    <w:rsid w:val="00BB6133"/>
    <w:rsid w:val="00BB61DF"/>
    <w:rsid w:val="00BB7053"/>
    <w:rsid w:val="00BB7423"/>
    <w:rsid w:val="00BC02C9"/>
    <w:rsid w:val="00BC02DF"/>
    <w:rsid w:val="00BC1639"/>
    <w:rsid w:val="00BC2588"/>
    <w:rsid w:val="00BC4755"/>
    <w:rsid w:val="00BC7325"/>
    <w:rsid w:val="00BD43A5"/>
    <w:rsid w:val="00BD725B"/>
    <w:rsid w:val="00BD78D2"/>
    <w:rsid w:val="00BD7D87"/>
    <w:rsid w:val="00BE1D2B"/>
    <w:rsid w:val="00BE2015"/>
    <w:rsid w:val="00BE24D3"/>
    <w:rsid w:val="00BE39C7"/>
    <w:rsid w:val="00BE4277"/>
    <w:rsid w:val="00BE6897"/>
    <w:rsid w:val="00BE6B2C"/>
    <w:rsid w:val="00BF3DF2"/>
    <w:rsid w:val="00BF7420"/>
    <w:rsid w:val="00C042D5"/>
    <w:rsid w:val="00C07647"/>
    <w:rsid w:val="00C07940"/>
    <w:rsid w:val="00C111CB"/>
    <w:rsid w:val="00C129D3"/>
    <w:rsid w:val="00C14B49"/>
    <w:rsid w:val="00C15C6A"/>
    <w:rsid w:val="00C1685B"/>
    <w:rsid w:val="00C17B4D"/>
    <w:rsid w:val="00C252AA"/>
    <w:rsid w:val="00C302C5"/>
    <w:rsid w:val="00C3127C"/>
    <w:rsid w:val="00C34884"/>
    <w:rsid w:val="00C370D7"/>
    <w:rsid w:val="00C40D95"/>
    <w:rsid w:val="00C43684"/>
    <w:rsid w:val="00C45E70"/>
    <w:rsid w:val="00C46CF9"/>
    <w:rsid w:val="00C5004C"/>
    <w:rsid w:val="00C5040C"/>
    <w:rsid w:val="00C523E4"/>
    <w:rsid w:val="00C53C3F"/>
    <w:rsid w:val="00C56286"/>
    <w:rsid w:val="00C563D9"/>
    <w:rsid w:val="00C60D3E"/>
    <w:rsid w:val="00C63394"/>
    <w:rsid w:val="00C66D48"/>
    <w:rsid w:val="00C81A9D"/>
    <w:rsid w:val="00C82BE2"/>
    <w:rsid w:val="00C84B1C"/>
    <w:rsid w:val="00C86118"/>
    <w:rsid w:val="00C86197"/>
    <w:rsid w:val="00C8715E"/>
    <w:rsid w:val="00C941E3"/>
    <w:rsid w:val="00C94421"/>
    <w:rsid w:val="00C94ACE"/>
    <w:rsid w:val="00C95BFB"/>
    <w:rsid w:val="00C97819"/>
    <w:rsid w:val="00CA2290"/>
    <w:rsid w:val="00CA2A19"/>
    <w:rsid w:val="00CA360C"/>
    <w:rsid w:val="00CB3293"/>
    <w:rsid w:val="00CB6AFD"/>
    <w:rsid w:val="00CB6CA0"/>
    <w:rsid w:val="00CC0909"/>
    <w:rsid w:val="00CC2D14"/>
    <w:rsid w:val="00CC41F3"/>
    <w:rsid w:val="00CC4D80"/>
    <w:rsid w:val="00CC4EB5"/>
    <w:rsid w:val="00CC7A97"/>
    <w:rsid w:val="00CD088F"/>
    <w:rsid w:val="00CD380E"/>
    <w:rsid w:val="00CD4162"/>
    <w:rsid w:val="00CD4AAB"/>
    <w:rsid w:val="00CE004E"/>
    <w:rsid w:val="00CE241D"/>
    <w:rsid w:val="00CE29BA"/>
    <w:rsid w:val="00CE5CEF"/>
    <w:rsid w:val="00CF3FA4"/>
    <w:rsid w:val="00CF63BF"/>
    <w:rsid w:val="00CF6582"/>
    <w:rsid w:val="00CF77F8"/>
    <w:rsid w:val="00D01203"/>
    <w:rsid w:val="00D02339"/>
    <w:rsid w:val="00D03A7C"/>
    <w:rsid w:val="00D06FCE"/>
    <w:rsid w:val="00D0757A"/>
    <w:rsid w:val="00D07E24"/>
    <w:rsid w:val="00D11E0B"/>
    <w:rsid w:val="00D12406"/>
    <w:rsid w:val="00D13260"/>
    <w:rsid w:val="00D15275"/>
    <w:rsid w:val="00D15C86"/>
    <w:rsid w:val="00D20C5C"/>
    <w:rsid w:val="00D21E70"/>
    <w:rsid w:val="00D23716"/>
    <w:rsid w:val="00D2435C"/>
    <w:rsid w:val="00D243D2"/>
    <w:rsid w:val="00D247E6"/>
    <w:rsid w:val="00D32079"/>
    <w:rsid w:val="00D3539C"/>
    <w:rsid w:val="00D356A5"/>
    <w:rsid w:val="00D356E6"/>
    <w:rsid w:val="00D41798"/>
    <w:rsid w:val="00D4244F"/>
    <w:rsid w:val="00D42D73"/>
    <w:rsid w:val="00D44C13"/>
    <w:rsid w:val="00D451D3"/>
    <w:rsid w:val="00D45906"/>
    <w:rsid w:val="00D46A98"/>
    <w:rsid w:val="00D514BD"/>
    <w:rsid w:val="00D51DE4"/>
    <w:rsid w:val="00D546A2"/>
    <w:rsid w:val="00D554C4"/>
    <w:rsid w:val="00D57E8D"/>
    <w:rsid w:val="00D61447"/>
    <w:rsid w:val="00D62C59"/>
    <w:rsid w:val="00D62FE6"/>
    <w:rsid w:val="00D65137"/>
    <w:rsid w:val="00D7019A"/>
    <w:rsid w:val="00D71521"/>
    <w:rsid w:val="00D739FB"/>
    <w:rsid w:val="00D73B31"/>
    <w:rsid w:val="00D83799"/>
    <w:rsid w:val="00D84110"/>
    <w:rsid w:val="00D8460B"/>
    <w:rsid w:val="00D85A50"/>
    <w:rsid w:val="00D879CC"/>
    <w:rsid w:val="00D903A6"/>
    <w:rsid w:val="00D907AE"/>
    <w:rsid w:val="00D94B8F"/>
    <w:rsid w:val="00D9569B"/>
    <w:rsid w:val="00D9705B"/>
    <w:rsid w:val="00D97376"/>
    <w:rsid w:val="00DA08F4"/>
    <w:rsid w:val="00DA13E9"/>
    <w:rsid w:val="00DA28AD"/>
    <w:rsid w:val="00DA338C"/>
    <w:rsid w:val="00DA39A5"/>
    <w:rsid w:val="00DA39B6"/>
    <w:rsid w:val="00DA3ACA"/>
    <w:rsid w:val="00DA509C"/>
    <w:rsid w:val="00DA5352"/>
    <w:rsid w:val="00DA5922"/>
    <w:rsid w:val="00DA5A49"/>
    <w:rsid w:val="00DB1095"/>
    <w:rsid w:val="00DB2A57"/>
    <w:rsid w:val="00DB5A79"/>
    <w:rsid w:val="00DC0ADE"/>
    <w:rsid w:val="00DC5965"/>
    <w:rsid w:val="00DC5F23"/>
    <w:rsid w:val="00DC7A74"/>
    <w:rsid w:val="00DC7DC2"/>
    <w:rsid w:val="00DD0BDF"/>
    <w:rsid w:val="00DD1F1E"/>
    <w:rsid w:val="00DD4D39"/>
    <w:rsid w:val="00DD52E8"/>
    <w:rsid w:val="00DD5475"/>
    <w:rsid w:val="00DD6FF2"/>
    <w:rsid w:val="00DE1D5C"/>
    <w:rsid w:val="00DE604B"/>
    <w:rsid w:val="00DE6ADF"/>
    <w:rsid w:val="00DF10F1"/>
    <w:rsid w:val="00DF1B60"/>
    <w:rsid w:val="00DF1CFD"/>
    <w:rsid w:val="00DF3777"/>
    <w:rsid w:val="00DF3EFE"/>
    <w:rsid w:val="00DF62C5"/>
    <w:rsid w:val="00DF6BE3"/>
    <w:rsid w:val="00E00B6E"/>
    <w:rsid w:val="00E016F8"/>
    <w:rsid w:val="00E03B01"/>
    <w:rsid w:val="00E0652D"/>
    <w:rsid w:val="00E07D51"/>
    <w:rsid w:val="00E1022A"/>
    <w:rsid w:val="00E124C5"/>
    <w:rsid w:val="00E15D8C"/>
    <w:rsid w:val="00E207FB"/>
    <w:rsid w:val="00E20B30"/>
    <w:rsid w:val="00E23B17"/>
    <w:rsid w:val="00E23F34"/>
    <w:rsid w:val="00E24C08"/>
    <w:rsid w:val="00E26942"/>
    <w:rsid w:val="00E27649"/>
    <w:rsid w:val="00E30227"/>
    <w:rsid w:val="00E3243D"/>
    <w:rsid w:val="00E33158"/>
    <w:rsid w:val="00E335B1"/>
    <w:rsid w:val="00E33A22"/>
    <w:rsid w:val="00E350A8"/>
    <w:rsid w:val="00E43543"/>
    <w:rsid w:val="00E44AB4"/>
    <w:rsid w:val="00E45C55"/>
    <w:rsid w:val="00E4667C"/>
    <w:rsid w:val="00E502D1"/>
    <w:rsid w:val="00E50559"/>
    <w:rsid w:val="00E52B1B"/>
    <w:rsid w:val="00E53063"/>
    <w:rsid w:val="00E5540E"/>
    <w:rsid w:val="00E55554"/>
    <w:rsid w:val="00E61B61"/>
    <w:rsid w:val="00E633C8"/>
    <w:rsid w:val="00E6343D"/>
    <w:rsid w:val="00E67EAA"/>
    <w:rsid w:val="00E67FEA"/>
    <w:rsid w:val="00E705BD"/>
    <w:rsid w:val="00E7154F"/>
    <w:rsid w:val="00E71C68"/>
    <w:rsid w:val="00E74B9A"/>
    <w:rsid w:val="00E74D3B"/>
    <w:rsid w:val="00E772C7"/>
    <w:rsid w:val="00E80278"/>
    <w:rsid w:val="00E867CC"/>
    <w:rsid w:val="00E86D70"/>
    <w:rsid w:val="00E87C35"/>
    <w:rsid w:val="00E906D8"/>
    <w:rsid w:val="00E91253"/>
    <w:rsid w:val="00E95AC1"/>
    <w:rsid w:val="00E96753"/>
    <w:rsid w:val="00EA1C2D"/>
    <w:rsid w:val="00EA22D4"/>
    <w:rsid w:val="00EA3BD1"/>
    <w:rsid w:val="00EA520D"/>
    <w:rsid w:val="00EA5E30"/>
    <w:rsid w:val="00EA5E90"/>
    <w:rsid w:val="00EB4F3C"/>
    <w:rsid w:val="00EB5701"/>
    <w:rsid w:val="00EC0784"/>
    <w:rsid w:val="00EC0841"/>
    <w:rsid w:val="00EC2E70"/>
    <w:rsid w:val="00EC4E34"/>
    <w:rsid w:val="00EC5837"/>
    <w:rsid w:val="00EC6055"/>
    <w:rsid w:val="00ED4C02"/>
    <w:rsid w:val="00ED4D16"/>
    <w:rsid w:val="00EE2756"/>
    <w:rsid w:val="00EE2F55"/>
    <w:rsid w:val="00EE3643"/>
    <w:rsid w:val="00EE37F5"/>
    <w:rsid w:val="00EE3AAC"/>
    <w:rsid w:val="00EE522F"/>
    <w:rsid w:val="00EE52CF"/>
    <w:rsid w:val="00EE7769"/>
    <w:rsid w:val="00EF01CB"/>
    <w:rsid w:val="00EF0EDD"/>
    <w:rsid w:val="00EF406B"/>
    <w:rsid w:val="00F010E2"/>
    <w:rsid w:val="00F01130"/>
    <w:rsid w:val="00F0691A"/>
    <w:rsid w:val="00F07EB9"/>
    <w:rsid w:val="00F128BD"/>
    <w:rsid w:val="00F12914"/>
    <w:rsid w:val="00F14826"/>
    <w:rsid w:val="00F16655"/>
    <w:rsid w:val="00F16C6E"/>
    <w:rsid w:val="00F20232"/>
    <w:rsid w:val="00F22330"/>
    <w:rsid w:val="00F22C43"/>
    <w:rsid w:val="00F302F7"/>
    <w:rsid w:val="00F3063F"/>
    <w:rsid w:val="00F32BB3"/>
    <w:rsid w:val="00F33272"/>
    <w:rsid w:val="00F34A39"/>
    <w:rsid w:val="00F374E2"/>
    <w:rsid w:val="00F577F7"/>
    <w:rsid w:val="00F61265"/>
    <w:rsid w:val="00F67EEA"/>
    <w:rsid w:val="00F72358"/>
    <w:rsid w:val="00F75281"/>
    <w:rsid w:val="00F757F2"/>
    <w:rsid w:val="00F76571"/>
    <w:rsid w:val="00F7730E"/>
    <w:rsid w:val="00F77BDD"/>
    <w:rsid w:val="00F80863"/>
    <w:rsid w:val="00F80C1F"/>
    <w:rsid w:val="00F825B8"/>
    <w:rsid w:val="00F834B3"/>
    <w:rsid w:val="00F84FC7"/>
    <w:rsid w:val="00F86050"/>
    <w:rsid w:val="00F8660F"/>
    <w:rsid w:val="00F86AEA"/>
    <w:rsid w:val="00F910FD"/>
    <w:rsid w:val="00F94F37"/>
    <w:rsid w:val="00F95804"/>
    <w:rsid w:val="00FA4E08"/>
    <w:rsid w:val="00FA636C"/>
    <w:rsid w:val="00FA6D6F"/>
    <w:rsid w:val="00FB0AEB"/>
    <w:rsid w:val="00FB0EBC"/>
    <w:rsid w:val="00FB36A6"/>
    <w:rsid w:val="00FB428C"/>
    <w:rsid w:val="00FB4536"/>
    <w:rsid w:val="00FB6202"/>
    <w:rsid w:val="00FB62AD"/>
    <w:rsid w:val="00FB6D15"/>
    <w:rsid w:val="00FC1333"/>
    <w:rsid w:val="00FC20B9"/>
    <w:rsid w:val="00FC4233"/>
    <w:rsid w:val="00FC6760"/>
    <w:rsid w:val="00FC67E7"/>
    <w:rsid w:val="00FC6D96"/>
    <w:rsid w:val="00FC6DED"/>
    <w:rsid w:val="00FC7368"/>
    <w:rsid w:val="00FC76E2"/>
    <w:rsid w:val="00FC7AE2"/>
    <w:rsid w:val="00FD1705"/>
    <w:rsid w:val="00FD1C83"/>
    <w:rsid w:val="00FD3D15"/>
    <w:rsid w:val="00FD5132"/>
    <w:rsid w:val="00FD5893"/>
    <w:rsid w:val="00FE0A6F"/>
    <w:rsid w:val="00FE12B7"/>
    <w:rsid w:val="00FE4AC4"/>
    <w:rsid w:val="00FE52B4"/>
    <w:rsid w:val="00FF01AB"/>
    <w:rsid w:val="00FF0999"/>
    <w:rsid w:val="00FF10B8"/>
    <w:rsid w:val="00FF62C8"/>
    <w:rsid w:val="01BB4CAE"/>
    <w:rsid w:val="0207CB81"/>
    <w:rsid w:val="0461DC55"/>
    <w:rsid w:val="08E07D73"/>
    <w:rsid w:val="09169670"/>
    <w:rsid w:val="0BED2389"/>
    <w:rsid w:val="0C4D9FBA"/>
    <w:rsid w:val="0E29AFA6"/>
    <w:rsid w:val="12B9C09B"/>
    <w:rsid w:val="12CD1FF6"/>
    <w:rsid w:val="1688603A"/>
    <w:rsid w:val="175FFAE0"/>
    <w:rsid w:val="177B58E4"/>
    <w:rsid w:val="18C93121"/>
    <w:rsid w:val="19884562"/>
    <w:rsid w:val="1FD610CA"/>
    <w:rsid w:val="21AFB4DD"/>
    <w:rsid w:val="22283513"/>
    <w:rsid w:val="2381D10C"/>
    <w:rsid w:val="2C4AF18E"/>
    <w:rsid w:val="2E7AD736"/>
    <w:rsid w:val="35C87C9B"/>
    <w:rsid w:val="37F4E899"/>
    <w:rsid w:val="38AF1465"/>
    <w:rsid w:val="3B9986A4"/>
    <w:rsid w:val="3E1E370F"/>
    <w:rsid w:val="3FE995A3"/>
    <w:rsid w:val="463BF024"/>
    <w:rsid w:val="477A5E1D"/>
    <w:rsid w:val="48015970"/>
    <w:rsid w:val="49081E6A"/>
    <w:rsid w:val="495AC393"/>
    <w:rsid w:val="4AB03211"/>
    <w:rsid w:val="4EFBEA93"/>
    <w:rsid w:val="4FA3935A"/>
    <w:rsid w:val="52F4016F"/>
    <w:rsid w:val="531FF83A"/>
    <w:rsid w:val="564DB338"/>
    <w:rsid w:val="5706FC78"/>
    <w:rsid w:val="57AF7925"/>
    <w:rsid w:val="58567FDC"/>
    <w:rsid w:val="5BB42B16"/>
    <w:rsid w:val="5EAD3359"/>
    <w:rsid w:val="659557D7"/>
    <w:rsid w:val="697C8DEB"/>
    <w:rsid w:val="6ADA8A9A"/>
    <w:rsid w:val="6ADBEC5B"/>
    <w:rsid w:val="6C80AFFE"/>
    <w:rsid w:val="6C85061C"/>
    <w:rsid w:val="6E8C3499"/>
    <w:rsid w:val="71BA919F"/>
    <w:rsid w:val="72C583B6"/>
    <w:rsid w:val="738E7436"/>
    <w:rsid w:val="7417CA9C"/>
    <w:rsid w:val="74A2B499"/>
    <w:rsid w:val="74F53FEE"/>
    <w:rsid w:val="76F7415A"/>
    <w:rsid w:val="7AE16BCB"/>
    <w:rsid w:val="7DF9BE0D"/>
    <w:rsid w:val="7E7005B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0B42"/>
  <w15:chartTrackingRefBased/>
  <w15:docId w15:val="{B4CFA217-6002-4C12-AF3C-245B2407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F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4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620C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6620C7"/>
    <w:rPr>
      <w:rFonts w:ascii="Segoe UI" w:hAnsi="Segoe UI" w:cs="Segoe UI"/>
      <w:sz w:val="18"/>
      <w:szCs w:val="18"/>
    </w:rPr>
  </w:style>
  <w:style w:type="paragraph" w:customStyle="1" w:styleId="rvps2">
    <w:name w:val="rvps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620C7"/>
  </w:style>
  <w:style w:type="character" w:customStyle="1" w:styleId="rvts86">
    <w:name w:val="rvts86"/>
    <w:basedOn w:val="a0"/>
    <w:rsid w:val="006620C7"/>
  </w:style>
  <w:style w:type="character" w:customStyle="1" w:styleId="rvts37">
    <w:name w:val="rvts37"/>
    <w:basedOn w:val="a0"/>
    <w:rsid w:val="006620C7"/>
  </w:style>
  <w:style w:type="paragraph" w:customStyle="1" w:styleId="rvps1">
    <w:name w:val="rvps1"/>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00AD5"/>
  </w:style>
  <w:style w:type="paragraph" w:customStyle="1" w:styleId="rvps4">
    <w:name w:val="rvps4"/>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200AD5"/>
  </w:style>
  <w:style w:type="paragraph" w:customStyle="1" w:styleId="rvps7">
    <w:name w:val="rvps7"/>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C40D95"/>
    <w:pPr>
      <w:spacing w:after="0" w:line="240" w:lineRule="auto"/>
      <w:ind w:left="720"/>
    </w:pPr>
    <w:rPr>
      <w:rFonts w:ascii="Calibri" w:hAnsi="Calibri" w:cs="Calibri"/>
    </w:rPr>
  </w:style>
  <w:style w:type="character" w:customStyle="1" w:styleId="st42">
    <w:name w:val="st42"/>
    <w:basedOn w:val="a0"/>
    <w:uiPriority w:val="99"/>
    <w:rsid w:val="00C40D95"/>
    <w:rPr>
      <w:color w:val="000000"/>
    </w:rPr>
  </w:style>
  <w:style w:type="character" w:styleId="a7">
    <w:name w:val="Hyperlink"/>
    <w:basedOn w:val="a0"/>
    <w:uiPriority w:val="99"/>
    <w:unhideWhenUsed/>
    <w:rsid w:val="00C40D95"/>
    <w:rPr>
      <w:color w:val="0000FF"/>
      <w:u w:val="single"/>
    </w:rPr>
  </w:style>
  <w:style w:type="paragraph" w:styleId="a8">
    <w:name w:val="Normal (Web)"/>
    <w:basedOn w:val="a"/>
    <w:uiPriority w:val="99"/>
    <w:rsid w:val="000F5E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F302F7"/>
  </w:style>
  <w:style w:type="character" w:customStyle="1" w:styleId="mn">
    <w:name w:val="mn"/>
    <w:basedOn w:val="a0"/>
    <w:rsid w:val="00812A6D"/>
  </w:style>
  <w:style w:type="paragraph" w:styleId="a9">
    <w:name w:val="No Spacing"/>
    <w:uiPriority w:val="1"/>
    <w:qFormat/>
    <w:rsid w:val="004E120B"/>
    <w:pPr>
      <w:spacing w:after="0" w:line="240" w:lineRule="auto"/>
    </w:pPr>
  </w:style>
  <w:style w:type="paragraph" w:styleId="aa">
    <w:name w:val="header"/>
    <w:basedOn w:val="a"/>
    <w:link w:val="ab"/>
    <w:uiPriority w:val="99"/>
    <w:unhideWhenUsed/>
    <w:rsid w:val="00605DDB"/>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605DDB"/>
  </w:style>
  <w:style w:type="paragraph" w:styleId="ac">
    <w:name w:val="footer"/>
    <w:basedOn w:val="a"/>
    <w:link w:val="ad"/>
    <w:uiPriority w:val="99"/>
    <w:unhideWhenUsed/>
    <w:rsid w:val="00605DDB"/>
    <w:pPr>
      <w:tabs>
        <w:tab w:val="center" w:pos="4819"/>
        <w:tab w:val="right" w:pos="9639"/>
      </w:tabs>
      <w:spacing w:after="0" w:line="240" w:lineRule="auto"/>
    </w:pPr>
  </w:style>
  <w:style w:type="character" w:customStyle="1" w:styleId="ad">
    <w:name w:val="Нижній колонтитул Знак"/>
    <w:basedOn w:val="a0"/>
    <w:link w:val="ac"/>
    <w:uiPriority w:val="99"/>
    <w:rsid w:val="00605DDB"/>
  </w:style>
  <w:style w:type="character" w:styleId="ae">
    <w:name w:val="annotation reference"/>
    <w:basedOn w:val="a0"/>
    <w:uiPriority w:val="99"/>
    <w:semiHidden/>
    <w:unhideWhenUsed/>
    <w:rsid w:val="002B193B"/>
    <w:rPr>
      <w:sz w:val="16"/>
      <w:szCs w:val="16"/>
    </w:rPr>
  </w:style>
  <w:style w:type="paragraph" w:styleId="af">
    <w:name w:val="annotation text"/>
    <w:basedOn w:val="a"/>
    <w:link w:val="af0"/>
    <w:uiPriority w:val="99"/>
    <w:unhideWhenUsed/>
    <w:rsid w:val="002B193B"/>
    <w:pPr>
      <w:spacing w:line="240" w:lineRule="auto"/>
    </w:pPr>
    <w:rPr>
      <w:sz w:val="20"/>
      <w:szCs w:val="20"/>
    </w:rPr>
  </w:style>
  <w:style w:type="character" w:customStyle="1" w:styleId="af0">
    <w:name w:val="Текст примітки Знак"/>
    <w:basedOn w:val="a0"/>
    <w:link w:val="af"/>
    <w:uiPriority w:val="99"/>
    <w:rsid w:val="002B193B"/>
    <w:rPr>
      <w:sz w:val="20"/>
      <w:szCs w:val="20"/>
    </w:rPr>
  </w:style>
  <w:style w:type="paragraph" w:styleId="af1">
    <w:name w:val="annotation subject"/>
    <w:basedOn w:val="af"/>
    <w:next w:val="af"/>
    <w:link w:val="af2"/>
    <w:uiPriority w:val="99"/>
    <w:semiHidden/>
    <w:unhideWhenUsed/>
    <w:rsid w:val="002B193B"/>
    <w:rPr>
      <w:b/>
      <w:bCs/>
    </w:rPr>
  </w:style>
  <w:style w:type="character" w:customStyle="1" w:styleId="af2">
    <w:name w:val="Тема примітки Знак"/>
    <w:basedOn w:val="af0"/>
    <w:link w:val="af1"/>
    <w:uiPriority w:val="99"/>
    <w:semiHidden/>
    <w:rsid w:val="002B193B"/>
    <w:rPr>
      <w:b/>
      <w:bCs/>
      <w:sz w:val="20"/>
      <w:szCs w:val="20"/>
    </w:rPr>
  </w:style>
  <w:style w:type="paragraph" w:styleId="af3">
    <w:name w:val="Revision"/>
    <w:hidden/>
    <w:uiPriority w:val="99"/>
    <w:semiHidden/>
    <w:rsid w:val="007F0946"/>
    <w:pPr>
      <w:spacing w:after="0" w:line="240" w:lineRule="auto"/>
    </w:pPr>
  </w:style>
  <w:style w:type="character" w:customStyle="1" w:styleId="ui-provider">
    <w:name w:val="ui-provider"/>
    <w:basedOn w:val="a0"/>
    <w:rsid w:val="00AC75BE"/>
  </w:style>
  <w:style w:type="character" w:styleId="af4">
    <w:name w:val="Unresolved Mention"/>
    <w:basedOn w:val="a0"/>
    <w:uiPriority w:val="99"/>
    <w:semiHidden/>
    <w:unhideWhenUsed/>
    <w:rsid w:val="000D6375"/>
    <w:rPr>
      <w:color w:val="605E5C"/>
      <w:shd w:val="clear" w:color="auto" w:fill="E1DFDD"/>
    </w:rPr>
  </w:style>
  <w:style w:type="character" w:styleId="af5">
    <w:name w:val="Emphasis"/>
    <w:basedOn w:val="a0"/>
    <w:uiPriority w:val="20"/>
    <w:qFormat/>
    <w:rsid w:val="005E3FC6"/>
    <w:rPr>
      <w:i/>
      <w:iCs/>
    </w:rPr>
  </w:style>
  <w:style w:type="paragraph" w:customStyle="1" w:styleId="tl">
    <w:name w:val="tl"/>
    <w:basedOn w:val="a"/>
    <w:rsid w:val="00310C6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93079">
      <w:bodyDiv w:val="1"/>
      <w:marLeft w:val="0"/>
      <w:marRight w:val="0"/>
      <w:marTop w:val="0"/>
      <w:marBottom w:val="0"/>
      <w:divBdr>
        <w:top w:val="none" w:sz="0" w:space="0" w:color="auto"/>
        <w:left w:val="none" w:sz="0" w:space="0" w:color="auto"/>
        <w:bottom w:val="none" w:sz="0" w:space="0" w:color="auto"/>
        <w:right w:val="none" w:sz="0" w:space="0" w:color="auto"/>
      </w:divBdr>
    </w:div>
    <w:div w:id="202257632">
      <w:bodyDiv w:val="1"/>
      <w:marLeft w:val="0"/>
      <w:marRight w:val="0"/>
      <w:marTop w:val="0"/>
      <w:marBottom w:val="0"/>
      <w:divBdr>
        <w:top w:val="none" w:sz="0" w:space="0" w:color="auto"/>
        <w:left w:val="none" w:sz="0" w:space="0" w:color="auto"/>
        <w:bottom w:val="none" w:sz="0" w:space="0" w:color="auto"/>
        <w:right w:val="none" w:sz="0" w:space="0" w:color="auto"/>
      </w:divBdr>
      <w:divsChild>
        <w:div w:id="1817606563">
          <w:marLeft w:val="0"/>
          <w:marRight w:val="0"/>
          <w:marTop w:val="0"/>
          <w:marBottom w:val="150"/>
          <w:divBdr>
            <w:top w:val="none" w:sz="0" w:space="0" w:color="auto"/>
            <w:left w:val="none" w:sz="0" w:space="0" w:color="auto"/>
            <w:bottom w:val="none" w:sz="0" w:space="0" w:color="auto"/>
            <w:right w:val="none" w:sz="0" w:space="0" w:color="auto"/>
          </w:divBdr>
        </w:div>
      </w:divsChild>
    </w:div>
    <w:div w:id="350693263">
      <w:bodyDiv w:val="1"/>
      <w:marLeft w:val="0"/>
      <w:marRight w:val="0"/>
      <w:marTop w:val="0"/>
      <w:marBottom w:val="0"/>
      <w:divBdr>
        <w:top w:val="none" w:sz="0" w:space="0" w:color="auto"/>
        <w:left w:val="none" w:sz="0" w:space="0" w:color="auto"/>
        <w:bottom w:val="none" w:sz="0" w:space="0" w:color="auto"/>
        <w:right w:val="none" w:sz="0" w:space="0" w:color="auto"/>
      </w:divBdr>
    </w:div>
    <w:div w:id="363360776">
      <w:bodyDiv w:val="1"/>
      <w:marLeft w:val="0"/>
      <w:marRight w:val="0"/>
      <w:marTop w:val="0"/>
      <w:marBottom w:val="0"/>
      <w:divBdr>
        <w:top w:val="none" w:sz="0" w:space="0" w:color="auto"/>
        <w:left w:val="none" w:sz="0" w:space="0" w:color="auto"/>
        <w:bottom w:val="none" w:sz="0" w:space="0" w:color="auto"/>
        <w:right w:val="none" w:sz="0" w:space="0" w:color="auto"/>
      </w:divBdr>
    </w:div>
    <w:div w:id="449740703">
      <w:bodyDiv w:val="1"/>
      <w:marLeft w:val="0"/>
      <w:marRight w:val="0"/>
      <w:marTop w:val="0"/>
      <w:marBottom w:val="0"/>
      <w:divBdr>
        <w:top w:val="none" w:sz="0" w:space="0" w:color="auto"/>
        <w:left w:val="none" w:sz="0" w:space="0" w:color="auto"/>
        <w:bottom w:val="none" w:sz="0" w:space="0" w:color="auto"/>
        <w:right w:val="none" w:sz="0" w:space="0" w:color="auto"/>
      </w:divBdr>
    </w:div>
    <w:div w:id="503015250">
      <w:bodyDiv w:val="1"/>
      <w:marLeft w:val="0"/>
      <w:marRight w:val="0"/>
      <w:marTop w:val="0"/>
      <w:marBottom w:val="0"/>
      <w:divBdr>
        <w:top w:val="none" w:sz="0" w:space="0" w:color="auto"/>
        <w:left w:val="none" w:sz="0" w:space="0" w:color="auto"/>
        <w:bottom w:val="none" w:sz="0" w:space="0" w:color="auto"/>
        <w:right w:val="none" w:sz="0" w:space="0" w:color="auto"/>
      </w:divBdr>
    </w:div>
    <w:div w:id="538788242">
      <w:bodyDiv w:val="1"/>
      <w:marLeft w:val="0"/>
      <w:marRight w:val="0"/>
      <w:marTop w:val="0"/>
      <w:marBottom w:val="0"/>
      <w:divBdr>
        <w:top w:val="none" w:sz="0" w:space="0" w:color="auto"/>
        <w:left w:val="none" w:sz="0" w:space="0" w:color="auto"/>
        <w:bottom w:val="none" w:sz="0" w:space="0" w:color="auto"/>
        <w:right w:val="none" w:sz="0" w:space="0" w:color="auto"/>
      </w:divBdr>
      <w:divsChild>
        <w:div w:id="1953242288">
          <w:marLeft w:val="0"/>
          <w:marRight w:val="0"/>
          <w:marTop w:val="0"/>
          <w:marBottom w:val="150"/>
          <w:divBdr>
            <w:top w:val="none" w:sz="0" w:space="0" w:color="auto"/>
            <w:left w:val="none" w:sz="0" w:space="0" w:color="auto"/>
            <w:bottom w:val="none" w:sz="0" w:space="0" w:color="auto"/>
            <w:right w:val="none" w:sz="0" w:space="0" w:color="auto"/>
          </w:divBdr>
        </w:div>
      </w:divsChild>
    </w:div>
    <w:div w:id="551817138">
      <w:bodyDiv w:val="1"/>
      <w:marLeft w:val="0"/>
      <w:marRight w:val="0"/>
      <w:marTop w:val="0"/>
      <w:marBottom w:val="0"/>
      <w:divBdr>
        <w:top w:val="none" w:sz="0" w:space="0" w:color="auto"/>
        <w:left w:val="none" w:sz="0" w:space="0" w:color="auto"/>
        <w:bottom w:val="none" w:sz="0" w:space="0" w:color="auto"/>
        <w:right w:val="none" w:sz="0" w:space="0" w:color="auto"/>
      </w:divBdr>
    </w:div>
    <w:div w:id="586816579">
      <w:bodyDiv w:val="1"/>
      <w:marLeft w:val="0"/>
      <w:marRight w:val="0"/>
      <w:marTop w:val="0"/>
      <w:marBottom w:val="0"/>
      <w:divBdr>
        <w:top w:val="none" w:sz="0" w:space="0" w:color="auto"/>
        <w:left w:val="none" w:sz="0" w:space="0" w:color="auto"/>
        <w:bottom w:val="none" w:sz="0" w:space="0" w:color="auto"/>
        <w:right w:val="none" w:sz="0" w:space="0" w:color="auto"/>
      </w:divBdr>
    </w:div>
    <w:div w:id="593588653">
      <w:bodyDiv w:val="1"/>
      <w:marLeft w:val="0"/>
      <w:marRight w:val="0"/>
      <w:marTop w:val="0"/>
      <w:marBottom w:val="0"/>
      <w:divBdr>
        <w:top w:val="none" w:sz="0" w:space="0" w:color="auto"/>
        <w:left w:val="none" w:sz="0" w:space="0" w:color="auto"/>
        <w:bottom w:val="none" w:sz="0" w:space="0" w:color="auto"/>
        <w:right w:val="none" w:sz="0" w:space="0" w:color="auto"/>
      </w:divBdr>
    </w:div>
    <w:div w:id="673841956">
      <w:bodyDiv w:val="1"/>
      <w:marLeft w:val="0"/>
      <w:marRight w:val="0"/>
      <w:marTop w:val="0"/>
      <w:marBottom w:val="0"/>
      <w:divBdr>
        <w:top w:val="none" w:sz="0" w:space="0" w:color="auto"/>
        <w:left w:val="none" w:sz="0" w:space="0" w:color="auto"/>
        <w:bottom w:val="none" w:sz="0" w:space="0" w:color="auto"/>
        <w:right w:val="none" w:sz="0" w:space="0" w:color="auto"/>
      </w:divBdr>
    </w:div>
    <w:div w:id="757866646">
      <w:bodyDiv w:val="1"/>
      <w:marLeft w:val="0"/>
      <w:marRight w:val="0"/>
      <w:marTop w:val="0"/>
      <w:marBottom w:val="0"/>
      <w:divBdr>
        <w:top w:val="none" w:sz="0" w:space="0" w:color="auto"/>
        <w:left w:val="none" w:sz="0" w:space="0" w:color="auto"/>
        <w:bottom w:val="none" w:sz="0" w:space="0" w:color="auto"/>
        <w:right w:val="none" w:sz="0" w:space="0" w:color="auto"/>
      </w:divBdr>
      <w:divsChild>
        <w:div w:id="983388403">
          <w:marLeft w:val="0"/>
          <w:marRight w:val="0"/>
          <w:marTop w:val="0"/>
          <w:marBottom w:val="0"/>
          <w:divBdr>
            <w:top w:val="none" w:sz="0" w:space="0" w:color="auto"/>
            <w:left w:val="none" w:sz="0" w:space="0" w:color="auto"/>
            <w:bottom w:val="none" w:sz="0" w:space="0" w:color="auto"/>
            <w:right w:val="none" w:sz="0" w:space="0" w:color="auto"/>
          </w:divBdr>
        </w:div>
      </w:divsChild>
    </w:div>
    <w:div w:id="839394074">
      <w:bodyDiv w:val="1"/>
      <w:marLeft w:val="0"/>
      <w:marRight w:val="0"/>
      <w:marTop w:val="0"/>
      <w:marBottom w:val="0"/>
      <w:divBdr>
        <w:top w:val="none" w:sz="0" w:space="0" w:color="auto"/>
        <w:left w:val="none" w:sz="0" w:space="0" w:color="auto"/>
        <w:bottom w:val="none" w:sz="0" w:space="0" w:color="auto"/>
        <w:right w:val="none" w:sz="0" w:space="0" w:color="auto"/>
      </w:divBdr>
    </w:div>
    <w:div w:id="1119497683">
      <w:bodyDiv w:val="1"/>
      <w:marLeft w:val="0"/>
      <w:marRight w:val="0"/>
      <w:marTop w:val="0"/>
      <w:marBottom w:val="0"/>
      <w:divBdr>
        <w:top w:val="none" w:sz="0" w:space="0" w:color="auto"/>
        <w:left w:val="none" w:sz="0" w:space="0" w:color="auto"/>
        <w:bottom w:val="none" w:sz="0" w:space="0" w:color="auto"/>
        <w:right w:val="none" w:sz="0" w:space="0" w:color="auto"/>
      </w:divBdr>
    </w:div>
    <w:div w:id="1161853947">
      <w:bodyDiv w:val="1"/>
      <w:marLeft w:val="0"/>
      <w:marRight w:val="0"/>
      <w:marTop w:val="0"/>
      <w:marBottom w:val="0"/>
      <w:divBdr>
        <w:top w:val="none" w:sz="0" w:space="0" w:color="auto"/>
        <w:left w:val="none" w:sz="0" w:space="0" w:color="auto"/>
        <w:bottom w:val="none" w:sz="0" w:space="0" w:color="auto"/>
        <w:right w:val="none" w:sz="0" w:space="0" w:color="auto"/>
      </w:divBdr>
      <w:divsChild>
        <w:div w:id="596635">
          <w:marLeft w:val="0"/>
          <w:marRight w:val="0"/>
          <w:marTop w:val="0"/>
          <w:marBottom w:val="150"/>
          <w:divBdr>
            <w:top w:val="none" w:sz="0" w:space="0" w:color="auto"/>
            <w:left w:val="none" w:sz="0" w:space="0" w:color="auto"/>
            <w:bottom w:val="none" w:sz="0" w:space="0" w:color="auto"/>
            <w:right w:val="none" w:sz="0" w:space="0" w:color="auto"/>
          </w:divBdr>
        </w:div>
      </w:divsChild>
    </w:div>
    <w:div w:id="1295520363">
      <w:bodyDiv w:val="1"/>
      <w:marLeft w:val="0"/>
      <w:marRight w:val="0"/>
      <w:marTop w:val="0"/>
      <w:marBottom w:val="0"/>
      <w:divBdr>
        <w:top w:val="none" w:sz="0" w:space="0" w:color="auto"/>
        <w:left w:val="none" w:sz="0" w:space="0" w:color="auto"/>
        <w:bottom w:val="none" w:sz="0" w:space="0" w:color="auto"/>
        <w:right w:val="none" w:sz="0" w:space="0" w:color="auto"/>
      </w:divBdr>
    </w:div>
    <w:div w:id="1355960572">
      <w:bodyDiv w:val="1"/>
      <w:marLeft w:val="0"/>
      <w:marRight w:val="0"/>
      <w:marTop w:val="0"/>
      <w:marBottom w:val="0"/>
      <w:divBdr>
        <w:top w:val="none" w:sz="0" w:space="0" w:color="auto"/>
        <w:left w:val="none" w:sz="0" w:space="0" w:color="auto"/>
        <w:bottom w:val="none" w:sz="0" w:space="0" w:color="auto"/>
        <w:right w:val="none" w:sz="0" w:space="0" w:color="auto"/>
      </w:divBdr>
    </w:div>
    <w:div w:id="1374884581">
      <w:bodyDiv w:val="1"/>
      <w:marLeft w:val="0"/>
      <w:marRight w:val="0"/>
      <w:marTop w:val="0"/>
      <w:marBottom w:val="0"/>
      <w:divBdr>
        <w:top w:val="none" w:sz="0" w:space="0" w:color="auto"/>
        <w:left w:val="none" w:sz="0" w:space="0" w:color="auto"/>
        <w:bottom w:val="none" w:sz="0" w:space="0" w:color="auto"/>
        <w:right w:val="none" w:sz="0" w:space="0" w:color="auto"/>
      </w:divBdr>
    </w:div>
    <w:div w:id="1481926598">
      <w:bodyDiv w:val="1"/>
      <w:marLeft w:val="0"/>
      <w:marRight w:val="0"/>
      <w:marTop w:val="0"/>
      <w:marBottom w:val="0"/>
      <w:divBdr>
        <w:top w:val="none" w:sz="0" w:space="0" w:color="auto"/>
        <w:left w:val="none" w:sz="0" w:space="0" w:color="auto"/>
        <w:bottom w:val="none" w:sz="0" w:space="0" w:color="auto"/>
        <w:right w:val="none" w:sz="0" w:space="0" w:color="auto"/>
      </w:divBdr>
    </w:div>
    <w:div w:id="1496800037">
      <w:bodyDiv w:val="1"/>
      <w:marLeft w:val="0"/>
      <w:marRight w:val="0"/>
      <w:marTop w:val="0"/>
      <w:marBottom w:val="0"/>
      <w:divBdr>
        <w:top w:val="none" w:sz="0" w:space="0" w:color="auto"/>
        <w:left w:val="none" w:sz="0" w:space="0" w:color="auto"/>
        <w:bottom w:val="none" w:sz="0" w:space="0" w:color="auto"/>
        <w:right w:val="none" w:sz="0" w:space="0" w:color="auto"/>
      </w:divBdr>
    </w:div>
    <w:div w:id="1722679404">
      <w:bodyDiv w:val="1"/>
      <w:marLeft w:val="0"/>
      <w:marRight w:val="0"/>
      <w:marTop w:val="0"/>
      <w:marBottom w:val="0"/>
      <w:divBdr>
        <w:top w:val="none" w:sz="0" w:space="0" w:color="auto"/>
        <w:left w:val="none" w:sz="0" w:space="0" w:color="auto"/>
        <w:bottom w:val="none" w:sz="0" w:space="0" w:color="auto"/>
        <w:right w:val="none" w:sz="0" w:space="0" w:color="auto"/>
      </w:divBdr>
    </w:div>
    <w:div w:id="1739668170">
      <w:bodyDiv w:val="1"/>
      <w:marLeft w:val="0"/>
      <w:marRight w:val="0"/>
      <w:marTop w:val="0"/>
      <w:marBottom w:val="0"/>
      <w:divBdr>
        <w:top w:val="none" w:sz="0" w:space="0" w:color="auto"/>
        <w:left w:val="none" w:sz="0" w:space="0" w:color="auto"/>
        <w:bottom w:val="none" w:sz="0" w:space="0" w:color="auto"/>
        <w:right w:val="none" w:sz="0" w:space="0" w:color="auto"/>
      </w:divBdr>
    </w:div>
    <w:div w:id="1780903989">
      <w:bodyDiv w:val="1"/>
      <w:marLeft w:val="0"/>
      <w:marRight w:val="0"/>
      <w:marTop w:val="0"/>
      <w:marBottom w:val="0"/>
      <w:divBdr>
        <w:top w:val="none" w:sz="0" w:space="0" w:color="auto"/>
        <w:left w:val="none" w:sz="0" w:space="0" w:color="auto"/>
        <w:bottom w:val="none" w:sz="0" w:space="0" w:color="auto"/>
        <w:right w:val="none" w:sz="0" w:space="0" w:color="auto"/>
      </w:divBdr>
    </w:div>
    <w:div w:id="1792553299">
      <w:bodyDiv w:val="1"/>
      <w:marLeft w:val="0"/>
      <w:marRight w:val="0"/>
      <w:marTop w:val="0"/>
      <w:marBottom w:val="0"/>
      <w:divBdr>
        <w:top w:val="none" w:sz="0" w:space="0" w:color="auto"/>
        <w:left w:val="none" w:sz="0" w:space="0" w:color="auto"/>
        <w:bottom w:val="none" w:sz="0" w:space="0" w:color="auto"/>
        <w:right w:val="none" w:sz="0" w:space="0" w:color="auto"/>
      </w:divBdr>
    </w:div>
    <w:div w:id="1813211369">
      <w:bodyDiv w:val="1"/>
      <w:marLeft w:val="0"/>
      <w:marRight w:val="0"/>
      <w:marTop w:val="0"/>
      <w:marBottom w:val="0"/>
      <w:divBdr>
        <w:top w:val="none" w:sz="0" w:space="0" w:color="auto"/>
        <w:left w:val="none" w:sz="0" w:space="0" w:color="auto"/>
        <w:bottom w:val="none" w:sz="0" w:space="0" w:color="auto"/>
        <w:right w:val="none" w:sz="0" w:space="0" w:color="auto"/>
      </w:divBdr>
      <w:divsChild>
        <w:div w:id="842818319">
          <w:marLeft w:val="0"/>
          <w:marRight w:val="0"/>
          <w:marTop w:val="150"/>
          <w:marBottom w:val="150"/>
          <w:divBdr>
            <w:top w:val="none" w:sz="0" w:space="0" w:color="auto"/>
            <w:left w:val="none" w:sz="0" w:space="0" w:color="auto"/>
            <w:bottom w:val="none" w:sz="0" w:space="0" w:color="auto"/>
            <w:right w:val="none" w:sz="0" w:space="0" w:color="auto"/>
          </w:divBdr>
        </w:div>
      </w:divsChild>
    </w:div>
    <w:div w:id="1912815518">
      <w:bodyDiv w:val="1"/>
      <w:marLeft w:val="0"/>
      <w:marRight w:val="0"/>
      <w:marTop w:val="0"/>
      <w:marBottom w:val="0"/>
      <w:divBdr>
        <w:top w:val="none" w:sz="0" w:space="0" w:color="auto"/>
        <w:left w:val="none" w:sz="0" w:space="0" w:color="auto"/>
        <w:bottom w:val="none" w:sz="0" w:space="0" w:color="auto"/>
        <w:right w:val="none" w:sz="0" w:space="0" w:color="auto"/>
      </w:divBdr>
    </w:div>
    <w:div w:id="1915502497">
      <w:bodyDiv w:val="1"/>
      <w:marLeft w:val="0"/>
      <w:marRight w:val="0"/>
      <w:marTop w:val="0"/>
      <w:marBottom w:val="0"/>
      <w:divBdr>
        <w:top w:val="none" w:sz="0" w:space="0" w:color="auto"/>
        <w:left w:val="none" w:sz="0" w:space="0" w:color="auto"/>
        <w:bottom w:val="none" w:sz="0" w:space="0" w:color="auto"/>
        <w:right w:val="none" w:sz="0" w:space="0" w:color="auto"/>
      </w:divBdr>
    </w:div>
    <w:div w:id="20098240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ligazakon.net/document/view/gk48890?ed=2021_06_09&amp;an=221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ps.ligazakon.net/document/view/gk48890?ed=2021_06_09&amp;an=1739"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ps.ligazakon.net/document/view/gk48890?ed=2021_06_09&amp;an=22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ps.ligazakon.net/document/view/gk48890?ed=2021_06_09&amp;an=1738" TargetMode="External"/><Relationship Id="rId5" Type="http://schemas.openxmlformats.org/officeDocument/2006/relationships/numbering" Target="numbering.xml"/><Relationship Id="rId15" Type="http://schemas.openxmlformats.org/officeDocument/2006/relationships/hyperlink" Target="https://ips.ligazakon.net/document/view/gk48890?ed=2021_06_09&amp;an=222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ps.ligazakon.net/document/view/gk48890?ed=2021_06_09&amp;an=22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ec66a9b-d7b9-4d80-9af9-4411f582eb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52752954875C41BBB78D986204C654" ma:contentTypeVersion="17" ma:contentTypeDescription="Create a new document." ma:contentTypeScope="" ma:versionID="094c6bcb6cc3a6ce569f15d7f1637f82">
  <xsd:schema xmlns:xsd="http://www.w3.org/2001/XMLSchema" xmlns:xs="http://www.w3.org/2001/XMLSchema" xmlns:p="http://schemas.microsoft.com/office/2006/metadata/properties" xmlns:ns3="fec66a9b-d7b9-4d80-9af9-4411f582eb3e" xmlns:ns4="93ae47b9-c032-4f13-af76-ca542108f3e0" targetNamespace="http://schemas.microsoft.com/office/2006/metadata/properties" ma:root="true" ma:fieldsID="b883d99ef8c944d3b4eabc869cf0011b" ns3:_="" ns4:_="">
    <xsd:import namespace="fec66a9b-d7b9-4d80-9af9-4411f582eb3e"/>
    <xsd:import namespace="93ae47b9-c032-4f13-af76-ca542108f3e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66a9b-d7b9-4d80-9af9-4411f582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e47b9-c032-4f13-af76-ca542108f3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D43BC-3936-4745-8FC6-E3940BFB780E}">
  <ds:schemaRefs>
    <ds:schemaRef ds:uri="http://schemas.microsoft.com/office/2006/metadata/properties"/>
    <ds:schemaRef ds:uri="http://schemas.microsoft.com/office/infopath/2007/PartnerControls"/>
    <ds:schemaRef ds:uri="fec66a9b-d7b9-4d80-9af9-4411f582eb3e"/>
  </ds:schemaRefs>
</ds:datastoreItem>
</file>

<file path=customXml/itemProps2.xml><?xml version="1.0" encoding="utf-8"?>
<ds:datastoreItem xmlns:ds="http://schemas.openxmlformats.org/officeDocument/2006/customXml" ds:itemID="{8C72965A-0012-4702-931B-257816552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66a9b-d7b9-4d80-9af9-4411f582eb3e"/>
    <ds:schemaRef ds:uri="93ae47b9-c032-4f13-af76-ca542108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C54CD2-E18A-4194-8B23-F185C254622E}">
  <ds:schemaRefs>
    <ds:schemaRef ds:uri="http://schemas.microsoft.com/sharepoint/v3/contenttype/forms"/>
  </ds:schemaRefs>
</ds:datastoreItem>
</file>

<file path=customXml/itemProps4.xml><?xml version="1.0" encoding="utf-8"?>
<ds:datastoreItem xmlns:ds="http://schemas.openxmlformats.org/officeDocument/2006/customXml" ds:itemID="{5159A8B1-FE2B-42B7-9A3F-4B51F28EA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16542</Words>
  <Characters>9430</Characters>
  <Application>Microsoft Office Word</Application>
  <DocSecurity>0</DocSecurity>
  <Lines>78</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Мацанек Катерина В'ячеславівна</dc:creator>
  <cp:keywords/>
  <dc:description/>
  <cp:lastModifiedBy>Григорій Туленко</cp:lastModifiedBy>
  <cp:revision>5</cp:revision>
  <cp:lastPrinted>2024-04-15T09:21:00Z</cp:lastPrinted>
  <dcterms:created xsi:type="dcterms:W3CDTF">2024-04-17T09:50:00Z</dcterms:created>
  <dcterms:modified xsi:type="dcterms:W3CDTF">2024-04-22T16:42:00Z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0x0101003952752954875C41BBB78D986204C654</vt:lpwstr>
  </property>
</Properties>
</file>