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5593" w:type="dxa"/>
        <w:tblLayout w:type="fixed"/>
        <w:tblLook w:val="01E0" w:firstRow="1" w:lastRow="1" w:firstColumn="1" w:lastColumn="1" w:noHBand="0" w:noVBand="0"/>
      </w:tblPr>
      <w:tblGrid>
        <w:gridCol w:w="4395"/>
        <w:gridCol w:w="4394"/>
        <w:gridCol w:w="3685"/>
        <w:gridCol w:w="3119"/>
      </w:tblGrid>
      <w:tr w:rsidR="00D86DB4" w:rsidRPr="004F3A51" w:rsidTr="00F05B07">
        <w:trPr>
          <w:trHeight w:val="558"/>
        </w:trPr>
        <w:tc>
          <w:tcPr>
            <w:tcW w:w="15593" w:type="dxa"/>
            <w:gridSpan w:val="4"/>
            <w:tcBorders>
              <w:top w:val="nil"/>
              <w:left w:val="nil"/>
              <w:right w:val="nil"/>
            </w:tcBorders>
          </w:tcPr>
          <w:p w:rsidR="00FC131C" w:rsidRPr="004F3A51" w:rsidRDefault="00D86DB4" w:rsidP="00FC131C">
            <w:pPr>
              <w:spacing w:before="120"/>
              <w:jc w:val="center"/>
              <w:rPr>
                <w:b/>
                <w:bCs/>
                <w:sz w:val="28"/>
                <w:szCs w:val="28"/>
              </w:rPr>
            </w:pPr>
            <w:r w:rsidRPr="004F3A51">
              <w:rPr>
                <w:b/>
                <w:bCs/>
                <w:sz w:val="28"/>
                <w:szCs w:val="28"/>
              </w:rPr>
              <w:t>Узагальнені зауваження та пропозиції до проєкту рішення НКРЕКП, що має ознаки регуляторного акта, – проєкту постанови НКРЕКП «</w:t>
            </w:r>
            <w:r w:rsidR="00F05B07">
              <w:t xml:space="preserve"> </w:t>
            </w:r>
            <w:r w:rsidR="00F05B07" w:rsidRPr="00F05B07">
              <w:rPr>
                <w:b/>
                <w:bCs/>
                <w:sz w:val="28"/>
                <w:szCs w:val="28"/>
              </w:rPr>
              <w:t xml:space="preserve">Про затвердження Змін до Методики (порядку) формування плати за приєднання до системи передачі та системи розподілу </w:t>
            </w:r>
            <w:r w:rsidRPr="004F3A51">
              <w:rPr>
                <w:b/>
                <w:bCs/>
                <w:sz w:val="28"/>
                <w:szCs w:val="28"/>
              </w:rPr>
              <w:t>»</w:t>
            </w:r>
          </w:p>
          <w:p w:rsidR="00D86DB4" w:rsidRPr="004F3A51" w:rsidRDefault="00D86DB4" w:rsidP="00AF7301">
            <w:pPr>
              <w:ind w:firstLine="567"/>
              <w:jc w:val="both"/>
              <w:rPr>
                <w:sz w:val="24"/>
                <w:szCs w:val="24"/>
              </w:rPr>
            </w:pPr>
            <w:r w:rsidRPr="004F3A51">
              <w:rPr>
                <w:sz w:val="24"/>
                <w:szCs w:val="24"/>
              </w:rPr>
              <w:t>* - зміни виділені за принципом:</w:t>
            </w:r>
          </w:p>
          <w:p w:rsidR="00D86DB4" w:rsidRPr="004F3A51" w:rsidRDefault="00D86DB4" w:rsidP="00AF7301">
            <w:pPr>
              <w:ind w:firstLine="567"/>
              <w:jc w:val="both"/>
              <w:rPr>
                <w:sz w:val="24"/>
                <w:szCs w:val="24"/>
              </w:rPr>
            </w:pPr>
            <w:r w:rsidRPr="004F3A51">
              <w:rPr>
                <w:sz w:val="24"/>
                <w:szCs w:val="24"/>
              </w:rPr>
              <w:t xml:space="preserve">новий текст редакції НКРЕКП проєкту – </w:t>
            </w:r>
            <w:r w:rsidRPr="00816B1B">
              <w:rPr>
                <w:b/>
                <w:sz w:val="24"/>
                <w:szCs w:val="24"/>
              </w:rPr>
              <w:t>напівжирним шрифтом</w:t>
            </w:r>
            <w:r w:rsidRPr="00816B1B">
              <w:rPr>
                <w:sz w:val="24"/>
                <w:szCs w:val="24"/>
              </w:rPr>
              <w:t xml:space="preserve"> </w:t>
            </w:r>
            <w:r w:rsidRPr="004F3A51">
              <w:rPr>
                <w:sz w:val="24"/>
                <w:szCs w:val="24"/>
              </w:rPr>
              <w:t>(слова, що виключені -</w:t>
            </w:r>
            <w:r w:rsidRPr="004F3A51">
              <w:rPr>
                <w:color w:val="0070C0"/>
                <w:sz w:val="24"/>
                <w:szCs w:val="24"/>
              </w:rPr>
              <w:t xml:space="preserve"> </w:t>
            </w:r>
            <w:r w:rsidRPr="00816B1B">
              <w:rPr>
                <w:strike/>
                <w:sz w:val="24"/>
                <w:szCs w:val="24"/>
              </w:rPr>
              <w:t>закресленим напівжирним</w:t>
            </w:r>
            <w:r w:rsidRPr="004F3A51">
              <w:rPr>
                <w:sz w:val="24"/>
                <w:szCs w:val="24"/>
              </w:rPr>
              <w:t>);</w:t>
            </w:r>
          </w:p>
          <w:p w:rsidR="00D86DB4" w:rsidRPr="004F3A51" w:rsidRDefault="00D86DB4" w:rsidP="00AF7301">
            <w:pPr>
              <w:ind w:firstLine="567"/>
              <w:jc w:val="both"/>
              <w:rPr>
                <w:sz w:val="24"/>
                <w:szCs w:val="24"/>
              </w:rPr>
            </w:pPr>
            <w:r w:rsidRPr="004F3A51">
              <w:rPr>
                <w:sz w:val="24"/>
                <w:szCs w:val="24"/>
              </w:rPr>
              <w:t xml:space="preserve">новий текст редакції пропозицій - </w:t>
            </w:r>
            <w:r w:rsidRPr="004F3A51">
              <w:rPr>
                <w:b/>
                <w:color w:val="0070C0"/>
                <w:sz w:val="24"/>
                <w:szCs w:val="24"/>
              </w:rPr>
              <w:t>напівжирним шрифтом (</w:t>
            </w:r>
            <w:r w:rsidRPr="004F3A51">
              <w:rPr>
                <w:sz w:val="24"/>
                <w:szCs w:val="24"/>
              </w:rPr>
              <w:t>слова, що пропонується виключити -</w:t>
            </w:r>
            <w:r w:rsidRPr="004F3A51">
              <w:rPr>
                <w:color w:val="0070C0"/>
                <w:sz w:val="24"/>
                <w:szCs w:val="24"/>
              </w:rPr>
              <w:t xml:space="preserve"> </w:t>
            </w:r>
            <w:r w:rsidRPr="004F3A51">
              <w:rPr>
                <w:strike/>
                <w:color w:val="0070C0"/>
                <w:sz w:val="24"/>
                <w:szCs w:val="24"/>
              </w:rPr>
              <w:t>закресленим напівжирним</w:t>
            </w:r>
            <w:r w:rsidRPr="004F3A51">
              <w:rPr>
                <w:sz w:val="24"/>
                <w:szCs w:val="24"/>
              </w:rPr>
              <w:t>)</w:t>
            </w:r>
          </w:p>
          <w:p w:rsidR="00D86DB4" w:rsidRPr="004F3A51" w:rsidRDefault="00D86DB4" w:rsidP="00AF7301">
            <w:pPr>
              <w:ind w:firstLine="567"/>
              <w:jc w:val="both"/>
              <w:rPr>
                <w:sz w:val="24"/>
                <w:szCs w:val="24"/>
              </w:rPr>
            </w:pPr>
            <w:r w:rsidRPr="004F3A51">
              <w:rPr>
                <w:sz w:val="24"/>
                <w:szCs w:val="24"/>
              </w:rPr>
              <w:t xml:space="preserve">редакція за результатом отриманих пропозицій– </w:t>
            </w:r>
            <w:r w:rsidRPr="004F3A51">
              <w:rPr>
                <w:b/>
                <w:color w:val="00B050"/>
                <w:sz w:val="24"/>
                <w:szCs w:val="24"/>
              </w:rPr>
              <w:t>жирним</w:t>
            </w:r>
            <w:r w:rsidRPr="004F3A51">
              <w:rPr>
                <w:b/>
                <w:sz w:val="24"/>
                <w:szCs w:val="24"/>
              </w:rPr>
              <w:t xml:space="preserve"> </w:t>
            </w:r>
            <w:r w:rsidRPr="004F3A51">
              <w:rPr>
                <w:b/>
                <w:color w:val="00B050"/>
                <w:sz w:val="24"/>
                <w:szCs w:val="24"/>
              </w:rPr>
              <w:t>шрифтом та виділені зеленим кольором</w:t>
            </w:r>
            <w:r w:rsidRPr="004F3A51">
              <w:rPr>
                <w:b/>
                <w:sz w:val="24"/>
                <w:szCs w:val="24"/>
              </w:rPr>
              <w:t>.</w:t>
            </w:r>
          </w:p>
          <w:p w:rsidR="00D86DB4" w:rsidRPr="004F3A51" w:rsidRDefault="00D86DB4" w:rsidP="00AF7301">
            <w:pPr>
              <w:spacing w:before="120" w:after="120"/>
              <w:jc w:val="center"/>
              <w:rPr>
                <w:b/>
                <w:bCs/>
                <w:sz w:val="28"/>
                <w:szCs w:val="28"/>
              </w:rPr>
            </w:pPr>
          </w:p>
        </w:tc>
      </w:tr>
      <w:tr w:rsidR="00D86DB4" w:rsidRPr="004F3A51" w:rsidTr="00F05B07">
        <w:trPr>
          <w:trHeight w:val="218"/>
        </w:trPr>
        <w:tc>
          <w:tcPr>
            <w:tcW w:w="4395" w:type="dxa"/>
            <w:vMerge w:val="restart"/>
          </w:tcPr>
          <w:p w:rsidR="00D86DB4" w:rsidRPr="004F3A51" w:rsidRDefault="00D86DB4" w:rsidP="00AF7301">
            <w:pPr>
              <w:jc w:val="center"/>
              <w:rPr>
                <w:b/>
                <w:sz w:val="24"/>
                <w:szCs w:val="24"/>
              </w:rPr>
            </w:pPr>
            <w:r w:rsidRPr="004F3A51">
              <w:rPr>
                <w:b/>
                <w:i/>
                <w:sz w:val="24"/>
                <w:szCs w:val="24"/>
                <w:lang w:eastAsia="uk-UA"/>
              </w:rPr>
              <w:t>ЗМІСТ ПОЛОЖЕНЬ ПРОЄКТУ ПОСТАНОВИ</w:t>
            </w:r>
          </w:p>
        </w:tc>
        <w:tc>
          <w:tcPr>
            <w:tcW w:w="8079" w:type="dxa"/>
            <w:gridSpan w:val="2"/>
          </w:tcPr>
          <w:p w:rsidR="00D86DB4" w:rsidRPr="004F3A51" w:rsidRDefault="00D86DB4" w:rsidP="00AF7301">
            <w:pPr>
              <w:jc w:val="center"/>
              <w:rPr>
                <w:b/>
                <w:i/>
                <w:sz w:val="24"/>
                <w:szCs w:val="24"/>
                <w:lang w:eastAsia="uk-UA"/>
              </w:rPr>
            </w:pPr>
            <w:r w:rsidRPr="004F3A51">
              <w:rPr>
                <w:b/>
                <w:i/>
                <w:sz w:val="24"/>
                <w:szCs w:val="24"/>
              </w:rPr>
              <w:t>ЗАУВАЖЕННЯ ТА ПРОПОЗИЦІЇ ДО ПРОЄКТУ РІШЕННЯ НКРЕКП</w:t>
            </w:r>
          </w:p>
        </w:tc>
        <w:tc>
          <w:tcPr>
            <w:tcW w:w="3119" w:type="dxa"/>
            <w:vMerge w:val="restart"/>
          </w:tcPr>
          <w:p w:rsidR="00D86DB4" w:rsidRPr="004F3A51" w:rsidRDefault="00D86DB4" w:rsidP="00AF7301">
            <w:pPr>
              <w:jc w:val="center"/>
              <w:rPr>
                <w:b/>
                <w:i/>
                <w:sz w:val="24"/>
                <w:szCs w:val="24"/>
                <w:lang w:eastAsia="uk-UA"/>
              </w:rPr>
            </w:pPr>
            <w:r w:rsidRPr="004F3A51">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4F3A51" w:rsidTr="00F05B07">
        <w:trPr>
          <w:trHeight w:val="218"/>
        </w:trPr>
        <w:tc>
          <w:tcPr>
            <w:tcW w:w="4395" w:type="dxa"/>
            <w:vMerge/>
          </w:tcPr>
          <w:p w:rsidR="00D86DB4" w:rsidRPr="004F3A51" w:rsidRDefault="00D86DB4" w:rsidP="00AF7301">
            <w:pPr>
              <w:jc w:val="center"/>
              <w:rPr>
                <w:b/>
                <w:sz w:val="24"/>
                <w:szCs w:val="24"/>
              </w:rPr>
            </w:pPr>
          </w:p>
        </w:tc>
        <w:tc>
          <w:tcPr>
            <w:tcW w:w="4394" w:type="dxa"/>
          </w:tcPr>
          <w:p w:rsidR="00D86DB4" w:rsidRPr="004F3A51" w:rsidRDefault="00D86DB4" w:rsidP="00AF7301">
            <w:pPr>
              <w:jc w:val="center"/>
              <w:rPr>
                <w:b/>
                <w:sz w:val="24"/>
                <w:szCs w:val="24"/>
              </w:rPr>
            </w:pPr>
            <w:r w:rsidRPr="004F3A51">
              <w:rPr>
                <w:b/>
                <w:i/>
                <w:sz w:val="24"/>
                <w:szCs w:val="24"/>
              </w:rPr>
              <w:t>ЗМІСТ ЗАУВАЖЕННЯ АБО ПРОПОЗИЦІЇ</w:t>
            </w:r>
          </w:p>
        </w:tc>
        <w:tc>
          <w:tcPr>
            <w:tcW w:w="3685" w:type="dxa"/>
          </w:tcPr>
          <w:p w:rsidR="00D86DB4" w:rsidRPr="004F3A51" w:rsidRDefault="00D86DB4" w:rsidP="00AF7301">
            <w:pPr>
              <w:jc w:val="center"/>
              <w:rPr>
                <w:b/>
                <w:i/>
                <w:sz w:val="24"/>
                <w:szCs w:val="24"/>
                <w:lang w:eastAsia="uk-UA"/>
              </w:rPr>
            </w:pPr>
            <w:r w:rsidRPr="004F3A51">
              <w:rPr>
                <w:b/>
                <w:i/>
                <w:sz w:val="24"/>
                <w:szCs w:val="24"/>
              </w:rPr>
              <w:t>ОБҐРУНТУВАННЯ ДО ЗАУВАЖЕНЬ ТА ПРОПОЗИЦІЙ</w:t>
            </w:r>
          </w:p>
        </w:tc>
        <w:tc>
          <w:tcPr>
            <w:tcW w:w="3119" w:type="dxa"/>
            <w:vMerge/>
          </w:tcPr>
          <w:p w:rsidR="00D86DB4" w:rsidRPr="004F3A51" w:rsidRDefault="00D86DB4" w:rsidP="00AF7301">
            <w:pPr>
              <w:jc w:val="center"/>
              <w:rPr>
                <w:b/>
                <w:i/>
                <w:sz w:val="24"/>
                <w:szCs w:val="24"/>
                <w:lang w:eastAsia="uk-UA"/>
              </w:rPr>
            </w:pPr>
          </w:p>
        </w:tc>
      </w:tr>
      <w:tr w:rsidR="00FC131C" w:rsidRPr="004F3A51" w:rsidTr="00F05B07">
        <w:trPr>
          <w:trHeight w:val="218"/>
        </w:trPr>
        <w:tc>
          <w:tcPr>
            <w:tcW w:w="15593" w:type="dxa"/>
            <w:gridSpan w:val="4"/>
          </w:tcPr>
          <w:p w:rsidR="00FC131C" w:rsidRPr="004F3A51" w:rsidRDefault="00F05B07" w:rsidP="00FC131C">
            <w:pPr>
              <w:shd w:val="clear" w:color="auto" w:fill="FFFFFF"/>
              <w:ind w:firstLine="446"/>
              <w:jc w:val="center"/>
              <w:rPr>
                <w:rFonts w:eastAsia="Open Sans"/>
                <w:b/>
                <w:sz w:val="24"/>
                <w:szCs w:val="24"/>
              </w:rPr>
            </w:pPr>
            <w:r w:rsidRPr="00F05B07">
              <w:rPr>
                <w:rFonts w:eastAsia="Open Sans"/>
                <w:b/>
                <w:sz w:val="24"/>
                <w:szCs w:val="24"/>
              </w:rPr>
              <w:t>Постанова «Про затвердження Змін до Методики (порядку) формування плати за приєднання до системи передачі та системи розподілу»</w:t>
            </w:r>
          </w:p>
        </w:tc>
      </w:tr>
      <w:tr w:rsidR="00EC7B35" w:rsidRPr="004F3A51" w:rsidTr="00F05B07">
        <w:trPr>
          <w:trHeight w:val="218"/>
        </w:trPr>
        <w:tc>
          <w:tcPr>
            <w:tcW w:w="4395" w:type="dxa"/>
            <w:vMerge w:val="restart"/>
          </w:tcPr>
          <w:p w:rsidR="00EC7B35" w:rsidRDefault="00EC7B35" w:rsidP="00F05B07">
            <w:pPr>
              <w:tabs>
                <w:tab w:val="left" w:pos="993"/>
              </w:tabs>
              <w:ind w:firstLine="326"/>
              <w:jc w:val="both"/>
              <w:rPr>
                <w:b/>
                <w:color w:val="7030A0"/>
                <w:sz w:val="24"/>
                <w:szCs w:val="24"/>
              </w:rPr>
            </w:pPr>
          </w:p>
          <w:p w:rsidR="00EC7B35" w:rsidRDefault="00EC7B35"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0F6AC0" w:rsidRDefault="000F6AC0" w:rsidP="00F05B07">
            <w:pPr>
              <w:tabs>
                <w:tab w:val="left" w:pos="993"/>
              </w:tabs>
              <w:ind w:firstLine="326"/>
              <w:jc w:val="both"/>
              <w:rPr>
                <w:b/>
                <w:color w:val="7030A0"/>
                <w:sz w:val="24"/>
                <w:szCs w:val="24"/>
              </w:rPr>
            </w:pPr>
          </w:p>
          <w:p w:rsidR="00EC7B35" w:rsidRPr="00F05B07" w:rsidRDefault="00EC7B35" w:rsidP="00F05B07">
            <w:pPr>
              <w:tabs>
                <w:tab w:val="left" w:pos="993"/>
              </w:tabs>
              <w:ind w:firstLine="326"/>
              <w:jc w:val="both"/>
              <w:rPr>
                <w:b/>
                <w:color w:val="000000"/>
                <w:sz w:val="24"/>
                <w:szCs w:val="24"/>
              </w:rPr>
            </w:pPr>
            <w:r w:rsidRPr="00816B1B">
              <w:rPr>
                <w:b/>
                <w:sz w:val="24"/>
                <w:szCs w:val="24"/>
              </w:rPr>
              <w:t xml:space="preserve">2. Після введення в експлуатацію системи моніторингу надання оператором системи передачі та операторами систем розподілу послуг з приєднань до електричних мереж </w:t>
            </w:r>
            <w:r w:rsidRPr="00816B1B">
              <w:rPr>
                <w:b/>
                <w:sz w:val="24"/>
                <w:szCs w:val="24"/>
              </w:rPr>
              <w:lastRenderedPageBreak/>
              <w:t>(далі – система моніторингу приєднань) та видачі НКРЕКП відповідного розпорядчого документу оператор системи передачі та оператори систем розподілу (далі разом – оператори систем) мають забезпечити у дослідному режимі наповнення інформацією систему моніторингу приєднань через особисті кабінети операторів систем в обсязі, визначеному у додатку 1 до Методики.</w:t>
            </w:r>
          </w:p>
        </w:tc>
        <w:tc>
          <w:tcPr>
            <w:tcW w:w="4394" w:type="dxa"/>
          </w:tcPr>
          <w:p w:rsidR="00EC7B35" w:rsidRPr="00F05B07" w:rsidRDefault="00EC7B35" w:rsidP="0092547E">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r w:rsidR="003A514C">
              <w:rPr>
                <w:b/>
                <w:sz w:val="24"/>
                <w:szCs w:val="24"/>
                <w:u w:val="single"/>
              </w:rPr>
              <w:t>, ПрАТ «Львівобленерго»</w:t>
            </w:r>
          </w:p>
          <w:p w:rsidR="00EC7B35" w:rsidRPr="004F3A51" w:rsidRDefault="00EC7B35" w:rsidP="009E4B6A">
            <w:pPr>
              <w:ind w:firstLine="224"/>
              <w:contextualSpacing/>
              <w:jc w:val="both"/>
              <w:rPr>
                <w:b/>
                <w:color w:val="000000"/>
                <w:sz w:val="24"/>
                <w:szCs w:val="24"/>
              </w:rPr>
            </w:pPr>
            <w:r w:rsidRPr="000B2616">
              <w:rPr>
                <w:sz w:val="24"/>
                <w:szCs w:val="24"/>
              </w:rPr>
              <w:t xml:space="preserve">2. </w:t>
            </w:r>
            <w:r w:rsidRPr="00F05B07">
              <w:rPr>
                <w:b/>
                <w:color w:val="0070C0"/>
                <w:sz w:val="24"/>
                <w:szCs w:val="24"/>
              </w:rPr>
              <w:t>Через 6 місяців</w:t>
            </w:r>
            <w:r w:rsidRPr="00F05B07">
              <w:rPr>
                <w:color w:val="0070C0"/>
                <w:sz w:val="24"/>
                <w:szCs w:val="24"/>
              </w:rPr>
              <w:t xml:space="preserve"> </w:t>
            </w:r>
            <w:r w:rsidRPr="00816B1B">
              <w:rPr>
                <w:b/>
                <w:sz w:val="24"/>
                <w:szCs w:val="24"/>
              </w:rPr>
              <w:t xml:space="preserve">після введення в експлуатацію системи моніторингу надання оператором системи передачі та операторами систем розподілу послуг з приєднань до електричних </w:t>
            </w:r>
            <w:r w:rsidRPr="00816B1B">
              <w:rPr>
                <w:b/>
                <w:sz w:val="24"/>
                <w:szCs w:val="24"/>
              </w:rPr>
              <w:lastRenderedPageBreak/>
              <w:t>мереж (далі – система моніторингу приєднань) та видачі НКРЕКП відповідного розпорядчого документу оператор системи передачі та оператори систем розподілу (далі разом – оператори систем) мають забезпечити у дослідному режимі наповнення інформацією систему моніторингу приєднань через особисті кабінети операторів систем в обсязі, визначеному у додатку 1 до Методики.</w:t>
            </w:r>
          </w:p>
        </w:tc>
        <w:tc>
          <w:tcPr>
            <w:tcW w:w="3685" w:type="dxa"/>
          </w:tcPr>
          <w:p w:rsidR="00EC7B35" w:rsidRPr="004F3A51" w:rsidRDefault="00EC7B35" w:rsidP="00F3198F">
            <w:pPr>
              <w:ind w:firstLine="182"/>
              <w:jc w:val="both"/>
              <w:rPr>
                <w:sz w:val="24"/>
                <w:szCs w:val="24"/>
              </w:rPr>
            </w:pPr>
            <w:r w:rsidRPr="00F05B07">
              <w:rPr>
                <w:sz w:val="24"/>
                <w:szCs w:val="24"/>
              </w:rPr>
              <w:lastRenderedPageBreak/>
              <w:t>Для можливості ознайомлення з принципами роботи системи моніторингу та в подальшому коректному наповненню системи інформацією</w:t>
            </w:r>
          </w:p>
        </w:tc>
        <w:tc>
          <w:tcPr>
            <w:tcW w:w="3119" w:type="dxa"/>
          </w:tcPr>
          <w:p w:rsidR="00593D71" w:rsidRDefault="008876DB" w:rsidP="00250554">
            <w:pPr>
              <w:jc w:val="center"/>
              <w:rPr>
                <w:b/>
                <w:sz w:val="24"/>
                <w:szCs w:val="24"/>
                <w:lang w:val="ru-RU" w:eastAsia="uk-UA"/>
              </w:rPr>
            </w:pPr>
            <w:r>
              <w:rPr>
                <w:b/>
                <w:sz w:val="24"/>
                <w:szCs w:val="24"/>
                <w:lang w:val="ru-RU" w:eastAsia="uk-UA"/>
              </w:rPr>
              <w:t>Пропонується врахувати в редакції:</w:t>
            </w:r>
          </w:p>
          <w:p w:rsidR="008876DB" w:rsidRPr="008876DB" w:rsidRDefault="008876DB" w:rsidP="008876DB">
            <w:pPr>
              <w:ind w:firstLine="174"/>
              <w:jc w:val="both"/>
              <w:rPr>
                <w:b/>
                <w:sz w:val="24"/>
                <w:szCs w:val="24"/>
                <w:lang w:val="ru-RU" w:eastAsia="uk-UA"/>
              </w:rPr>
            </w:pPr>
            <w:r w:rsidRPr="000B2616">
              <w:rPr>
                <w:sz w:val="24"/>
                <w:szCs w:val="24"/>
              </w:rPr>
              <w:t xml:space="preserve">2. </w:t>
            </w:r>
            <w:r w:rsidR="007232CD" w:rsidRPr="007232CD">
              <w:rPr>
                <w:b/>
                <w:sz w:val="24"/>
                <w:szCs w:val="24"/>
              </w:rPr>
              <w:t>П</w:t>
            </w:r>
            <w:r w:rsidRPr="00816B1B">
              <w:rPr>
                <w:b/>
                <w:sz w:val="24"/>
                <w:szCs w:val="24"/>
              </w:rPr>
              <w:t xml:space="preserve">ісля введення в </w:t>
            </w:r>
            <w:r w:rsidRPr="008876DB">
              <w:rPr>
                <w:b/>
                <w:color w:val="00B050"/>
                <w:sz w:val="24"/>
                <w:szCs w:val="24"/>
              </w:rPr>
              <w:t xml:space="preserve">промислово-дослідну </w:t>
            </w:r>
            <w:r w:rsidRPr="00816B1B">
              <w:rPr>
                <w:b/>
                <w:sz w:val="24"/>
                <w:szCs w:val="24"/>
              </w:rPr>
              <w:t xml:space="preserve">експлуатацію системи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та видачі НКРЕКП відповідного </w:t>
            </w:r>
            <w:r w:rsidRPr="00816B1B">
              <w:rPr>
                <w:b/>
                <w:sz w:val="24"/>
                <w:szCs w:val="24"/>
              </w:rPr>
              <w:lastRenderedPageBreak/>
              <w:t>розпорядчого документу оператор системи передачі та оператори систем розподілу (далі разом – оператори систем) мають забезпечити у дослідному режимі наповнення інформацією систему моніторингу приєднань через особисті кабінети операторів систем</w:t>
            </w:r>
            <w:r w:rsidR="007232CD">
              <w:rPr>
                <w:b/>
                <w:sz w:val="24"/>
                <w:szCs w:val="24"/>
              </w:rPr>
              <w:t xml:space="preserve"> </w:t>
            </w:r>
            <w:r w:rsidR="007232CD" w:rsidRPr="000D31AB">
              <w:rPr>
                <w:b/>
                <w:color w:val="00B050"/>
                <w:sz w:val="24"/>
                <w:szCs w:val="24"/>
              </w:rPr>
              <w:t>згідно затвердженого НКРЕКП графіку</w:t>
            </w:r>
            <w:r w:rsidR="007232CD">
              <w:rPr>
                <w:b/>
                <w:sz w:val="24"/>
                <w:szCs w:val="24"/>
              </w:rPr>
              <w:t xml:space="preserve"> та</w:t>
            </w:r>
            <w:r w:rsidRPr="00816B1B">
              <w:rPr>
                <w:b/>
                <w:sz w:val="24"/>
                <w:szCs w:val="24"/>
              </w:rPr>
              <w:t xml:space="preserve"> в обсязі, визначеному у додатку 1 до Методики.</w:t>
            </w:r>
          </w:p>
        </w:tc>
      </w:tr>
      <w:tr w:rsidR="00EC7B35" w:rsidRPr="004F3A51" w:rsidTr="00F05B07">
        <w:trPr>
          <w:trHeight w:val="218"/>
        </w:trPr>
        <w:tc>
          <w:tcPr>
            <w:tcW w:w="4395" w:type="dxa"/>
            <w:vMerge/>
          </w:tcPr>
          <w:p w:rsidR="00EC7B35" w:rsidRDefault="00EC7B35" w:rsidP="00F05B07">
            <w:pPr>
              <w:tabs>
                <w:tab w:val="left" w:pos="993"/>
              </w:tabs>
              <w:ind w:firstLine="326"/>
              <w:jc w:val="both"/>
              <w:rPr>
                <w:b/>
                <w:color w:val="7030A0"/>
                <w:sz w:val="24"/>
                <w:szCs w:val="24"/>
              </w:rPr>
            </w:pPr>
          </w:p>
        </w:tc>
        <w:tc>
          <w:tcPr>
            <w:tcW w:w="4394" w:type="dxa"/>
          </w:tcPr>
          <w:p w:rsidR="00EC7B35" w:rsidRPr="00EC7B35" w:rsidRDefault="00EC7B35" w:rsidP="0092547E">
            <w:pPr>
              <w:ind w:firstLine="224"/>
              <w:contextualSpacing/>
              <w:jc w:val="both"/>
              <w:rPr>
                <w:b/>
                <w:sz w:val="24"/>
                <w:szCs w:val="24"/>
                <w:u w:val="single"/>
              </w:rPr>
            </w:pPr>
            <w:r w:rsidRPr="00EC7B35">
              <w:rPr>
                <w:b/>
                <w:sz w:val="24"/>
                <w:szCs w:val="24"/>
                <w:u w:val="single"/>
              </w:rPr>
              <w:t>АТ «Прикарпаттяобленерго»</w:t>
            </w:r>
          </w:p>
          <w:p w:rsidR="00EC7B35" w:rsidRPr="00F05B07" w:rsidRDefault="00EC7B35" w:rsidP="0092547E">
            <w:pPr>
              <w:ind w:firstLine="224"/>
              <w:contextualSpacing/>
              <w:jc w:val="both"/>
              <w:rPr>
                <w:b/>
                <w:sz w:val="24"/>
                <w:szCs w:val="24"/>
                <w:u w:val="single"/>
              </w:rPr>
            </w:pPr>
            <w:r w:rsidRPr="00EC7B35">
              <w:rPr>
                <w:color w:val="0070C0"/>
                <w:sz w:val="24"/>
                <w:szCs w:val="24"/>
              </w:rPr>
              <w:t>Розробити систему моніторингу надання операторами систем розподілу та операторами систем передачі послуг з приєднань до електричних мереж (далі – система моніторингу приєднань). Оприлюднити на офіційному сайті НКРЕКП Положення про систему моніторингу приєднань (з детальним описом функціоналу інформаційно-аналітичного програмного комплексу, регламенту та протоколів передачі даних від операторів систем до НКРЕКП, затверджених форм та форматів передачі інформації) та інструкцію щодо заповнення інформації операторами систем.</w:t>
            </w:r>
          </w:p>
        </w:tc>
        <w:tc>
          <w:tcPr>
            <w:tcW w:w="3685" w:type="dxa"/>
          </w:tcPr>
          <w:p w:rsidR="00EC7B35" w:rsidRPr="00EC7B35" w:rsidRDefault="00EC7B35" w:rsidP="00EC7B35">
            <w:pPr>
              <w:ind w:firstLine="182"/>
              <w:jc w:val="both"/>
              <w:rPr>
                <w:sz w:val="24"/>
                <w:szCs w:val="24"/>
              </w:rPr>
            </w:pPr>
            <w:r w:rsidRPr="00EC7B35">
              <w:rPr>
                <w:sz w:val="24"/>
                <w:szCs w:val="24"/>
              </w:rPr>
              <w:t xml:space="preserve">У операторів систем розподілу та систем передачі відсуня інформація щодо розробки та впровадження інформаційно-аналітичний програмного комплексу. Необхідно ознайомити ОСР//ОСП із функціоналом програмного комплексу, вимогами щодо передачі даних, а також надати операторам системи розподілу час для адаптації власних програмних продуктів щодо реалізації послуг приєднання електроустановок до вимог інформаційно-аналітичний програмного комплексу, налагодження протоколів обміну інформацією, особливостей </w:t>
            </w:r>
            <w:r w:rsidRPr="00EC7B35">
              <w:rPr>
                <w:sz w:val="24"/>
                <w:szCs w:val="24"/>
              </w:rPr>
              <w:lastRenderedPageBreak/>
              <w:t>захисту та безпеки передачі інформації, тощо.</w:t>
            </w:r>
          </w:p>
          <w:p w:rsidR="00EC7B35" w:rsidRPr="00F05B07" w:rsidRDefault="00EC7B35" w:rsidP="00EC7B35">
            <w:pPr>
              <w:ind w:firstLine="182"/>
              <w:jc w:val="both"/>
              <w:rPr>
                <w:sz w:val="24"/>
                <w:szCs w:val="24"/>
              </w:rPr>
            </w:pPr>
            <w:r w:rsidRPr="00EC7B35">
              <w:rPr>
                <w:sz w:val="24"/>
                <w:szCs w:val="24"/>
              </w:rPr>
              <w:t>Використання даного інформаційно-аналітичного комплексу має передбачатись Кодексом Систем розподілу</w:t>
            </w:r>
          </w:p>
        </w:tc>
        <w:tc>
          <w:tcPr>
            <w:tcW w:w="3119" w:type="dxa"/>
          </w:tcPr>
          <w:p w:rsidR="00EC7B35" w:rsidRPr="004F3A51" w:rsidRDefault="00CD72F3" w:rsidP="00C0574C">
            <w:pPr>
              <w:jc w:val="both"/>
              <w:rPr>
                <w:b/>
                <w:sz w:val="24"/>
                <w:szCs w:val="24"/>
                <w:lang w:eastAsia="uk-UA"/>
              </w:rPr>
            </w:pPr>
            <w:r>
              <w:rPr>
                <w:b/>
                <w:sz w:val="24"/>
                <w:szCs w:val="24"/>
                <w:lang w:eastAsia="uk-UA"/>
              </w:rPr>
              <w:lastRenderedPageBreak/>
              <w:t>Пропонується відхилити</w:t>
            </w:r>
          </w:p>
        </w:tc>
      </w:tr>
      <w:tr w:rsidR="00EC7B35" w:rsidRPr="004F3A51" w:rsidTr="00F05B07">
        <w:trPr>
          <w:trHeight w:val="218"/>
        </w:trPr>
        <w:tc>
          <w:tcPr>
            <w:tcW w:w="4395" w:type="dxa"/>
            <w:vMerge w:val="restart"/>
          </w:tcPr>
          <w:p w:rsidR="00EC7B35" w:rsidRPr="00F05B07" w:rsidRDefault="00EC7B35" w:rsidP="00F05B07">
            <w:pPr>
              <w:tabs>
                <w:tab w:val="left" w:pos="993"/>
              </w:tabs>
              <w:ind w:firstLine="326"/>
              <w:jc w:val="both"/>
              <w:rPr>
                <w:b/>
                <w:i/>
                <w:sz w:val="24"/>
                <w:szCs w:val="24"/>
              </w:rPr>
            </w:pPr>
            <w:r w:rsidRPr="00F05B07">
              <w:rPr>
                <w:b/>
                <w:i/>
                <w:sz w:val="24"/>
                <w:szCs w:val="24"/>
              </w:rPr>
              <w:t>Пункт відсутній</w:t>
            </w:r>
          </w:p>
        </w:tc>
        <w:tc>
          <w:tcPr>
            <w:tcW w:w="4394" w:type="dxa"/>
          </w:tcPr>
          <w:p w:rsidR="00EC7B35" w:rsidRPr="00F05B07" w:rsidRDefault="00EC7B35" w:rsidP="0041631D">
            <w:pPr>
              <w:ind w:firstLine="224"/>
              <w:contextualSpacing/>
              <w:jc w:val="both"/>
              <w:rPr>
                <w:b/>
                <w:sz w:val="24"/>
                <w:szCs w:val="24"/>
                <w:u w:val="single"/>
              </w:rPr>
            </w:pPr>
            <w:r w:rsidRPr="00F05B07">
              <w:rPr>
                <w:b/>
                <w:sz w:val="24"/>
                <w:szCs w:val="24"/>
                <w:u w:val="single"/>
              </w:rPr>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EC7B35" w:rsidRPr="00F05B07" w:rsidRDefault="00EC7B35" w:rsidP="009E4B6A">
            <w:pPr>
              <w:ind w:firstLine="224"/>
              <w:contextualSpacing/>
              <w:jc w:val="both"/>
              <w:rPr>
                <w:b/>
                <w:sz w:val="24"/>
                <w:szCs w:val="24"/>
                <w:u w:val="single"/>
              </w:rPr>
            </w:pPr>
            <w:r w:rsidRPr="00F05B07">
              <w:rPr>
                <w:b/>
                <w:color w:val="0070C0"/>
                <w:sz w:val="24"/>
                <w:szCs w:val="24"/>
              </w:rPr>
              <w:t xml:space="preserve">3. Встановити на період 2024-2025 рр для всіх операторів системи розподілу розрахунок ставок (для стандартного та нестандартного приєднання) за приєднання із застосуванням  </w:t>
            </w:r>
            <w:r w:rsidRPr="00F05B07">
              <w:rPr>
                <w:b/>
                <w:color w:val="0070C0"/>
                <w:sz w:val="24"/>
                <w:szCs w:val="24"/>
                <w:lang w:val="ru-RU"/>
              </w:rPr>
              <w:t>питомої вартост</w:t>
            </w:r>
            <w:r w:rsidRPr="00F05B07">
              <w:rPr>
                <w:b/>
                <w:color w:val="0070C0"/>
                <w:sz w:val="24"/>
                <w:szCs w:val="24"/>
              </w:rPr>
              <w:t>і приєднання 1 кВт  потужності електроустановок замовника (Пбаз).</w:t>
            </w:r>
          </w:p>
        </w:tc>
        <w:tc>
          <w:tcPr>
            <w:tcW w:w="3685" w:type="dxa"/>
          </w:tcPr>
          <w:p w:rsidR="00EC7B35" w:rsidRPr="00F05B07" w:rsidRDefault="00EC7B35" w:rsidP="00F3198F">
            <w:pPr>
              <w:ind w:firstLine="182"/>
              <w:jc w:val="both"/>
              <w:rPr>
                <w:sz w:val="24"/>
                <w:szCs w:val="24"/>
              </w:rPr>
            </w:pPr>
            <w:r w:rsidRPr="000B2616">
              <w:rPr>
                <w:sz w:val="24"/>
                <w:szCs w:val="24"/>
              </w:rPr>
              <w:t>Необхідно встановлення терміну на розрахунок Пбаз із застосуванням  питомої вартості приєднання 1 кВт  потужності</w:t>
            </w:r>
          </w:p>
        </w:tc>
        <w:tc>
          <w:tcPr>
            <w:tcW w:w="3119" w:type="dxa"/>
          </w:tcPr>
          <w:p w:rsidR="00EC7B35" w:rsidRPr="00250554" w:rsidRDefault="008876DB" w:rsidP="00250554">
            <w:pPr>
              <w:jc w:val="center"/>
              <w:rPr>
                <w:b/>
                <w:sz w:val="24"/>
                <w:szCs w:val="24"/>
                <w:lang w:val="ru-RU" w:eastAsia="uk-UA"/>
              </w:rPr>
            </w:pPr>
            <w:r>
              <w:rPr>
                <w:b/>
                <w:sz w:val="24"/>
                <w:szCs w:val="24"/>
                <w:lang w:eastAsia="uk-UA"/>
              </w:rPr>
              <w:t>Пропонується відхилити</w:t>
            </w:r>
          </w:p>
        </w:tc>
      </w:tr>
      <w:tr w:rsidR="00EC7B35" w:rsidRPr="004F3A51" w:rsidTr="00F05B07">
        <w:trPr>
          <w:trHeight w:val="218"/>
        </w:trPr>
        <w:tc>
          <w:tcPr>
            <w:tcW w:w="4395" w:type="dxa"/>
            <w:vMerge/>
          </w:tcPr>
          <w:p w:rsidR="00EC7B35" w:rsidRPr="00F05B07" w:rsidRDefault="00EC7B35" w:rsidP="00F05B07">
            <w:pPr>
              <w:tabs>
                <w:tab w:val="left" w:pos="993"/>
              </w:tabs>
              <w:ind w:firstLine="326"/>
              <w:jc w:val="both"/>
              <w:rPr>
                <w:b/>
                <w:i/>
                <w:sz w:val="24"/>
                <w:szCs w:val="24"/>
              </w:rPr>
            </w:pPr>
          </w:p>
        </w:tc>
        <w:tc>
          <w:tcPr>
            <w:tcW w:w="4394" w:type="dxa"/>
          </w:tcPr>
          <w:p w:rsidR="00EC7B35" w:rsidRPr="00EC7B35" w:rsidRDefault="00EC7B35" w:rsidP="00EC7B35">
            <w:pPr>
              <w:ind w:firstLine="224"/>
              <w:contextualSpacing/>
              <w:jc w:val="both"/>
              <w:rPr>
                <w:b/>
                <w:sz w:val="24"/>
                <w:szCs w:val="24"/>
                <w:u w:val="single"/>
              </w:rPr>
            </w:pPr>
            <w:r w:rsidRPr="00EC7B35">
              <w:rPr>
                <w:b/>
                <w:sz w:val="24"/>
                <w:szCs w:val="24"/>
                <w:u w:val="single"/>
              </w:rPr>
              <w:t>АТ «Прикарпаттяобленерго»</w:t>
            </w:r>
          </w:p>
          <w:p w:rsidR="00EC7B35" w:rsidRPr="00EC7B35" w:rsidRDefault="00EC7B35" w:rsidP="0041631D">
            <w:pPr>
              <w:ind w:firstLine="224"/>
              <w:contextualSpacing/>
              <w:jc w:val="both"/>
              <w:rPr>
                <w:b/>
                <w:sz w:val="24"/>
                <w:szCs w:val="24"/>
              </w:rPr>
            </w:pPr>
            <w:r w:rsidRPr="00EC7B35">
              <w:rPr>
                <w:b/>
                <w:color w:val="0070C0"/>
                <w:sz w:val="24"/>
                <w:szCs w:val="24"/>
              </w:rPr>
              <w:t>3. Ввести в дослідну експлуатацію системи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шляхом видачі НКРЕКП відповідного розпорядчого документу.</w:t>
            </w:r>
          </w:p>
        </w:tc>
        <w:tc>
          <w:tcPr>
            <w:tcW w:w="3685" w:type="dxa"/>
          </w:tcPr>
          <w:p w:rsidR="00EC7B35" w:rsidRPr="000B2616" w:rsidRDefault="00EC7B35" w:rsidP="00F3198F">
            <w:pPr>
              <w:ind w:firstLine="182"/>
              <w:jc w:val="both"/>
              <w:rPr>
                <w:sz w:val="24"/>
                <w:szCs w:val="24"/>
              </w:rPr>
            </w:pPr>
            <w:r w:rsidRPr="00EC7B35">
              <w:rPr>
                <w:sz w:val="24"/>
                <w:szCs w:val="24"/>
              </w:rPr>
              <w:t>В діючих нормативних документах відсутнє визначення - особистого кабінету операторів систем. Не встановлено, який функціонал має містити даний персональний кабінет.  Далі, операторам систем розподілу необхідно буде адаптувати власні програмні забезпечення під дані вимоги. Це потребуватиме додаткового часу та інвестицій.</w:t>
            </w:r>
          </w:p>
        </w:tc>
        <w:tc>
          <w:tcPr>
            <w:tcW w:w="3119" w:type="dxa"/>
          </w:tcPr>
          <w:p w:rsidR="00EC7B35" w:rsidRDefault="00EC7B35" w:rsidP="00C0574C">
            <w:pPr>
              <w:jc w:val="both"/>
              <w:rPr>
                <w:b/>
                <w:sz w:val="24"/>
                <w:szCs w:val="24"/>
                <w:lang w:eastAsia="uk-UA"/>
              </w:rPr>
            </w:pPr>
          </w:p>
          <w:p w:rsidR="006F630E" w:rsidRDefault="006F630E" w:rsidP="00C0574C">
            <w:pPr>
              <w:jc w:val="both"/>
              <w:rPr>
                <w:b/>
                <w:sz w:val="24"/>
                <w:szCs w:val="24"/>
                <w:lang w:eastAsia="uk-UA"/>
              </w:rPr>
            </w:pPr>
          </w:p>
          <w:p w:rsidR="006F630E" w:rsidRPr="006F630E" w:rsidRDefault="008876DB" w:rsidP="00C0574C">
            <w:pPr>
              <w:jc w:val="both"/>
              <w:rPr>
                <w:b/>
                <w:sz w:val="24"/>
                <w:szCs w:val="24"/>
                <w:lang w:val="en-US" w:eastAsia="uk-UA"/>
              </w:rPr>
            </w:pPr>
            <w:r>
              <w:rPr>
                <w:b/>
                <w:sz w:val="24"/>
                <w:szCs w:val="24"/>
                <w:lang w:eastAsia="uk-UA"/>
              </w:rPr>
              <w:t>Пропонується відхилити</w:t>
            </w:r>
          </w:p>
        </w:tc>
      </w:tr>
      <w:tr w:rsidR="00EC7B35" w:rsidRPr="004F3A51" w:rsidTr="00F05B07">
        <w:trPr>
          <w:trHeight w:val="218"/>
        </w:trPr>
        <w:tc>
          <w:tcPr>
            <w:tcW w:w="4395" w:type="dxa"/>
          </w:tcPr>
          <w:p w:rsidR="00EC7B35" w:rsidRPr="00F05B07" w:rsidRDefault="00EC7B35" w:rsidP="00F05B07">
            <w:pPr>
              <w:tabs>
                <w:tab w:val="left" w:pos="993"/>
              </w:tabs>
              <w:ind w:firstLine="326"/>
              <w:jc w:val="both"/>
              <w:rPr>
                <w:b/>
                <w:i/>
                <w:sz w:val="24"/>
                <w:szCs w:val="24"/>
              </w:rPr>
            </w:pPr>
            <w:r w:rsidRPr="00F05B07">
              <w:rPr>
                <w:b/>
                <w:i/>
                <w:sz w:val="24"/>
                <w:szCs w:val="24"/>
              </w:rPr>
              <w:lastRenderedPageBreak/>
              <w:t>Пункт відсутній</w:t>
            </w:r>
          </w:p>
        </w:tc>
        <w:tc>
          <w:tcPr>
            <w:tcW w:w="4394" w:type="dxa"/>
          </w:tcPr>
          <w:p w:rsidR="00EC7B35" w:rsidRPr="00EC7B35" w:rsidRDefault="00EC7B35" w:rsidP="00EC7B35">
            <w:pPr>
              <w:ind w:firstLine="224"/>
              <w:contextualSpacing/>
              <w:jc w:val="both"/>
              <w:rPr>
                <w:b/>
                <w:sz w:val="24"/>
                <w:szCs w:val="24"/>
                <w:u w:val="single"/>
              </w:rPr>
            </w:pPr>
            <w:r w:rsidRPr="00EC7B35">
              <w:rPr>
                <w:b/>
                <w:sz w:val="24"/>
                <w:szCs w:val="24"/>
                <w:u w:val="single"/>
              </w:rPr>
              <w:t>АТ «Прикарпаттяобленерго»</w:t>
            </w:r>
          </w:p>
          <w:p w:rsidR="00EC7B35" w:rsidRPr="00EC7B35" w:rsidRDefault="00EC7B35" w:rsidP="00EC7B35">
            <w:pPr>
              <w:ind w:firstLine="224"/>
              <w:contextualSpacing/>
              <w:jc w:val="both"/>
              <w:rPr>
                <w:b/>
                <w:sz w:val="24"/>
                <w:szCs w:val="24"/>
              </w:rPr>
            </w:pPr>
            <w:r w:rsidRPr="00EC7B35">
              <w:rPr>
                <w:b/>
                <w:color w:val="0070C0"/>
                <w:sz w:val="24"/>
                <w:szCs w:val="24"/>
              </w:rPr>
              <w:t>4. Операторам систем передачі та операторам систем розподілу  (далі разом – оператори систем) протягом 6 місяців мають забезпечити у дослідному режимі та протягом  трьох місяців  після впровадження наповнити систему моніторингу приєднань у в робочому режимі інформацією в обсязі, визначеному у додатку 1 до Методики за період від 01.01.2024 року до дати промислового впровадження системи моніторингу приєднань.</w:t>
            </w:r>
          </w:p>
        </w:tc>
        <w:tc>
          <w:tcPr>
            <w:tcW w:w="3685" w:type="dxa"/>
          </w:tcPr>
          <w:p w:rsidR="00EC7B35" w:rsidRPr="00805469" w:rsidRDefault="00EC7B35" w:rsidP="00EC7B35">
            <w:pPr>
              <w:pStyle w:val="3"/>
              <w:spacing w:before="0" w:beforeAutospacing="0" w:after="0" w:afterAutospacing="0"/>
              <w:jc w:val="both"/>
              <w:outlineLvl w:val="2"/>
              <w:rPr>
                <w:rFonts w:eastAsia="Times New Roman"/>
                <w:b w:val="0"/>
                <w:sz w:val="24"/>
                <w:szCs w:val="24"/>
              </w:rPr>
            </w:pPr>
            <w:r w:rsidRPr="00805469">
              <w:rPr>
                <w:rFonts w:eastAsia="Times New Roman"/>
                <w:b w:val="0"/>
                <w:sz w:val="24"/>
                <w:szCs w:val="24"/>
              </w:rPr>
              <w:t>Після внесення інформації ОСР/ОСП необхідно здійснити аналіз повноти передачі (внесення) інформації щодо приєднань та дотримання протоколів безпеки передачі інформації та повноти перенесення даних із одного програмного середовища в інше.</w:t>
            </w:r>
          </w:p>
          <w:p w:rsidR="00EC7B35" w:rsidRPr="00EC7B35" w:rsidRDefault="00EC7B35" w:rsidP="00EC7B35">
            <w:pPr>
              <w:ind w:firstLine="182"/>
              <w:jc w:val="both"/>
              <w:rPr>
                <w:sz w:val="24"/>
                <w:szCs w:val="24"/>
              </w:rPr>
            </w:pPr>
            <w:r>
              <w:rPr>
                <w:sz w:val="24"/>
                <w:szCs w:val="24"/>
              </w:rPr>
              <w:t>Необхідно також передбачити порядок дій ОСР, якщо передача даних не відбулась через збій роботи програмного середовища НКРЕКП.</w:t>
            </w:r>
          </w:p>
        </w:tc>
        <w:tc>
          <w:tcPr>
            <w:tcW w:w="3119" w:type="dxa"/>
          </w:tcPr>
          <w:p w:rsidR="00EC7B35" w:rsidRPr="00250554" w:rsidRDefault="008876DB" w:rsidP="00250554">
            <w:pPr>
              <w:jc w:val="center"/>
              <w:rPr>
                <w:b/>
                <w:sz w:val="24"/>
                <w:szCs w:val="24"/>
                <w:lang w:val="ru-RU" w:eastAsia="uk-UA"/>
              </w:rPr>
            </w:pPr>
            <w:r>
              <w:rPr>
                <w:b/>
                <w:sz w:val="24"/>
                <w:szCs w:val="24"/>
                <w:lang w:eastAsia="uk-UA"/>
              </w:rPr>
              <w:t>Пропонується відхилити</w:t>
            </w:r>
          </w:p>
        </w:tc>
      </w:tr>
      <w:tr w:rsidR="00137491" w:rsidRPr="004F3A51" w:rsidTr="00F05B07">
        <w:trPr>
          <w:trHeight w:val="218"/>
        </w:trPr>
        <w:tc>
          <w:tcPr>
            <w:tcW w:w="15593" w:type="dxa"/>
            <w:gridSpan w:val="4"/>
          </w:tcPr>
          <w:p w:rsidR="00137491" w:rsidRPr="00F3198F" w:rsidRDefault="00F3198F" w:rsidP="006B7AFF">
            <w:pPr>
              <w:jc w:val="center"/>
              <w:rPr>
                <w:b/>
                <w:sz w:val="24"/>
                <w:szCs w:val="24"/>
                <w:lang w:eastAsia="uk-UA"/>
              </w:rPr>
            </w:pPr>
            <w:r w:rsidRPr="00F3198F">
              <w:rPr>
                <w:b/>
                <w:sz w:val="24"/>
              </w:rPr>
              <w:t>1. Загальні положення</w:t>
            </w:r>
          </w:p>
        </w:tc>
      </w:tr>
      <w:tr w:rsidR="00EC7B35" w:rsidRPr="004F3A51" w:rsidTr="00F05B07">
        <w:trPr>
          <w:trHeight w:val="218"/>
        </w:trPr>
        <w:tc>
          <w:tcPr>
            <w:tcW w:w="4395" w:type="dxa"/>
          </w:tcPr>
          <w:p w:rsidR="00EC7B35" w:rsidRDefault="00EC7B35" w:rsidP="00F05B07">
            <w:pPr>
              <w:shd w:val="clear" w:color="auto" w:fill="FFFFFF"/>
              <w:ind w:firstLine="448"/>
              <w:jc w:val="both"/>
              <w:rPr>
                <w:sz w:val="24"/>
                <w:szCs w:val="24"/>
              </w:rPr>
            </w:pPr>
          </w:p>
        </w:tc>
        <w:tc>
          <w:tcPr>
            <w:tcW w:w="4394" w:type="dxa"/>
          </w:tcPr>
          <w:p w:rsidR="00EC7B35" w:rsidRPr="00EC7B35" w:rsidRDefault="00EC7B35" w:rsidP="00EC7B35">
            <w:pPr>
              <w:ind w:firstLine="224"/>
              <w:contextualSpacing/>
              <w:jc w:val="both"/>
              <w:rPr>
                <w:b/>
                <w:sz w:val="24"/>
                <w:szCs w:val="24"/>
                <w:u w:val="single"/>
              </w:rPr>
            </w:pPr>
            <w:r w:rsidRPr="00EC7B35">
              <w:rPr>
                <w:b/>
                <w:sz w:val="24"/>
                <w:szCs w:val="24"/>
                <w:u w:val="single"/>
              </w:rPr>
              <w:t>АТ «Прикарпаттяобленерго»</w:t>
            </w:r>
          </w:p>
          <w:p w:rsidR="00EC7B35" w:rsidRPr="00F05B07" w:rsidRDefault="00EC7B35" w:rsidP="0041631D">
            <w:pPr>
              <w:ind w:firstLine="224"/>
              <w:contextualSpacing/>
              <w:jc w:val="both"/>
              <w:rPr>
                <w:b/>
                <w:sz w:val="24"/>
                <w:szCs w:val="24"/>
                <w:u w:val="single"/>
              </w:rPr>
            </w:pPr>
            <w:r>
              <w:rPr>
                <w:sz w:val="24"/>
                <w:szCs w:val="24"/>
              </w:rPr>
              <w:t>Доповнити Методику порядком розрахунку та розподілу плати за приєднання електроустановок до електричних мереж суміжних операторів систем розподілу.</w:t>
            </w:r>
          </w:p>
        </w:tc>
        <w:tc>
          <w:tcPr>
            <w:tcW w:w="3685" w:type="dxa"/>
          </w:tcPr>
          <w:p w:rsidR="00EC7B35" w:rsidRPr="00C147E9" w:rsidRDefault="00EC7B35" w:rsidP="00EC7B35">
            <w:pPr>
              <w:ind w:firstLine="182"/>
              <w:jc w:val="both"/>
              <w:rPr>
                <w:bCs/>
                <w:iCs/>
                <w:sz w:val="24"/>
                <w:szCs w:val="24"/>
                <w:lang w:eastAsia="uk-UA"/>
              </w:rPr>
            </w:pPr>
            <w:r w:rsidRPr="00C147E9">
              <w:rPr>
                <w:bCs/>
                <w:sz w:val="24"/>
                <w:szCs w:val="24"/>
                <w:lang w:eastAsia="uk-UA"/>
              </w:rPr>
              <w:t xml:space="preserve">На сьогодні </w:t>
            </w:r>
            <w:r w:rsidRPr="00C147E9">
              <w:rPr>
                <w:bCs/>
                <w:i/>
                <w:iCs/>
                <w:sz w:val="24"/>
                <w:szCs w:val="24"/>
                <w:lang w:eastAsia="uk-UA"/>
              </w:rPr>
              <w:t xml:space="preserve">У відповідності до </w:t>
            </w:r>
            <w:r w:rsidRPr="00C147E9">
              <w:rPr>
                <w:bCs/>
                <w:sz w:val="24"/>
                <w:szCs w:val="24"/>
                <w:lang w:eastAsia="uk-UA"/>
              </w:rPr>
              <w:t>статті 21 Закону України «Про ринок електричної енергії»</w:t>
            </w:r>
            <w:r w:rsidRPr="00C147E9">
              <w:rPr>
                <w:bCs/>
                <w:i/>
                <w:iCs/>
                <w:sz w:val="24"/>
                <w:szCs w:val="24"/>
                <w:lang w:eastAsia="uk-UA"/>
              </w:rPr>
              <w:t xml:space="preserve"> послуга з приєднання електроустановок замовника до мереж суміжного ОСР надається двома ОСР відповідно до Кодексу систем передачі (далі – КСП) та Кодексу систем розподілу (далі – КСР) на підставі багатостороннього договору про приєднання.</w:t>
            </w:r>
          </w:p>
          <w:p w:rsidR="00EC7B35" w:rsidRDefault="00EC7B35" w:rsidP="00EC7B35">
            <w:pPr>
              <w:ind w:firstLine="182"/>
              <w:jc w:val="both"/>
              <w:rPr>
                <w:sz w:val="24"/>
                <w:szCs w:val="24"/>
              </w:rPr>
            </w:pPr>
            <w:r w:rsidRPr="00C147E9">
              <w:rPr>
                <w:bCs/>
                <w:i/>
                <w:iCs/>
                <w:sz w:val="24"/>
                <w:szCs w:val="24"/>
                <w:lang w:eastAsia="uk-UA"/>
              </w:rPr>
              <w:t>Разом з тим, КСП та КСР</w:t>
            </w:r>
            <w:r>
              <w:rPr>
                <w:bCs/>
                <w:i/>
                <w:iCs/>
                <w:sz w:val="24"/>
                <w:szCs w:val="24"/>
                <w:lang w:eastAsia="uk-UA"/>
              </w:rPr>
              <w:t xml:space="preserve"> не передбачено процедури розподілу коштів, отриманих як плата за створення потужності між суміжними ОСР.</w:t>
            </w:r>
          </w:p>
        </w:tc>
        <w:tc>
          <w:tcPr>
            <w:tcW w:w="3119" w:type="dxa"/>
          </w:tcPr>
          <w:p w:rsidR="00EC7B35" w:rsidRDefault="00E30341" w:rsidP="0064032E">
            <w:pPr>
              <w:jc w:val="both"/>
              <w:rPr>
                <w:b/>
                <w:sz w:val="24"/>
                <w:szCs w:val="24"/>
                <w:lang w:eastAsia="uk-UA"/>
              </w:rPr>
            </w:pPr>
            <w:r>
              <w:rPr>
                <w:b/>
                <w:sz w:val="24"/>
                <w:szCs w:val="24"/>
                <w:lang w:eastAsia="uk-UA"/>
              </w:rPr>
              <w:t>Пропонується відхилити.</w:t>
            </w:r>
          </w:p>
          <w:p w:rsidR="00E30341" w:rsidRPr="00E30341" w:rsidRDefault="00E30341" w:rsidP="00E30341">
            <w:pPr>
              <w:ind w:firstLine="316"/>
              <w:jc w:val="both"/>
              <w:rPr>
                <w:sz w:val="24"/>
                <w:szCs w:val="24"/>
                <w:lang w:eastAsia="uk-UA"/>
              </w:rPr>
            </w:pPr>
            <w:r>
              <w:rPr>
                <w:sz w:val="24"/>
                <w:szCs w:val="24"/>
                <w:lang w:eastAsia="uk-UA"/>
              </w:rPr>
              <w:t xml:space="preserve">Пунктом 4.1.29 Кодексу систем розподілу визначено, що </w:t>
            </w:r>
            <w:r>
              <w:t xml:space="preserve"> </w:t>
            </w:r>
            <w:r w:rsidRPr="00E30341">
              <w:rPr>
                <w:sz w:val="24"/>
                <w:szCs w:val="24"/>
                <w:lang w:eastAsia="uk-UA"/>
              </w:rPr>
              <w:t>плата Замовника за послугу приєднання</w:t>
            </w:r>
            <w:r>
              <w:rPr>
                <w:sz w:val="24"/>
                <w:szCs w:val="24"/>
                <w:lang w:eastAsia="uk-UA"/>
              </w:rPr>
              <w:t xml:space="preserve"> у разі укладення багатостороннього договору</w:t>
            </w:r>
            <w:r w:rsidRPr="00E30341">
              <w:rPr>
                <w:sz w:val="24"/>
                <w:szCs w:val="24"/>
                <w:lang w:eastAsia="uk-UA"/>
              </w:rPr>
              <w:t xml:space="preserve"> передбачає:</w:t>
            </w:r>
          </w:p>
          <w:p w:rsidR="00E30341" w:rsidRPr="00E30341" w:rsidRDefault="00E30341" w:rsidP="00E30341">
            <w:pPr>
              <w:ind w:firstLine="316"/>
              <w:jc w:val="both"/>
              <w:rPr>
                <w:sz w:val="24"/>
                <w:szCs w:val="24"/>
                <w:lang w:eastAsia="uk-UA"/>
              </w:rPr>
            </w:pPr>
            <w:r w:rsidRPr="00E30341">
              <w:rPr>
                <w:sz w:val="24"/>
                <w:szCs w:val="24"/>
                <w:lang w:eastAsia="uk-UA"/>
              </w:rPr>
              <w:t xml:space="preserve">складову плати за реконструкцію/будівництво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w:t>
            </w:r>
            <w:r w:rsidRPr="00E30341">
              <w:rPr>
                <w:sz w:val="24"/>
                <w:szCs w:val="24"/>
                <w:lang w:eastAsia="uk-UA"/>
              </w:rPr>
              <w:lastRenderedPageBreak/>
              <w:t>електричних мереж системи розподілу лінійної частини приєднання;</w:t>
            </w:r>
          </w:p>
          <w:p w:rsidR="00E30341" w:rsidRPr="00E30341" w:rsidRDefault="00E30341" w:rsidP="00E30341">
            <w:pPr>
              <w:ind w:firstLine="316"/>
              <w:jc w:val="both"/>
              <w:rPr>
                <w:sz w:val="24"/>
                <w:szCs w:val="24"/>
                <w:lang w:eastAsia="uk-UA"/>
              </w:rPr>
            </w:pPr>
            <w:r w:rsidRPr="00E30341">
              <w:rPr>
                <w:sz w:val="24"/>
                <w:szCs w:val="24"/>
                <w:lang w:eastAsia="uk-UA"/>
              </w:rPr>
              <w:t>складову плати за реконструкцію/будівництво електричних мереж системи передачі, яка визначається згідно з узгодженою проєктно-кошторисною документацією;</w:t>
            </w:r>
          </w:p>
          <w:p w:rsidR="00E30341" w:rsidRPr="00E30341" w:rsidRDefault="00E30341" w:rsidP="00E30341">
            <w:pPr>
              <w:ind w:firstLine="316"/>
              <w:jc w:val="both"/>
              <w:rPr>
                <w:sz w:val="24"/>
                <w:szCs w:val="24"/>
                <w:lang w:eastAsia="uk-UA"/>
              </w:rPr>
            </w:pPr>
            <w:r w:rsidRPr="00E30341">
              <w:rPr>
                <w:sz w:val="24"/>
                <w:szCs w:val="24"/>
                <w:lang w:eastAsia="uk-UA"/>
              </w:rPr>
              <w:t>складову плати за реконструкцію/будівництво електричних мереж інших суб’єктів господарювання, яка визначається згідно з узгодженою проєктно-кошторисною документацією.</w:t>
            </w:r>
          </w:p>
        </w:tc>
      </w:tr>
      <w:tr w:rsidR="00EC7B35" w:rsidRPr="004F3A51" w:rsidTr="00F05B07">
        <w:trPr>
          <w:trHeight w:val="218"/>
        </w:trPr>
        <w:tc>
          <w:tcPr>
            <w:tcW w:w="4395" w:type="dxa"/>
          </w:tcPr>
          <w:p w:rsidR="000F6AC0" w:rsidRDefault="000F6AC0" w:rsidP="00F05B07">
            <w:pPr>
              <w:shd w:val="clear" w:color="auto" w:fill="FFFFFF"/>
              <w:ind w:firstLine="448"/>
              <w:jc w:val="both"/>
              <w:rPr>
                <w:sz w:val="24"/>
                <w:szCs w:val="24"/>
              </w:rPr>
            </w:pPr>
          </w:p>
          <w:p w:rsidR="00EC7B35" w:rsidRDefault="00EC7B35" w:rsidP="00F05B07">
            <w:pPr>
              <w:shd w:val="clear" w:color="auto" w:fill="FFFFFF"/>
              <w:ind w:firstLine="448"/>
              <w:jc w:val="both"/>
              <w:rPr>
                <w:sz w:val="24"/>
                <w:szCs w:val="24"/>
              </w:rPr>
            </w:pPr>
            <w:r w:rsidRPr="00EF1540">
              <w:rPr>
                <w:sz w:val="24"/>
                <w:szCs w:val="24"/>
              </w:rPr>
              <w:t xml:space="preserve">1.1. Ця Методика встановлює порядок формування (розрахунку) плати за приєднання електроустановок замовників до електричних мереж системи передачі та системи розподілу, </w:t>
            </w:r>
            <w:r w:rsidRPr="00EF1540">
              <w:rPr>
                <w:strike/>
                <w:sz w:val="24"/>
                <w:szCs w:val="24"/>
              </w:rPr>
              <w:t>збільшення величини дозволеної до використання потужності електроустановок замовника, підвищення рівня надійності електрозабезпечення електроустановок замовника, зміни напруги в точці приєднання, зміни схеми живлення електроустановок замовника (з однофазної на трифазну) та/або зміни точки забезпечення потужності</w:t>
            </w:r>
            <w:r w:rsidRPr="00EF1540">
              <w:rPr>
                <w:sz w:val="24"/>
                <w:szCs w:val="24"/>
              </w:rPr>
              <w:t xml:space="preserve"> </w:t>
            </w:r>
            <w:r w:rsidRPr="00EF1540">
              <w:rPr>
                <w:b/>
                <w:sz w:val="24"/>
                <w:szCs w:val="24"/>
              </w:rPr>
              <w:t xml:space="preserve">зміни </w:t>
            </w:r>
            <w:r w:rsidRPr="00EF1540">
              <w:rPr>
                <w:b/>
                <w:sz w:val="24"/>
                <w:szCs w:val="24"/>
              </w:rPr>
              <w:lastRenderedPageBreak/>
              <w:t>технічних параметрів</w:t>
            </w:r>
            <w:r w:rsidRPr="00EF1540">
              <w:rPr>
                <w:sz w:val="24"/>
                <w:szCs w:val="24"/>
              </w:rPr>
              <w:t xml:space="preserve"> та застосовується оператором системи передачі та операторами системи розподілу для розрахунку плати за приєднання електроустановок до власних електричних мереж.</w:t>
            </w:r>
          </w:p>
        </w:tc>
        <w:tc>
          <w:tcPr>
            <w:tcW w:w="4394" w:type="dxa"/>
          </w:tcPr>
          <w:p w:rsidR="00EC7B35" w:rsidRPr="00EC7B35" w:rsidRDefault="00EC7B35" w:rsidP="00EC7B35">
            <w:pPr>
              <w:ind w:firstLine="224"/>
              <w:contextualSpacing/>
              <w:jc w:val="both"/>
              <w:rPr>
                <w:b/>
                <w:sz w:val="24"/>
                <w:szCs w:val="24"/>
                <w:u w:val="single"/>
              </w:rPr>
            </w:pPr>
            <w:r w:rsidRPr="00EC7B35">
              <w:rPr>
                <w:b/>
                <w:sz w:val="24"/>
                <w:szCs w:val="24"/>
                <w:u w:val="single"/>
              </w:rPr>
              <w:lastRenderedPageBreak/>
              <w:t>АТ «Прикарпаттяобленерго»</w:t>
            </w:r>
          </w:p>
          <w:p w:rsidR="00EC7B35" w:rsidRPr="00EC7B35" w:rsidRDefault="00EC7B35" w:rsidP="00EC7B35">
            <w:pPr>
              <w:ind w:firstLine="224"/>
              <w:contextualSpacing/>
              <w:jc w:val="both"/>
              <w:rPr>
                <w:b/>
                <w:sz w:val="24"/>
                <w:szCs w:val="24"/>
                <w:u w:val="single"/>
              </w:rPr>
            </w:pPr>
            <w:r w:rsidRPr="00EF1540">
              <w:rPr>
                <w:sz w:val="24"/>
                <w:szCs w:val="24"/>
              </w:rPr>
              <w:t xml:space="preserve">1.1. Ця Методика встановлює порядок формування (розрахунку) плати за приєднання </w:t>
            </w:r>
            <w:r w:rsidRPr="00EC7B35">
              <w:rPr>
                <w:b/>
                <w:color w:val="0070C0"/>
                <w:sz w:val="24"/>
                <w:szCs w:val="24"/>
              </w:rPr>
              <w:t>нових</w:t>
            </w:r>
            <w:r>
              <w:rPr>
                <w:sz w:val="24"/>
                <w:szCs w:val="24"/>
              </w:rPr>
              <w:t xml:space="preserve"> </w:t>
            </w:r>
            <w:r w:rsidRPr="00EF1540">
              <w:rPr>
                <w:sz w:val="24"/>
                <w:szCs w:val="24"/>
              </w:rPr>
              <w:t>електроустановок замовників до електричних мереж системи передачі та системи розподілу</w:t>
            </w:r>
            <w:r>
              <w:rPr>
                <w:sz w:val="24"/>
                <w:szCs w:val="24"/>
              </w:rPr>
              <w:t xml:space="preserve"> </w:t>
            </w:r>
            <w:r w:rsidRPr="00676EA3">
              <w:rPr>
                <w:b/>
                <w:sz w:val="24"/>
                <w:szCs w:val="24"/>
              </w:rPr>
              <w:t>вперше</w:t>
            </w:r>
            <w:r w:rsidRPr="00EF1540">
              <w:rPr>
                <w:sz w:val="24"/>
                <w:szCs w:val="24"/>
              </w:rPr>
              <w:t xml:space="preserve">, </w:t>
            </w:r>
            <w:r w:rsidRPr="00EF1540">
              <w:rPr>
                <w:strike/>
                <w:sz w:val="24"/>
                <w:szCs w:val="24"/>
              </w:rPr>
              <w:t>збільшення величини дозволеної до використання потужності електроустановок замовника, підвищення рівня надійності електрозабезпечення електроустановок замовника, зміни напруги в точці приєднання, зміни схеми живлення електроустановок замовника (з однофазної на трифазну) та/або зміни точки забезпечення потужності</w:t>
            </w:r>
            <w:r w:rsidRPr="00EF1540">
              <w:rPr>
                <w:sz w:val="24"/>
                <w:szCs w:val="24"/>
              </w:rPr>
              <w:t xml:space="preserve"> </w:t>
            </w:r>
            <w:r w:rsidRPr="00EF1540">
              <w:rPr>
                <w:b/>
                <w:sz w:val="24"/>
                <w:szCs w:val="24"/>
              </w:rPr>
              <w:t xml:space="preserve">зміни </w:t>
            </w:r>
            <w:r w:rsidRPr="00EF1540">
              <w:rPr>
                <w:b/>
                <w:sz w:val="24"/>
                <w:szCs w:val="24"/>
              </w:rPr>
              <w:lastRenderedPageBreak/>
              <w:t>технічних параметрів</w:t>
            </w:r>
            <w:r>
              <w:rPr>
                <w:b/>
                <w:sz w:val="24"/>
                <w:szCs w:val="24"/>
              </w:rPr>
              <w:t xml:space="preserve"> </w:t>
            </w:r>
            <w:r w:rsidRPr="00EC7B35">
              <w:rPr>
                <w:b/>
                <w:color w:val="0070C0"/>
                <w:sz w:val="24"/>
                <w:szCs w:val="24"/>
              </w:rPr>
              <w:t>існуючих електроустановок</w:t>
            </w:r>
            <w:r>
              <w:rPr>
                <w:b/>
                <w:sz w:val="24"/>
                <w:szCs w:val="24"/>
              </w:rPr>
              <w:t xml:space="preserve"> </w:t>
            </w:r>
            <w:r w:rsidRPr="00EF1540">
              <w:rPr>
                <w:sz w:val="24"/>
                <w:szCs w:val="24"/>
              </w:rPr>
              <w:t xml:space="preserve"> та застосовується оператором системи передачі та операторами системи розподілу для розрахунку плати за приєднання електроустановок до власних електричних мереж.</w:t>
            </w:r>
          </w:p>
        </w:tc>
        <w:tc>
          <w:tcPr>
            <w:tcW w:w="3685" w:type="dxa"/>
          </w:tcPr>
          <w:p w:rsidR="00EC7B35" w:rsidRPr="00C147E9" w:rsidRDefault="00EC7B35" w:rsidP="00EC7B35">
            <w:pPr>
              <w:ind w:firstLine="182"/>
              <w:jc w:val="both"/>
              <w:rPr>
                <w:bCs/>
                <w:sz w:val="24"/>
                <w:szCs w:val="24"/>
                <w:lang w:eastAsia="uk-UA"/>
              </w:rPr>
            </w:pPr>
            <w:r>
              <w:rPr>
                <w:sz w:val="24"/>
                <w:szCs w:val="24"/>
              </w:rPr>
              <w:lastRenderedPageBreak/>
              <w:t>Уточнюючі правки. Важливо в нормативних документах встановити, коли величина існуючої потужності не береться до уваги при визначенні плати за приєднання.</w:t>
            </w:r>
          </w:p>
        </w:tc>
        <w:tc>
          <w:tcPr>
            <w:tcW w:w="3119" w:type="dxa"/>
          </w:tcPr>
          <w:p w:rsidR="00EC7B35" w:rsidRPr="004F3A51" w:rsidRDefault="00524B0A" w:rsidP="0064032E">
            <w:pPr>
              <w:jc w:val="both"/>
              <w:rPr>
                <w:b/>
                <w:sz w:val="24"/>
                <w:szCs w:val="24"/>
                <w:lang w:eastAsia="uk-UA"/>
              </w:rPr>
            </w:pPr>
            <w:r>
              <w:rPr>
                <w:b/>
                <w:sz w:val="24"/>
                <w:szCs w:val="24"/>
                <w:lang w:eastAsia="uk-UA"/>
              </w:rPr>
              <w:t>Пропонується врахувати</w:t>
            </w:r>
          </w:p>
        </w:tc>
      </w:tr>
      <w:tr w:rsidR="00EC7B35" w:rsidRPr="004F3A51" w:rsidTr="00F05B07">
        <w:trPr>
          <w:trHeight w:val="218"/>
        </w:trPr>
        <w:tc>
          <w:tcPr>
            <w:tcW w:w="4395" w:type="dxa"/>
            <w:vMerge w:val="restart"/>
          </w:tcPr>
          <w:p w:rsidR="00EC7B35" w:rsidRDefault="00EC7B35" w:rsidP="00F05B07">
            <w:pPr>
              <w:shd w:val="clear" w:color="auto" w:fill="FFFFFF"/>
              <w:ind w:firstLine="448"/>
              <w:jc w:val="both"/>
              <w:rPr>
                <w:sz w:val="24"/>
                <w:szCs w:val="24"/>
              </w:rPr>
            </w:pPr>
          </w:p>
          <w:p w:rsidR="00EC7B35" w:rsidRDefault="00EC7B35" w:rsidP="00F05B07">
            <w:pPr>
              <w:shd w:val="clear" w:color="auto" w:fill="FFFFFF"/>
              <w:ind w:firstLine="448"/>
              <w:jc w:val="both"/>
              <w:rPr>
                <w:sz w:val="24"/>
                <w:szCs w:val="24"/>
              </w:rPr>
            </w:pPr>
          </w:p>
          <w:p w:rsidR="00EC7B35" w:rsidRPr="00EF1540" w:rsidRDefault="00EC7B35" w:rsidP="00F05B07">
            <w:pPr>
              <w:shd w:val="clear" w:color="auto" w:fill="FFFFFF"/>
              <w:ind w:firstLine="448"/>
              <w:jc w:val="both"/>
              <w:rPr>
                <w:sz w:val="24"/>
                <w:szCs w:val="24"/>
              </w:rPr>
            </w:pPr>
            <w:r w:rsidRPr="00EF1540">
              <w:rPr>
                <w:sz w:val="24"/>
                <w:szCs w:val="24"/>
              </w:rPr>
              <w:t>1.3. Ставки плати за стандартне приєднання</w:t>
            </w:r>
            <w:r w:rsidRPr="00816B1B">
              <w:rPr>
                <w:b/>
                <w:sz w:val="24"/>
                <w:szCs w:val="24"/>
              </w:rPr>
              <w:t xml:space="preserve">, ставки плати за лінійну частину приєднання </w:t>
            </w:r>
            <w:r w:rsidRPr="00EF1540">
              <w:rPr>
                <w:sz w:val="24"/>
                <w:szCs w:val="24"/>
              </w:rPr>
              <w:t xml:space="preserve">та ставки плати за нестандартне приєднання потужності щорічно розраховуються </w:t>
            </w:r>
            <w:r w:rsidRPr="00816B1B">
              <w:rPr>
                <w:b/>
                <w:sz w:val="24"/>
                <w:szCs w:val="24"/>
              </w:rPr>
              <w:t>НКРЕКП для всіх операторів систем розподілу відповідно до цієї Методики з урахуванням СОУ-Н МЕВ 45.2-37472933-44:2016 «Укрупнені показники вартості будівництва підстанцій напругою від 6 кВ до 150 кВ та ліній електропередавання напругою від 0,38 кВ до 150 кВ. Норми»</w:t>
            </w:r>
            <w:r w:rsidRPr="00EF1540">
              <w:rPr>
                <w:sz w:val="24"/>
                <w:szCs w:val="24"/>
              </w:rPr>
              <w:t>, затверджуються та оприлюднюються НКРЕКП на своєму офіційному вебсайті до початку розрахункового періоду.</w:t>
            </w:r>
          </w:p>
          <w:p w:rsidR="00EC7B35" w:rsidRPr="00EF1540" w:rsidRDefault="00EC7B35" w:rsidP="00F05B07">
            <w:pPr>
              <w:shd w:val="clear" w:color="auto" w:fill="FFFFFF"/>
              <w:ind w:firstLine="448"/>
              <w:jc w:val="both"/>
              <w:rPr>
                <w:strike/>
                <w:sz w:val="24"/>
                <w:szCs w:val="24"/>
              </w:rPr>
            </w:pPr>
            <w:r w:rsidRPr="00EF1540">
              <w:rPr>
                <w:strike/>
                <w:sz w:val="24"/>
                <w:szCs w:val="24"/>
              </w:rPr>
              <w:t xml:space="preserve">Ставки плати за лінійну частину приєднання розраховуються та затверджуються НКРЕКП для всіх операторів систем розподілу відповідно до цієї Методики з урахуванням укрупнених показників вартості будівництва електричних мереж, затверджених центральним органом </w:t>
            </w:r>
            <w:r w:rsidRPr="00EF1540">
              <w:rPr>
                <w:strike/>
                <w:sz w:val="24"/>
                <w:szCs w:val="24"/>
              </w:rPr>
              <w:lastRenderedPageBreak/>
              <w:t>виконавчої влади, що забезпечує формування та реалізацію державної політики в електроенергетичному комплексі.</w:t>
            </w:r>
          </w:p>
          <w:p w:rsidR="00EC7B35" w:rsidRPr="00F05B07" w:rsidRDefault="00EC7B35" w:rsidP="00F05B07">
            <w:pPr>
              <w:tabs>
                <w:tab w:val="left" w:pos="993"/>
              </w:tabs>
              <w:ind w:firstLine="326"/>
              <w:jc w:val="both"/>
              <w:rPr>
                <w:b/>
                <w:i/>
                <w:sz w:val="24"/>
                <w:szCs w:val="24"/>
              </w:rPr>
            </w:pPr>
            <w:r w:rsidRPr="00EF1540">
              <w:rPr>
                <w:sz w:val="24"/>
                <w:szCs w:val="24"/>
              </w:rPr>
              <w:t xml:space="preserve">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 </w:t>
            </w:r>
            <w:r w:rsidRPr="00816B1B">
              <w:rPr>
                <w:b/>
                <w:sz w:val="24"/>
                <w:szCs w:val="24"/>
              </w:rPr>
              <w:t>відповідно до наданої операторами систем розподілу станом на 01 вересня поточного року інформації щодо коефіцієнта завантаження трансформаторних підстанцій основної мережі напругою 35-110(154) кВ відповідно до переліку територіальних одиниць.</w:t>
            </w:r>
          </w:p>
        </w:tc>
        <w:tc>
          <w:tcPr>
            <w:tcW w:w="4394" w:type="dxa"/>
          </w:tcPr>
          <w:p w:rsidR="00EC7B35" w:rsidRPr="00F05B07" w:rsidRDefault="00EC7B35" w:rsidP="0041631D">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EC7B35" w:rsidRDefault="00EC7B35" w:rsidP="0064032E">
            <w:pPr>
              <w:ind w:firstLine="224"/>
              <w:contextualSpacing/>
              <w:jc w:val="both"/>
              <w:rPr>
                <w:sz w:val="24"/>
                <w:szCs w:val="24"/>
              </w:rPr>
            </w:pPr>
            <w:r>
              <w:rPr>
                <w:sz w:val="24"/>
                <w:szCs w:val="24"/>
              </w:rPr>
              <w:t>1.3.</w:t>
            </w:r>
          </w:p>
          <w:p w:rsidR="00EC7B35" w:rsidRDefault="00EC7B35" w:rsidP="0064032E">
            <w:pPr>
              <w:ind w:firstLine="224"/>
              <w:contextualSpacing/>
              <w:jc w:val="both"/>
              <w:rPr>
                <w:sz w:val="24"/>
                <w:szCs w:val="24"/>
              </w:rPr>
            </w:pPr>
            <w:r>
              <w:rPr>
                <w:sz w:val="24"/>
                <w:szCs w:val="24"/>
              </w:rPr>
              <w:t>…</w:t>
            </w:r>
          </w:p>
          <w:p w:rsidR="00EC7B35" w:rsidRDefault="00EC7B35" w:rsidP="0064032E">
            <w:pPr>
              <w:ind w:firstLine="224"/>
              <w:contextualSpacing/>
              <w:jc w:val="both"/>
              <w:rPr>
                <w:sz w:val="24"/>
                <w:szCs w:val="24"/>
              </w:rPr>
            </w:pPr>
          </w:p>
          <w:p w:rsidR="00EC7B35" w:rsidRPr="00F05B07" w:rsidRDefault="00EC7B35" w:rsidP="0064032E">
            <w:pPr>
              <w:ind w:firstLine="224"/>
              <w:contextualSpacing/>
              <w:jc w:val="both"/>
              <w:rPr>
                <w:b/>
                <w:sz w:val="24"/>
                <w:szCs w:val="24"/>
                <w:u w:val="single"/>
              </w:rPr>
            </w:pPr>
            <w:r w:rsidRPr="00EF1540">
              <w:rPr>
                <w:sz w:val="24"/>
                <w:szCs w:val="24"/>
              </w:rPr>
              <w:t xml:space="preserve">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 </w:t>
            </w:r>
            <w:r w:rsidRPr="00816B1B">
              <w:rPr>
                <w:b/>
                <w:sz w:val="24"/>
                <w:szCs w:val="24"/>
              </w:rPr>
              <w:t xml:space="preserve">відповідно до наданої операторами систем розподілу станом </w:t>
            </w:r>
            <w:r w:rsidRPr="00816B1B">
              <w:rPr>
                <w:b/>
                <w:color w:val="0070C0"/>
                <w:sz w:val="24"/>
                <w:szCs w:val="24"/>
              </w:rPr>
              <w:t xml:space="preserve">до 1 </w:t>
            </w:r>
            <w:r w:rsidRPr="00816B1B">
              <w:rPr>
                <w:b/>
                <w:sz w:val="24"/>
                <w:szCs w:val="24"/>
              </w:rPr>
              <w:t>вересня поточного року інформації щодо коефіцієнта завантаження трансформаторних підстанцій основної мережі напругою 35-110(154) кВ відповідно до переліку територіальних одиниць.</w:t>
            </w:r>
          </w:p>
        </w:tc>
        <w:tc>
          <w:tcPr>
            <w:tcW w:w="3685" w:type="dxa"/>
          </w:tcPr>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F3198F">
            <w:pPr>
              <w:ind w:firstLine="182"/>
              <w:jc w:val="both"/>
              <w:rPr>
                <w:sz w:val="24"/>
                <w:szCs w:val="24"/>
              </w:rPr>
            </w:pPr>
          </w:p>
          <w:p w:rsidR="00EC7B35" w:rsidRDefault="00EC7B35" w:rsidP="00EC7B35">
            <w:pPr>
              <w:jc w:val="both"/>
              <w:rPr>
                <w:sz w:val="24"/>
                <w:szCs w:val="24"/>
              </w:rPr>
            </w:pPr>
          </w:p>
          <w:p w:rsidR="00EC7B35" w:rsidRPr="00F05B07" w:rsidRDefault="00EC7B35" w:rsidP="00F3198F">
            <w:pPr>
              <w:ind w:firstLine="182"/>
              <w:jc w:val="both"/>
              <w:rPr>
                <w:sz w:val="24"/>
                <w:szCs w:val="24"/>
              </w:rPr>
            </w:pPr>
            <w:r w:rsidRPr="000B2616">
              <w:rPr>
                <w:sz w:val="24"/>
                <w:szCs w:val="24"/>
                <w:lang w:val="ru-RU"/>
              </w:rPr>
              <w:t>Приведення у відпов</w:t>
            </w:r>
            <w:r w:rsidRPr="000B2616">
              <w:rPr>
                <w:sz w:val="24"/>
                <w:szCs w:val="24"/>
              </w:rPr>
              <w:t>ідність між собою пунктів Методики</w:t>
            </w:r>
          </w:p>
        </w:tc>
        <w:tc>
          <w:tcPr>
            <w:tcW w:w="3119" w:type="dxa"/>
          </w:tcPr>
          <w:p w:rsidR="00EC7B35" w:rsidRPr="00524B0A" w:rsidRDefault="00524B0A" w:rsidP="0064032E">
            <w:pPr>
              <w:jc w:val="both"/>
              <w:rPr>
                <w:b/>
                <w:sz w:val="24"/>
                <w:szCs w:val="24"/>
                <w:lang w:eastAsia="uk-UA"/>
              </w:rPr>
            </w:pPr>
            <w:r w:rsidRPr="00524B0A">
              <w:rPr>
                <w:b/>
                <w:sz w:val="24"/>
                <w:szCs w:val="24"/>
                <w:lang w:eastAsia="uk-UA"/>
              </w:rPr>
              <w:t>Пропонується відхилити.</w:t>
            </w:r>
          </w:p>
          <w:p w:rsidR="00524B0A" w:rsidRPr="00355DB2" w:rsidRDefault="00524B0A" w:rsidP="0064032E">
            <w:pPr>
              <w:jc w:val="both"/>
              <w:rPr>
                <w:sz w:val="24"/>
                <w:szCs w:val="24"/>
                <w:lang w:eastAsia="uk-UA"/>
              </w:rPr>
            </w:pPr>
            <w:r w:rsidRPr="00355DB2">
              <w:rPr>
                <w:sz w:val="24"/>
                <w:szCs w:val="24"/>
                <w:lang w:eastAsia="uk-UA"/>
              </w:rPr>
              <w:t>Пункт говорить про структуру ОС</w:t>
            </w:r>
            <w:r w:rsidR="00714989" w:rsidRPr="00355DB2">
              <w:rPr>
                <w:sz w:val="24"/>
                <w:szCs w:val="24"/>
                <w:lang w:eastAsia="uk-UA"/>
              </w:rPr>
              <w:t>Р</w:t>
            </w:r>
            <w:r w:rsidRPr="00355DB2">
              <w:rPr>
                <w:sz w:val="24"/>
                <w:szCs w:val="24"/>
                <w:lang w:eastAsia="uk-UA"/>
              </w:rPr>
              <w:t xml:space="preserve"> (територіальні одини</w:t>
            </w:r>
            <w:r w:rsidR="00355DB2" w:rsidRPr="00355DB2">
              <w:rPr>
                <w:sz w:val="24"/>
                <w:szCs w:val="24"/>
                <w:lang w:eastAsia="uk-UA"/>
              </w:rPr>
              <w:t>ці</w:t>
            </w:r>
            <w:r w:rsidRPr="00355DB2">
              <w:rPr>
                <w:sz w:val="24"/>
                <w:szCs w:val="24"/>
                <w:lang w:eastAsia="uk-UA"/>
              </w:rPr>
              <w:t>) станом на 01.09</w:t>
            </w:r>
          </w:p>
        </w:tc>
      </w:tr>
      <w:tr w:rsidR="00EC7B35" w:rsidRPr="004F3A51" w:rsidTr="00F05B07">
        <w:trPr>
          <w:trHeight w:val="218"/>
        </w:trPr>
        <w:tc>
          <w:tcPr>
            <w:tcW w:w="4395" w:type="dxa"/>
            <w:vMerge/>
          </w:tcPr>
          <w:p w:rsidR="00EC7B35" w:rsidRDefault="00EC7B35" w:rsidP="00F05B07">
            <w:pPr>
              <w:shd w:val="clear" w:color="auto" w:fill="FFFFFF"/>
              <w:ind w:firstLine="448"/>
              <w:jc w:val="both"/>
              <w:rPr>
                <w:sz w:val="24"/>
                <w:szCs w:val="24"/>
              </w:rPr>
            </w:pPr>
          </w:p>
        </w:tc>
        <w:tc>
          <w:tcPr>
            <w:tcW w:w="4394" w:type="dxa"/>
          </w:tcPr>
          <w:p w:rsidR="00EC7B35" w:rsidRPr="00EC7B35" w:rsidRDefault="00EC7B35" w:rsidP="00EC7B35">
            <w:pPr>
              <w:ind w:firstLine="224"/>
              <w:contextualSpacing/>
              <w:jc w:val="both"/>
              <w:rPr>
                <w:b/>
                <w:sz w:val="24"/>
                <w:szCs w:val="24"/>
                <w:u w:val="single"/>
              </w:rPr>
            </w:pPr>
            <w:r w:rsidRPr="00EC7B35">
              <w:rPr>
                <w:b/>
                <w:sz w:val="24"/>
                <w:szCs w:val="24"/>
                <w:u w:val="single"/>
              </w:rPr>
              <w:t>АТ «Прикарпаттяобленерго»</w:t>
            </w:r>
          </w:p>
          <w:p w:rsidR="00EC7B35" w:rsidRPr="00EC7B35" w:rsidRDefault="00EC7B35" w:rsidP="00EC7B35">
            <w:pPr>
              <w:shd w:val="clear" w:color="auto" w:fill="FFFFFF"/>
              <w:ind w:firstLine="448"/>
              <w:jc w:val="both"/>
              <w:rPr>
                <w:sz w:val="24"/>
                <w:szCs w:val="24"/>
              </w:rPr>
            </w:pPr>
            <w:r w:rsidRPr="00EC7B35">
              <w:rPr>
                <w:sz w:val="24"/>
                <w:szCs w:val="24"/>
              </w:rPr>
              <w:t xml:space="preserve">1.3. Ставки плати за стандартне приєднання та ставки плати за нестандартне приєднання потужності </w:t>
            </w:r>
            <w:r w:rsidRPr="00EC7B35">
              <w:rPr>
                <w:sz w:val="24"/>
                <w:szCs w:val="24"/>
              </w:rPr>
              <w:lastRenderedPageBreak/>
              <w:t>щорічно розраховуються, затверджуються та оприлюднюються НКРЕКП на своєму офіційному вебсайті до початку розрахункового періоду.</w:t>
            </w:r>
          </w:p>
          <w:p w:rsidR="00EC7B35" w:rsidRPr="00EF1540" w:rsidRDefault="00EC7B35" w:rsidP="00EC7B35">
            <w:pPr>
              <w:shd w:val="clear" w:color="auto" w:fill="FFFFFF"/>
              <w:ind w:firstLine="448"/>
              <w:jc w:val="both"/>
              <w:rPr>
                <w:sz w:val="24"/>
                <w:szCs w:val="24"/>
              </w:rPr>
            </w:pPr>
            <w:r w:rsidRPr="00EC7B35">
              <w:rPr>
                <w:sz w:val="24"/>
                <w:szCs w:val="24"/>
              </w:rPr>
              <w:t xml:space="preserve">Ставки плати за лінійну частину приєднання розраховуються та затверджуються НКРЕКП для всіх операторів систем розподілу відповідно до цієї Методики з урахуванням </w:t>
            </w:r>
            <w:r w:rsidRPr="00EC7B35">
              <w:rPr>
                <w:b/>
                <w:color w:val="0070C0"/>
                <w:sz w:val="24"/>
                <w:szCs w:val="24"/>
              </w:rPr>
              <w:t>СОУ-Н МЕВ 45.2-37472933-44:2016 «Укрупнені показники вартості будівництва підстанцій напругою від 6 кВ до 150 кВ та ліній електропередавання напругою від 0,38 кВ до 150 кВ. Норми»</w:t>
            </w:r>
            <w:r w:rsidRPr="00EC7B35">
              <w:rPr>
                <w:color w:val="0070C0"/>
                <w:sz w:val="24"/>
                <w:szCs w:val="24"/>
              </w:rPr>
              <w:t xml:space="preserve">, </w:t>
            </w:r>
            <w:r w:rsidRPr="00EC7B35">
              <w:rPr>
                <w:b/>
                <w:color w:val="0070C0"/>
                <w:sz w:val="24"/>
                <w:szCs w:val="24"/>
              </w:rPr>
              <w:t xml:space="preserve">а та коефіцієнтів, які враховують економічні показники на обладнання та матеріали з урахуванням ринкових цінових пропозицій аналогічних до тих, що використовуються при формуванні інвестиційних програм ОСР, </w:t>
            </w:r>
            <w:r w:rsidRPr="00EF1540">
              <w:rPr>
                <w:sz w:val="24"/>
                <w:szCs w:val="24"/>
              </w:rPr>
              <w:t>затверджуються та оприлюднюються НКРЕКП на своєму офіційному вебсайті до початку розрахункового періоду</w:t>
            </w:r>
            <w:r>
              <w:rPr>
                <w:sz w:val="24"/>
                <w:szCs w:val="24"/>
              </w:rPr>
              <w:t>.</w:t>
            </w:r>
            <w:r>
              <w:rPr>
                <w:b/>
                <w:sz w:val="24"/>
                <w:szCs w:val="24"/>
              </w:rPr>
              <w:t xml:space="preserve"> </w:t>
            </w:r>
          </w:p>
          <w:p w:rsidR="00EC7B35" w:rsidRPr="00F05B07" w:rsidRDefault="00EC7B35" w:rsidP="00EC7B35">
            <w:pPr>
              <w:ind w:firstLine="224"/>
              <w:contextualSpacing/>
              <w:jc w:val="both"/>
              <w:rPr>
                <w:b/>
                <w:sz w:val="24"/>
                <w:szCs w:val="24"/>
                <w:u w:val="single"/>
              </w:rPr>
            </w:pPr>
            <w:r w:rsidRPr="00EF1540">
              <w:rPr>
                <w:sz w:val="24"/>
                <w:szCs w:val="24"/>
              </w:rPr>
              <w:t>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w:t>
            </w:r>
          </w:p>
        </w:tc>
        <w:tc>
          <w:tcPr>
            <w:tcW w:w="3685" w:type="dxa"/>
          </w:tcPr>
          <w:p w:rsidR="00EC7B35" w:rsidRPr="003F3E9B" w:rsidRDefault="00EC7B35" w:rsidP="00EC7B35">
            <w:pPr>
              <w:shd w:val="clear" w:color="auto" w:fill="FFFFFF"/>
              <w:ind w:firstLine="182"/>
              <w:jc w:val="both"/>
              <w:rPr>
                <w:sz w:val="24"/>
                <w:szCs w:val="24"/>
              </w:rPr>
            </w:pPr>
            <w:r w:rsidRPr="003F3E9B">
              <w:rPr>
                <w:sz w:val="24"/>
                <w:szCs w:val="24"/>
              </w:rPr>
              <w:lastRenderedPageBreak/>
              <w:t xml:space="preserve">При погодженні проєктів інвестиційних програм  ОСР -  НКРЕКП бере до уваги економічні показники на </w:t>
            </w:r>
            <w:r w:rsidRPr="003F3E9B">
              <w:rPr>
                <w:sz w:val="24"/>
                <w:szCs w:val="24"/>
              </w:rPr>
              <w:lastRenderedPageBreak/>
              <w:t>обладнання та матеріали з урахуванням цінових пропозицій отриманих ОСР від виробників обладнання, інформацію щодо фактичних закупівель та прогнозних цін на обладнання та матеріали, які застосовуються при виконанні проєктів нового будівництва, реконструкції та технічного переоснащення об’єктів енергетики.</w:t>
            </w:r>
          </w:p>
          <w:p w:rsidR="00EC7B35" w:rsidRDefault="00EC7B35" w:rsidP="00EC7B35">
            <w:pPr>
              <w:ind w:firstLine="182"/>
              <w:jc w:val="both"/>
              <w:rPr>
                <w:sz w:val="24"/>
                <w:szCs w:val="24"/>
              </w:rPr>
            </w:pPr>
            <w:r w:rsidRPr="003F3E9B">
              <w:rPr>
                <w:sz w:val="24"/>
                <w:szCs w:val="24"/>
              </w:rPr>
              <w:t>Ціни на матеріали та обладнання наведені в СОУ-Н МЕВ 45.2-37472933-44:2016 «Укрупнені показники вартості будівництва підстанцій напругою від 6 кВ до 150 кВ та ліній електропередавання напругою від 0,38 кВ до 150 кВ. Норми» є застарілими та неактуальними, що у свою чергу призводить до зменшення величини ставки за лінійну складову приєднання</w:t>
            </w:r>
            <w:r>
              <w:rPr>
                <w:b/>
                <w:sz w:val="24"/>
                <w:szCs w:val="24"/>
              </w:rPr>
              <w:t>.</w:t>
            </w:r>
          </w:p>
        </w:tc>
        <w:tc>
          <w:tcPr>
            <w:tcW w:w="3119" w:type="dxa"/>
          </w:tcPr>
          <w:p w:rsidR="00EC7B35" w:rsidRDefault="00B14392" w:rsidP="0064032E">
            <w:pPr>
              <w:jc w:val="both"/>
              <w:rPr>
                <w:b/>
                <w:sz w:val="24"/>
                <w:szCs w:val="24"/>
                <w:lang w:eastAsia="uk-UA"/>
              </w:rPr>
            </w:pPr>
            <w:r>
              <w:rPr>
                <w:b/>
                <w:sz w:val="24"/>
                <w:szCs w:val="24"/>
                <w:lang w:eastAsia="uk-UA"/>
              </w:rPr>
              <w:lastRenderedPageBreak/>
              <w:t>Пропонується відхилити.</w:t>
            </w:r>
          </w:p>
          <w:p w:rsidR="00B14392" w:rsidRPr="00B14392" w:rsidRDefault="00B14392" w:rsidP="0064032E">
            <w:pPr>
              <w:jc w:val="both"/>
              <w:rPr>
                <w:sz w:val="24"/>
                <w:szCs w:val="24"/>
                <w:lang w:eastAsia="uk-UA"/>
              </w:rPr>
            </w:pPr>
            <w:r>
              <w:rPr>
                <w:sz w:val="24"/>
                <w:szCs w:val="24"/>
                <w:lang w:eastAsia="uk-UA"/>
              </w:rPr>
              <w:t xml:space="preserve">При розрахунку ставки плати за лінійну частину приєднання відповідно до </w:t>
            </w:r>
            <w:r>
              <w:rPr>
                <w:sz w:val="24"/>
                <w:szCs w:val="24"/>
                <w:lang w:eastAsia="uk-UA"/>
              </w:rPr>
              <w:lastRenderedPageBreak/>
              <w:t xml:space="preserve">пункту 5.5 Методики враховується </w:t>
            </w:r>
            <w:r w:rsidRPr="00B14392">
              <w:rPr>
                <w:sz w:val="24"/>
                <w:szCs w:val="24"/>
                <w:lang w:eastAsia="uk-UA"/>
              </w:rPr>
              <w:t>коефіцієнт прогнозного індексу зміни цін виробників промислової продукції на розрахунковий період у відношенні до 2018 року</w:t>
            </w:r>
            <w:r>
              <w:rPr>
                <w:sz w:val="24"/>
                <w:szCs w:val="24"/>
                <w:lang w:eastAsia="uk-UA"/>
              </w:rPr>
              <w:t>.</w:t>
            </w:r>
          </w:p>
        </w:tc>
      </w:tr>
      <w:tr w:rsidR="003A514C" w:rsidRPr="004F3A51" w:rsidTr="00F05B07">
        <w:trPr>
          <w:trHeight w:val="218"/>
        </w:trPr>
        <w:tc>
          <w:tcPr>
            <w:tcW w:w="4395" w:type="dxa"/>
            <w:vMerge w:val="restart"/>
          </w:tcPr>
          <w:p w:rsidR="003A514C" w:rsidRDefault="003A514C" w:rsidP="00816B1B">
            <w:pPr>
              <w:shd w:val="clear" w:color="auto" w:fill="FFFFFF"/>
              <w:tabs>
                <w:tab w:val="left" w:pos="1134"/>
              </w:tabs>
              <w:ind w:firstLine="709"/>
              <w:jc w:val="both"/>
              <w:rPr>
                <w:b/>
                <w:sz w:val="24"/>
                <w:szCs w:val="24"/>
                <w:lang w:eastAsia="uk-UA"/>
              </w:rPr>
            </w:pPr>
            <w:bookmarkStart w:id="0" w:name="_Hlk161073660"/>
          </w:p>
          <w:p w:rsidR="003A514C" w:rsidRDefault="003A514C" w:rsidP="00816B1B">
            <w:pPr>
              <w:shd w:val="clear" w:color="auto" w:fill="FFFFFF"/>
              <w:tabs>
                <w:tab w:val="left" w:pos="1134"/>
              </w:tabs>
              <w:ind w:firstLine="709"/>
              <w:jc w:val="both"/>
              <w:rPr>
                <w:b/>
                <w:sz w:val="24"/>
                <w:szCs w:val="24"/>
                <w:lang w:eastAsia="uk-UA"/>
              </w:rPr>
            </w:pP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lang w:eastAsia="uk-UA"/>
              </w:rPr>
              <w:t>1.4.</w:t>
            </w:r>
            <w:r w:rsidRPr="00EF1540">
              <w:rPr>
                <w:sz w:val="24"/>
                <w:szCs w:val="24"/>
                <w:lang w:eastAsia="uk-UA"/>
              </w:rPr>
              <w:t xml:space="preserve"> </w:t>
            </w:r>
            <w:r w:rsidRPr="004036E8">
              <w:rPr>
                <w:b/>
                <w:sz w:val="24"/>
                <w:szCs w:val="24"/>
              </w:rPr>
              <w:t xml:space="preserve">Оператори систем складають звіт щодо стану надання ними послуг </w:t>
            </w:r>
            <w:r w:rsidRPr="004036E8">
              <w:rPr>
                <w:b/>
                <w:sz w:val="24"/>
                <w:szCs w:val="24"/>
              </w:rPr>
              <w:lastRenderedPageBreak/>
              <w:t xml:space="preserve">з приєднання за формою, наведеною в </w:t>
            </w:r>
            <w:hyperlink r:id="rId8" w:anchor="n146" w:history="1">
              <w:r w:rsidRPr="004036E8">
                <w:rPr>
                  <w:b/>
                  <w:sz w:val="24"/>
                  <w:szCs w:val="24"/>
                </w:rPr>
                <w:t>додатку 1</w:t>
              </w:r>
            </w:hyperlink>
            <w:r w:rsidRPr="004036E8">
              <w:rPr>
                <w:b/>
                <w:sz w:val="24"/>
                <w:szCs w:val="24"/>
              </w:rPr>
              <w:t xml:space="preserve"> до цієї Методики:</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 xml:space="preserve">станом на останнє число звітного місяця наростаючим підсумком з початку базового періоду та подають його до НКРЕКП </w:t>
            </w:r>
            <w:r w:rsidRPr="004036E8">
              <w:rPr>
                <w:b/>
                <w:bCs/>
                <w:sz w:val="24"/>
                <w:szCs w:val="24"/>
              </w:rPr>
              <w:t xml:space="preserve">в електронній формі </w:t>
            </w:r>
            <w:r w:rsidRPr="004036E8">
              <w:rPr>
                <w:b/>
                <w:sz w:val="24"/>
                <w:szCs w:val="24"/>
              </w:rPr>
              <w:t>до 10 числа місяця, наступного за звітним;</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 xml:space="preserve">станом на останнє число року (базового періоду) та подають його до НКРЕКП </w:t>
            </w:r>
            <w:r w:rsidRPr="004036E8">
              <w:rPr>
                <w:b/>
                <w:bCs/>
                <w:sz w:val="24"/>
                <w:szCs w:val="24"/>
              </w:rPr>
              <w:t xml:space="preserve">в електронній формі </w:t>
            </w:r>
            <w:r w:rsidRPr="004036E8">
              <w:rPr>
                <w:b/>
                <w:sz w:val="24"/>
                <w:szCs w:val="24"/>
              </w:rPr>
              <w:t>до 01 лютого.</w:t>
            </w:r>
          </w:p>
          <w:p w:rsidR="003A514C" w:rsidRPr="00647D68" w:rsidRDefault="003A514C" w:rsidP="00E17847">
            <w:pPr>
              <w:shd w:val="clear" w:color="auto" w:fill="FFFFFF"/>
              <w:tabs>
                <w:tab w:val="left" w:pos="1134"/>
              </w:tabs>
              <w:ind w:firstLine="321"/>
              <w:jc w:val="both"/>
              <w:rPr>
                <w:b/>
                <w:sz w:val="24"/>
                <w:szCs w:val="24"/>
                <w:lang w:val="ru-RU"/>
              </w:rPr>
            </w:pPr>
            <w:r w:rsidRPr="004036E8">
              <w:rPr>
                <w:b/>
                <w:sz w:val="24"/>
                <w:szCs w:val="24"/>
              </w:rPr>
              <w:t xml:space="preserve">Звіт щодо стану надання послуг з приєднання за формою, наведеною в </w:t>
            </w:r>
            <w:hyperlink r:id="rId9" w:anchor="n146" w:history="1">
              <w:r w:rsidRPr="004036E8">
                <w:rPr>
                  <w:b/>
                  <w:sz w:val="24"/>
                  <w:szCs w:val="24"/>
                </w:rPr>
                <w:t>додатку 1</w:t>
              </w:r>
            </w:hyperlink>
            <w:r w:rsidRPr="004036E8">
              <w:rPr>
                <w:b/>
                <w:sz w:val="24"/>
                <w:szCs w:val="24"/>
              </w:rPr>
              <w:t xml:space="preserve"> до цієї Методики, у форматі Excel надсилається операторами систем з супроводжувальним листом у форматі .</w:t>
            </w:r>
            <w:r w:rsidRPr="004036E8">
              <w:rPr>
                <w:b/>
                <w:sz w:val="24"/>
                <w:szCs w:val="24"/>
                <w:lang w:val="en-US"/>
              </w:rPr>
              <w:t>pdf</w:t>
            </w:r>
            <w:r w:rsidRPr="004036E8">
              <w:rPr>
                <w:b/>
                <w:sz w:val="24"/>
                <w:szCs w:val="24"/>
              </w:rPr>
              <w:t xml:space="preserve"> із накладенням кваліфікованого електронного підпису </w:t>
            </w:r>
            <w:r w:rsidRPr="004036E8">
              <w:rPr>
                <w:b/>
                <w:bCs/>
                <w:sz w:val="24"/>
                <w:szCs w:val="24"/>
              </w:rPr>
              <w:t>керівника о</w:t>
            </w:r>
            <w:r w:rsidRPr="004036E8">
              <w:rPr>
                <w:b/>
                <w:sz w:val="24"/>
                <w:szCs w:val="24"/>
              </w:rPr>
              <w:t xml:space="preserve">ператора системи на офіційну електронну адресу </w:t>
            </w:r>
            <w:r w:rsidRPr="004036E8">
              <w:rPr>
                <w:b/>
                <w:bCs/>
                <w:sz w:val="24"/>
                <w:szCs w:val="24"/>
              </w:rPr>
              <w:t xml:space="preserve">центрального апарату </w:t>
            </w:r>
            <w:r w:rsidRPr="004036E8">
              <w:rPr>
                <w:b/>
                <w:sz w:val="24"/>
                <w:szCs w:val="24"/>
              </w:rPr>
              <w:t xml:space="preserve">НКРЕКП, а також на електронну адресу НКРЕКП </w:t>
            </w:r>
            <w:hyperlink r:id="rId10" w:history="1">
              <w:r w:rsidRPr="004036E8">
                <w:rPr>
                  <w:rStyle w:val="a8"/>
                  <w:b/>
                </w:rPr>
                <w:t>energo2@nerc.gov.ua</w:t>
              </w:r>
            </w:hyperlink>
            <w:r w:rsidRPr="004036E8">
              <w:rPr>
                <w:b/>
                <w:sz w:val="24"/>
                <w:szCs w:val="24"/>
              </w:rPr>
              <w:t>.</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У звіті щодо стану надання операторами систем послуг з приєднання відображається інформація про:</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надані послуги з приєднання у звітному місяці;</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триваючі процедури надання послуги з приєднання згідно з чинними технічними умовами;</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lastRenderedPageBreak/>
              <w:t>відмови у наданні послуги з приєднання;</w:t>
            </w:r>
          </w:p>
          <w:p w:rsidR="003A514C" w:rsidRPr="004036E8" w:rsidRDefault="003A514C" w:rsidP="00E17847">
            <w:pPr>
              <w:shd w:val="clear" w:color="auto" w:fill="FFFFFF"/>
              <w:tabs>
                <w:tab w:val="left" w:pos="1134"/>
              </w:tabs>
              <w:ind w:firstLine="321"/>
              <w:jc w:val="both"/>
              <w:rPr>
                <w:b/>
                <w:sz w:val="24"/>
                <w:szCs w:val="24"/>
              </w:rPr>
            </w:pPr>
            <w:r w:rsidRPr="004036E8">
              <w:rPr>
                <w:b/>
                <w:sz w:val="24"/>
                <w:szCs w:val="24"/>
              </w:rPr>
              <w:t>заяви про приєднання до мереж операторів систем у звітному місяці (році).</w:t>
            </w:r>
          </w:p>
          <w:p w:rsidR="003A514C" w:rsidRPr="00EF1540" w:rsidRDefault="003A514C" w:rsidP="00E17847">
            <w:pPr>
              <w:shd w:val="clear" w:color="auto" w:fill="FFFFFF"/>
              <w:ind w:firstLine="321"/>
              <w:jc w:val="both"/>
              <w:rPr>
                <w:sz w:val="24"/>
                <w:szCs w:val="24"/>
              </w:rPr>
            </w:pPr>
            <w:r w:rsidRPr="00EF1540">
              <w:rPr>
                <w:sz w:val="24"/>
                <w:szCs w:val="24"/>
              </w:rPr>
              <w:t xml:space="preserve">Оператори систем розподілу щороку до 01 </w:t>
            </w:r>
            <w:r w:rsidRPr="00EF1540">
              <w:rPr>
                <w:strike/>
                <w:sz w:val="24"/>
                <w:szCs w:val="24"/>
              </w:rPr>
              <w:t>лютого</w:t>
            </w:r>
            <w:r w:rsidRPr="00647D68">
              <w:rPr>
                <w:sz w:val="24"/>
                <w:szCs w:val="24"/>
                <w:lang w:val="ru-RU"/>
              </w:rPr>
              <w:t xml:space="preserve"> </w:t>
            </w:r>
            <w:r w:rsidRPr="00EF1540">
              <w:rPr>
                <w:b/>
                <w:sz w:val="24"/>
                <w:szCs w:val="24"/>
                <w:lang w:val="ru-RU"/>
              </w:rPr>
              <w:t>вересня</w:t>
            </w:r>
            <w:r w:rsidRPr="00EF1540">
              <w:rPr>
                <w:sz w:val="24"/>
                <w:szCs w:val="24"/>
              </w:rPr>
              <w:t xml:space="preserve"> надають до НКРЕКП </w:t>
            </w:r>
            <w:r w:rsidRPr="00EF1540">
              <w:rPr>
                <w:b/>
                <w:sz w:val="24"/>
                <w:szCs w:val="24"/>
              </w:rPr>
              <w:t>у спосіб, зазначений у цьо</w:t>
            </w:r>
            <w:r>
              <w:rPr>
                <w:b/>
                <w:sz w:val="24"/>
                <w:szCs w:val="24"/>
              </w:rPr>
              <w:t>му</w:t>
            </w:r>
            <w:r w:rsidRPr="00EF1540">
              <w:rPr>
                <w:b/>
                <w:sz w:val="24"/>
                <w:szCs w:val="24"/>
              </w:rPr>
              <w:t xml:space="preserve"> пункт</w:t>
            </w:r>
            <w:r>
              <w:rPr>
                <w:b/>
                <w:sz w:val="24"/>
                <w:szCs w:val="24"/>
              </w:rPr>
              <w:t>і</w:t>
            </w:r>
            <w:r w:rsidRPr="00EF1540">
              <w:rPr>
                <w:b/>
                <w:sz w:val="24"/>
                <w:szCs w:val="24"/>
              </w:rPr>
              <w:t xml:space="preserve">, </w:t>
            </w:r>
            <w:r w:rsidRPr="00EF1540">
              <w:rPr>
                <w:sz w:val="24"/>
                <w:szCs w:val="24"/>
              </w:rPr>
              <w:t>інформацію про місячний обсяг трансформації електричної енергії на напругу 6(10)20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w:t>
            </w:r>
            <w:r w:rsidRPr="00EF1540">
              <w:rPr>
                <w:b/>
                <w:sz w:val="24"/>
                <w:szCs w:val="24"/>
              </w:rPr>
              <w:t xml:space="preserve">), </w:t>
            </w:r>
            <w:r w:rsidRPr="00EF1540">
              <w:rPr>
                <w:sz w:val="24"/>
                <w:szCs w:val="24"/>
              </w:rPr>
              <w:t>вихідні дані для розрахунку коефіцієнта завантаження трансформаторних підстанцій основної мережі напругою 35-110(154)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w:t>
            </w:r>
            <w:hyperlink r:id="rId11" w:anchor="n241" w:history="1">
              <w:r w:rsidRPr="00EF1540">
                <w:rPr>
                  <w:sz w:val="24"/>
                  <w:szCs w:val="24"/>
                </w:rPr>
                <w:t xml:space="preserve">формулами </w:t>
              </w:r>
            </w:hyperlink>
            <w:r w:rsidRPr="00EF1540">
              <w:rPr>
                <w:b/>
                <w:sz w:val="24"/>
                <w:szCs w:val="24"/>
              </w:rPr>
              <w:t>3 та </w:t>
            </w:r>
            <w:hyperlink r:id="rId12" w:anchor="n293" w:history="1">
              <w:r w:rsidRPr="00EF1540">
                <w:rPr>
                  <w:b/>
                  <w:sz w:val="24"/>
                  <w:szCs w:val="24"/>
                </w:rPr>
                <w:t>1</w:t>
              </w:r>
            </w:hyperlink>
            <w:r w:rsidRPr="00EF1540">
              <w:rPr>
                <w:b/>
                <w:sz w:val="24"/>
                <w:szCs w:val="24"/>
              </w:rPr>
              <w:t>2</w:t>
            </w:r>
            <w:r w:rsidRPr="00EF1540">
              <w:rPr>
                <w:sz w:val="24"/>
                <w:szCs w:val="24"/>
              </w:rPr>
              <w:t> цієї Методики.</w:t>
            </w:r>
          </w:p>
          <w:bookmarkEnd w:id="0"/>
          <w:p w:rsidR="003A514C" w:rsidRPr="00EF1540" w:rsidRDefault="003A514C" w:rsidP="00E17847">
            <w:pPr>
              <w:shd w:val="clear" w:color="auto" w:fill="FFFFFF"/>
              <w:ind w:firstLine="321"/>
              <w:jc w:val="both"/>
              <w:rPr>
                <w:sz w:val="24"/>
                <w:szCs w:val="24"/>
              </w:rPr>
            </w:pPr>
            <w:r w:rsidRPr="00EF1540">
              <w:rPr>
                <w:sz w:val="24"/>
                <w:szCs w:val="24"/>
              </w:rPr>
              <w:t xml:space="preserve">Оператор системи передачі та оператори систем розподілу надають до НКРЕКП документи (їх копії) та інформацію (дані, відомості, звітність, проєктну документацію, виконавчу </w:t>
            </w:r>
            <w:r w:rsidRPr="00EF1540">
              <w:rPr>
                <w:sz w:val="24"/>
                <w:szCs w:val="24"/>
              </w:rPr>
              <w:lastRenderedPageBreak/>
              <w:t>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3A514C" w:rsidRPr="00EF1540" w:rsidRDefault="003A514C" w:rsidP="00E17847">
            <w:pPr>
              <w:shd w:val="clear" w:color="auto" w:fill="FFFFFF"/>
              <w:ind w:firstLine="321"/>
              <w:jc w:val="both"/>
              <w:rPr>
                <w:sz w:val="24"/>
                <w:szCs w:val="24"/>
              </w:rPr>
            </w:pPr>
            <w:r w:rsidRPr="00EF1540">
              <w:rPr>
                <w:sz w:val="24"/>
                <w:szCs w:val="24"/>
              </w:rPr>
              <w:t>Оператор системи передачі та оператори систем розподілу відповідають за достовірність даних, зазначених ними у формах звітності та в документах.</w:t>
            </w:r>
          </w:p>
          <w:p w:rsidR="003A514C" w:rsidRDefault="003A514C" w:rsidP="00E17847">
            <w:pPr>
              <w:shd w:val="clear" w:color="auto" w:fill="FFFFFF"/>
              <w:ind w:firstLine="321"/>
              <w:jc w:val="both"/>
              <w:rPr>
                <w:sz w:val="24"/>
                <w:szCs w:val="24"/>
              </w:rPr>
            </w:pPr>
            <w:r w:rsidRPr="00EF1540">
              <w:rPr>
                <w:sz w:val="24"/>
                <w:szCs w:val="24"/>
              </w:rPr>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tc>
        <w:tc>
          <w:tcPr>
            <w:tcW w:w="4394" w:type="dxa"/>
          </w:tcPr>
          <w:p w:rsidR="003A514C" w:rsidRPr="00F05B07" w:rsidRDefault="003A514C" w:rsidP="0041631D">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w:t>
            </w:r>
            <w:r>
              <w:rPr>
                <w:b/>
                <w:sz w:val="24"/>
                <w:szCs w:val="24"/>
                <w:u w:val="single"/>
              </w:rPr>
              <w:lastRenderedPageBreak/>
              <w:t xml:space="preserve">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3A514C" w:rsidRPr="00816B1B" w:rsidRDefault="003A514C" w:rsidP="00816B1B">
            <w:pPr>
              <w:pStyle w:val="a6"/>
              <w:spacing w:before="0" w:beforeAutospacing="0" w:after="0" w:afterAutospacing="0"/>
              <w:ind w:firstLine="175"/>
              <w:jc w:val="both"/>
              <w:rPr>
                <w:b/>
                <w:bCs/>
                <w:color w:val="0070C0"/>
              </w:rPr>
            </w:pPr>
            <w:r w:rsidRPr="00816B1B">
              <w:rPr>
                <w:b/>
                <w:bCs/>
                <w:color w:val="0070C0"/>
              </w:rPr>
              <w:t>Залишити редакцію без змін (в частині термінів надання інформації)</w:t>
            </w:r>
          </w:p>
          <w:p w:rsidR="003A514C" w:rsidRPr="00816B1B" w:rsidRDefault="003A514C" w:rsidP="00816B1B">
            <w:pPr>
              <w:pStyle w:val="a6"/>
              <w:spacing w:before="0" w:beforeAutospacing="0" w:after="0" w:afterAutospacing="0"/>
              <w:ind w:firstLine="175"/>
              <w:jc w:val="both"/>
              <w:rPr>
                <w:b/>
                <w:bCs/>
                <w:color w:val="0070C0"/>
              </w:rPr>
            </w:pPr>
            <w:r w:rsidRPr="00816B1B">
              <w:rPr>
                <w:b/>
                <w:bCs/>
                <w:color w:val="0070C0"/>
              </w:rPr>
              <w:t>1.4. Оператор системи передачі та оператори систем розподілу складають станом на останнє число звітного кварталу наростаючим підсумком з початку базового періоду звіт щодо надання ними послуг з приєднання за формою, наведеною в додатку 1 до цієї Методики, та подають до НКРЕКП до 30 числа місяця, наступного за звітним кварталом, скорочену форму звіту (графи 1 - 63 та 109 - 125) та до 01 лютого повну форму звіту за базовий період.</w:t>
            </w:r>
          </w:p>
          <w:p w:rsidR="003A514C" w:rsidRPr="00816B1B" w:rsidRDefault="003A514C" w:rsidP="00816B1B">
            <w:pPr>
              <w:shd w:val="clear" w:color="auto" w:fill="FFFFFF"/>
              <w:ind w:firstLine="175"/>
              <w:jc w:val="both"/>
              <w:rPr>
                <w:b/>
                <w:bCs/>
                <w:color w:val="0070C0"/>
                <w:sz w:val="24"/>
                <w:szCs w:val="24"/>
              </w:rPr>
            </w:pPr>
            <w:r w:rsidRPr="00816B1B">
              <w:rPr>
                <w:b/>
                <w:bCs/>
                <w:color w:val="0070C0"/>
                <w:sz w:val="24"/>
                <w:szCs w:val="24"/>
              </w:rPr>
              <w:t>У звіті щодо стану надання оператором системи передачі та операторами систем розподілу послуг з приєднання відображається інформація про:</w:t>
            </w:r>
          </w:p>
          <w:p w:rsidR="003A514C" w:rsidRPr="00816B1B" w:rsidRDefault="003A514C" w:rsidP="00816B1B">
            <w:pPr>
              <w:pStyle w:val="a6"/>
              <w:ind w:firstLine="175"/>
              <w:jc w:val="both"/>
              <w:rPr>
                <w:b/>
                <w:bCs/>
                <w:color w:val="0070C0"/>
              </w:rPr>
            </w:pPr>
            <w:r w:rsidRPr="00816B1B">
              <w:rPr>
                <w:b/>
                <w:bCs/>
                <w:color w:val="0070C0"/>
              </w:rPr>
              <w:t>…</w:t>
            </w:r>
          </w:p>
          <w:p w:rsidR="003A514C" w:rsidRPr="00F05B07" w:rsidRDefault="003A514C" w:rsidP="00F05B07">
            <w:pPr>
              <w:ind w:firstLine="224"/>
              <w:contextualSpacing/>
              <w:jc w:val="both"/>
              <w:rPr>
                <w:b/>
                <w:sz w:val="24"/>
                <w:szCs w:val="24"/>
                <w:u w:val="single"/>
              </w:rPr>
            </w:pPr>
          </w:p>
        </w:tc>
        <w:tc>
          <w:tcPr>
            <w:tcW w:w="3685" w:type="dxa"/>
          </w:tcPr>
          <w:p w:rsidR="003A514C" w:rsidRPr="000B2616" w:rsidRDefault="003A514C" w:rsidP="00F3198F">
            <w:pPr>
              <w:pStyle w:val="a6"/>
              <w:ind w:firstLine="182"/>
              <w:jc w:val="both"/>
            </w:pPr>
            <w:r w:rsidRPr="000B2616">
              <w:lastRenderedPageBreak/>
              <w:t xml:space="preserve">Фактичний звітний період не співпадає з бухгалтерським періодом закриття виконаних робіт. Зміна терміну подання </w:t>
            </w:r>
            <w:r w:rsidRPr="000B2616">
              <w:lastRenderedPageBreak/>
              <w:t xml:space="preserve">звіту до НКРЕП призведе до надання некоректних звітних даних, так як до 10 числа наступного місяця в системах обліку підприємства ще не буде у повному обсязі фактуровано та закрито витрати. </w:t>
            </w:r>
          </w:p>
          <w:p w:rsidR="003A514C" w:rsidRPr="00816B1B" w:rsidRDefault="003A514C" w:rsidP="0064032E">
            <w:pPr>
              <w:jc w:val="both"/>
              <w:rPr>
                <w:sz w:val="24"/>
                <w:szCs w:val="24"/>
                <w:lang w:val="ru-RU"/>
              </w:rPr>
            </w:pPr>
          </w:p>
        </w:tc>
        <w:tc>
          <w:tcPr>
            <w:tcW w:w="3119" w:type="dxa"/>
          </w:tcPr>
          <w:p w:rsidR="00E17847" w:rsidRDefault="00E17847" w:rsidP="0064032E">
            <w:pPr>
              <w:jc w:val="both"/>
              <w:rPr>
                <w:b/>
                <w:sz w:val="24"/>
                <w:szCs w:val="24"/>
                <w:lang w:eastAsia="uk-UA"/>
              </w:rPr>
            </w:pPr>
            <w:r>
              <w:rPr>
                <w:b/>
                <w:sz w:val="24"/>
                <w:szCs w:val="24"/>
                <w:lang w:eastAsia="uk-UA"/>
              </w:rPr>
              <w:lastRenderedPageBreak/>
              <w:t>Пропонується викласти у редакції:</w:t>
            </w:r>
          </w:p>
          <w:p w:rsidR="0087502B" w:rsidRPr="004036E8" w:rsidRDefault="0087502B" w:rsidP="0087502B">
            <w:pPr>
              <w:shd w:val="clear" w:color="auto" w:fill="FFFFFF"/>
              <w:tabs>
                <w:tab w:val="left" w:pos="1134"/>
              </w:tabs>
              <w:ind w:firstLine="321"/>
              <w:jc w:val="both"/>
              <w:rPr>
                <w:b/>
                <w:sz w:val="24"/>
                <w:szCs w:val="24"/>
              </w:rPr>
            </w:pPr>
            <w:r w:rsidRPr="004036E8">
              <w:rPr>
                <w:b/>
                <w:sz w:val="24"/>
                <w:szCs w:val="24"/>
                <w:lang w:eastAsia="uk-UA"/>
              </w:rPr>
              <w:t>1.4.</w:t>
            </w:r>
            <w:r w:rsidRPr="00EF1540">
              <w:rPr>
                <w:sz w:val="24"/>
                <w:szCs w:val="24"/>
                <w:lang w:eastAsia="uk-UA"/>
              </w:rPr>
              <w:t xml:space="preserve"> </w:t>
            </w:r>
            <w:r w:rsidRPr="004036E8">
              <w:rPr>
                <w:b/>
                <w:sz w:val="24"/>
                <w:szCs w:val="24"/>
              </w:rPr>
              <w:t xml:space="preserve">Оператори систем складають звіт щодо стану </w:t>
            </w:r>
            <w:r w:rsidRPr="004036E8">
              <w:rPr>
                <w:b/>
                <w:sz w:val="24"/>
                <w:szCs w:val="24"/>
              </w:rPr>
              <w:lastRenderedPageBreak/>
              <w:t xml:space="preserve">надання ними послуг з приєднання за формою, наведеною в </w:t>
            </w:r>
            <w:hyperlink r:id="rId13" w:anchor="n146" w:history="1">
              <w:r w:rsidRPr="004036E8">
                <w:rPr>
                  <w:b/>
                  <w:sz w:val="24"/>
                  <w:szCs w:val="24"/>
                </w:rPr>
                <w:t>додатку 1</w:t>
              </w:r>
            </w:hyperlink>
            <w:r w:rsidRPr="004036E8">
              <w:rPr>
                <w:b/>
                <w:sz w:val="24"/>
                <w:szCs w:val="24"/>
              </w:rPr>
              <w:t xml:space="preserve"> до цієї Методики:</w:t>
            </w:r>
          </w:p>
          <w:p w:rsidR="0087502B" w:rsidRPr="004036E8" w:rsidRDefault="0087502B" w:rsidP="0087502B">
            <w:pPr>
              <w:shd w:val="clear" w:color="auto" w:fill="FFFFFF"/>
              <w:tabs>
                <w:tab w:val="left" w:pos="1134"/>
              </w:tabs>
              <w:ind w:firstLine="321"/>
              <w:jc w:val="both"/>
              <w:rPr>
                <w:b/>
                <w:sz w:val="24"/>
                <w:szCs w:val="24"/>
              </w:rPr>
            </w:pPr>
            <w:r w:rsidRPr="004036E8">
              <w:rPr>
                <w:b/>
                <w:sz w:val="24"/>
                <w:szCs w:val="24"/>
              </w:rPr>
              <w:t xml:space="preserve">станом на останнє число звітного місяця наростаючим підсумком з початку базового періоду та подають його до НКРЕКП </w:t>
            </w:r>
            <w:r w:rsidRPr="004036E8">
              <w:rPr>
                <w:b/>
                <w:bCs/>
                <w:sz w:val="24"/>
                <w:szCs w:val="24"/>
              </w:rPr>
              <w:t xml:space="preserve">в електронній формі </w:t>
            </w:r>
            <w:r w:rsidRPr="004036E8">
              <w:rPr>
                <w:b/>
                <w:sz w:val="24"/>
                <w:szCs w:val="24"/>
              </w:rPr>
              <w:t>до 10 числа місяця, наступного за звітним</w:t>
            </w:r>
            <w:r>
              <w:rPr>
                <w:b/>
                <w:sz w:val="24"/>
                <w:szCs w:val="24"/>
              </w:rPr>
              <w:t xml:space="preserve"> </w:t>
            </w:r>
            <w:r w:rsidRPr="00CD72F3">
              <w:rPr>
                <w:b/>
                <w:color w:val="00B050"/>
                <w:sz w:val="24"/>
                <w:szCs w:val="24"/>
              </w:rPr>
              <w:t>(</w:t>
            </w:r>
            <w:r w:rsidR="002139CE" w:rsidRPr="00CD72F3">
              <w:rPr>
                <w:b/>
                <w:color w:val="00B050"/>
                <w:sz w:val="24"/>
                <w:szCs w:val="24"/>
              </w:rPr>
              <w:t>графи 81 – 118</w:t>
            </w:r>
            <w:r w:rsidR="003F6E27" w:rsidRPr="00CD72F3">
              <w:rPr>
                <w:b/>
                <w:color w:val="00B050"/>
                <w:sz w:val="24"/>
                <w:szCs w:val="24"/>
              </w:rPr>
              <w:t xml:space="preserve"> завершених приєднань</w:t>
            </w:r>
            <w:r w:rsidR="002139CE" w:rsidRPr="00CD72F3">
              <w:rPr>
                <w:b/>
                <w:color w:val="00B050"/>
                <w:sz w:val="24"/>
                <w:szCs w:val="24"/>
              </w:rPr>
              <w:t xml:space="preserve"> </w:t>
            </w:r>
            <w:r w:rsidR="000C1A39" w:rsidRPr="00CD72F3">
              <w:rPr>
                <w:b/>
                <w:color w:val="00B050"/>
                <w:sz w:val="24"/>
                <w:szCs w:val="24"/>
              </w:rPr>
              <w:t>мають бути заповнені не пізніше наступного звіту</w:t>
            </w:r>
            <w:r w:rsidR="003F6E27" w:rsidRPr="00CD72F3">
              <w:rPr>
                <w:b/>
                <w:color w:val="00B050"/>
                <w:sz w:val="24"/>
                <w:szCs w:val="24"/>
              </w:rPr>
              <w:t>, після звіту, за місяць, в якому завершено надання послуги з приєднання)</w:t>
            </w:r>
            <w:r w:rsidR="003F6E27">
              <w:rPr>
                <w:b/>
                <w:sz w:val="24"/>
                <w:szCs w:val="24"/>
              </w:rPr>
              <w:t>;</w:t>
            </w:r>
            <w:r w:rsidR="007F10E6">
              <w:rPr>
                <w:b/>
                <w:sz w:val="24"/>
                <w:szCs w:val="24"/>
              </w:rPr>
              <w:t xml:space="preserve"> </w:t>
            </w:r>
          </w:p>
          <w:p w:rsidR="00E17847" w:rsidRPr="0087502B" w:rsidRDefault="0087502B" w:rsidP="0087502B">
            <w:pPr>
              <w:shd w:val="clear" w:color="auto" w:fill="FFFFFF"/>
              <w:tabs>
                <w:tab w:val="left" w:pos="1134"/>
              </w:tabs>
              <w:ind w:firstLine="321"/>
              <w:jc w:val="both"/>
              <w:rPr>
                <w:b/>
                <w:sz w:val="24"/>
                <w:szCs w:val="24"/>
              </w:rPr>
            </w:pPr>
            <w:r w:rsidRPr="004036E8">
              <w:rPr>
                <w:b/>
                <w:sz w:val="24"/>
                <w:szCs w:val="24"/>
              </w:rPr>
              <w:t xml:space="preserve">станом на останнє число року (базового періоду) та подають його до НКРЕКП </w:t>
            </w:r>
            <w:r w:rsidRPr="004036E8">
              <w:rPr>
                <w:b/>
                <w:bCs/>
                <w:sz w:val="24"/>
                <w:szCs w:val="24"/>
              </w:rPr>
              <w:t xml:space="preserve">в електронній формі </w:t>
            </w:r>
            <w:r w:rsidRPr="004036E8">
              <w:rPr>
                <w:b/>
                <w:sz w:val="24"/>
                <w:szCs w:val="24"/>
              </w:rPr>
              <w:t>до 01 лютого.</w:t>
            </w:r>
          </w:p>
        </w:tc>
      </w:tr>
      <w:tr w:rsidR="003A514C" w:rsidRPr="004F3A51" w:rsidTr="00F05B07">
        <w:trPr>
          <w:trHeight w:val="218"/>
        </w:trPr>
        <w:tc>
          <w:tcPr>
            <w:tcW w:w="4395" w:type="dxa"/>
            <w:vMerge/>
          </w:tcPr>
          <w:p w:rsidR="003A514C" w:rsidRDefault="003A514C" w:rsidP="008E4104">
            <w:pPr>
              <w:shd w:val="clear" w:color="auto" w:fill="FFFFFF"/>
              <w:tabs>
                <w:tab w:val="left" w:pos="1134"/>
              </w:tabs>
              <w:ind w:firstLine="709"/>
              <w:jc w:val="both"/>
              <w:rPr>
                <w:b/>
                <w:sz w:val="24"/>
                <w:szCs w:val="24"/>
                <w:lang w:eastAsia="uk-UA"/>
              </w:rPr>
            </w:pPr>
          </w:p>
        </w:tc>
        <w:tc>
          <w:tcPr>
            <w:tcW w:w="4394" w:type="dxa"/>
          </w:tcPr>
          <w:p w:rsidR="003A514C" w:rsidRPr="00EC7B35" w:rsidRDefault="003A514C" w:rsidP="008E4104">
            <w:pPr>
              <w:ind w:firstLine="224"/>
              <w:contextualSpacing/>
              <w:jc w:val="both"/>
              <w:rPr>
                <w:b/>
                <w:sz w:val="24"/>
                <w:szCs w:val="24"/>
                <w:u w:val="single"/>
              </w:rPr>
            </w:pPr>
            <w:r w:rsidRPr="00EC7B35">
              <w:rPr>
                <w:b/>
                <w:sz w:val="24"/>
                <w:szCs w:val="24"/>
                <w:u w:val="single"/>
              </w:rPr>
              <w:t>АТ «Прикарпаттяобленерго»</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lang w:eastAsia="uk-UA"/>
              </w:rPr>
              <w:t>1.4.</w:t>
            </w:r>
            <w:r w:rsidRPr="00EF1540">
              <w:rPr>
                <w:sz w:val="24"/>
                <w:szCs w:val="24"/>
                <w:lang w:eastAsia="uk-UA"/>
              </w:rPr>
              <w:t xml:space="preserve"> </w:t>
            </w:r>
            <w:r w:rsidRPr="004036E8">
              <w:rPr>
                <w:b/>
                <w:sz w:val="24"/>
                <w:szCs w:val="24"/>
              </w:rPr>
              <w:t xml:space="preserve">Оператори систем складають звіт щодо стану надання ними послуг з приєднання за формою, </w:t>
            </w:r>
            <w:r w:rsidRPr="004036E8">
              <w:rPr>
                <w:b/>
                <w:sz w:val="24"/>
                <w:szCs w:val="24"/>
              </w:rPr>
              <w:lastRenderedPageBreak/>
              <w:t xml:space="preserve">наведеною в </w:t>
            </w:r>
            <w:hyperlink r:id="rId14" w:anchor="n146" w:history="1">
              <w:r w:rsidRPr="004036E8">
                <w:rPr>
                  <w:b/>
                  <w:sz w:val="24"/>
                  <w:szCs w:val="24"/>
                </w:rPr>
                <w:t>додатку 1</w:t>
              </w:r>
            </w:hyperlink>
            <w:r w:rsidRPr="004036E8">
              <w:rPr>
                <w:b/>
                <w:sz w:val="24"/>
                <w:szCs w:val="24"/>
              </w:rPr>
              <w:t xml:space="preserve"> до цієї Методики:</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 xml:space="preserve">станом на останнє число звітного місяця наростаючим підсумком з початку базового періоду та подають його до НКРЕКП </w:t>
            </w:r>
            <w:r w:rsidRPr="004036E8">
              <w:rPr>
                <w:b/>
                <w:bCs/>
                <w:sz w:val="24"/>
                <w:szCs w:val="24"/>
              </w:rPr>
              <w:t xml:space="preserve">в електронній формі </w:t>
            </w:r>
            <w:r>
              <w:rPr>
                <w:b/>
                <w:sz w:val="24"/>
                <w:szCs w:val="24"/>
              </w:rPr>
              <w:t xml:space="preserve">до </w:t>
            </w:r>
            <w:r w:rsidRPr="008E4104">
              <w:rPr>
                <w:b/>
                <w:color w:val="0070C0"/>
                <w:sz w:val="24"/>
                <w:szCs w:val="24"/>
              </w:rPr>
              <w:t xml:space="preserve">25 числа </w:t>
            </w:r>
            <w:r w:rsidRPr="004036E8">
              <w:rPr>
                <w:b/>
                <w:sz w:val="24"/>
                <w:szCs w:val="24"/>
              </w:rPr>
              <w:t>місяця, наступного за звітним;</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 xml:space="preserve">станом на останнє число року (базового періоду) та подають його до НКРЕКП </w:t>
            </w:r>
            <w:r w:rsidRPr="004036E8">
              <w:rPr>
                <w:b/>
                <w:bCs/>
                <w:sz w:val="24"/>
                <w:szCs w:val="24"/>
              </w:rPr>
              <w:t xml:space="preserve">в електронній формі </w:t>
            </w:r>
            <w:r w:rsidRPr="004036E8">
              <w:rPr>
                <w:b/>
                <w:sz w:val="24"/>
                <w:szCs w:val="24"/>
              </w:rPr>
              <w:t>д</w:t>
            </w:r>
            <w:r>
              <w:rPr>
                <w:b/>
                <w:sz w:val="24"/>
                <w:szCs w:val="24"/>
              </w:rPr>
              <w:t xml:space="preserve">о </w:t>
            </w:r>
            <w:r w:rsidRPr="008E4104">
              <w:rPr>
                <w:b/>
                <w:color w:val="0070C0"/>
                <w:sz w:val="24"/>
                <w:szCs w:val="24"/>
              </w:rPr>
              <w:t>20 лютого</w:t>
            </w:r>
            <w:r w:rsidRPr="004036E8">
              <w:rPr>
                <w:b/>
                <w:sz w:val="24"/>
                <w:szCs w:val="24"/>
              </w:rPr>
              <w:t>.</w:t>
            </w:r>
          </w:p>
          <w:p w:rsidR="003A514C" w:rsidRPr="00647D68" w:rsidRDefault="003A514C" w:rsidP="008E4104">
            <w:pPr>
              <w:shd w:val="clear" w:color="auto" w:fill="FFFFFF"/>
              <w:tabs>
                <w:tab w:val="left" w:pos="1134"/>
              </w:tabs>
              <w:ind w:firstLine="709"/>
              <w:jc w:val="both"/>
              <w:rPr>
                <w:b/>
                <w:sz w:val="24"/>
                <w:szCs w:val="24"/>
                <w:lang w:val="ru-RU"/>
              </w:rPr>
            </w:pPr>
            <w:r w:rsidRPr="004036E8">
              <w:rPr>
                <w:b/>
                <w:sz w:val="24"/>
                <w:szCs w:val="24"/>
              </w:rPr>
              <w:t xml:space="preserve">Звіт щодо стану надання послуг з приєднання за формою, наведеною в </w:t>
            </w:r>
            <w:hyperlink r:id="rId15" w:anchor="n146" w:history="1">
              <w:r w:rsidRPr="004036E8">
                <w:rPr>
                  <w:b/>
                  <w:sz w:val="24"/>
                  <w:szCs w:val="24"/>
                </w:rPr>
                <w:t>додатку 1</w:t>
              </w:r>
            </w:hyperlink>
            <w:r w:rsidRPr="004036E8">
              <w:rPr>
                <w:b/>
                <w:sz w:val="24"/>
                <w:szCs w:val="24"/>
              </w:rPr>
              <w:t xml:space="preserve"> до цієї Методики, у форматі Excel надсилається операторами систем з супроводжувальним листом у форматі .</w:t>
            </w:r>
            <w:r w:rsidRPr="004036E8">
              <w:rPr>
                <w:b/>
                <w:sz w:val="24"/>
                <w:szCs w:val="24"/>
                <w:lang w:val="en-US"/>
              </w:rPr>
              <w:t>pdf</w:t>
            </w:r>
            <w:r w:rsidRPr="004036E8">
              <w:rPr>
                <w:b/>
                <w:sz w:val="24"/>
                <w:szCs w:val="24"/>
              </w:rPr>
              <w:t xml:space="preserve"> із накладенням кваліфікованого електронного підпису </w:t>
            </w:r>
            <w:r w:rsidRPr="004036E8">
              <w:rPr>
                <w:b/>
                <w:bCs/>
                <w:sz w:val="24"/>
                <w:szCs w:val="24"/>
              </w:rPr>
              <w:t>керівника о</w:t>
            </w:r>
            <w:r w:rsidRPr="004036E8">
              <w:rPr>
                <w:b/>
                <w:sz w:val="24"/>
                <w:szCs w:val="24"/>
              </w:rPr>
              <w:t xml:space="preserve">ператора системи на офіційну електронну адресу </w:t>
            </w:r>
            <w:r w:rsidRPr="004036E8">
              <w:rPr>
                <w:b/>
                <w:bCs/>
                <w:sz w:val="24"/>
                <w:szCs w:val="24"/>
              </w:rPr>
              <w:t xml:space="preserve">центрального апарату </w:t>
            </w:r>
            <w:r w:rsidRPr="004036E8">
              <w:rPr>
                <w:b/>
                <w:sz w:val="24"/>
                <w:szCs w:val="24"/>
              </w:rPr>
              <w:t xml:space="preserve">НКРЕКП, а також на електронну адресу НКРЕКП </w:t>
            </w:r>
            <w:hyperlink r:id="rId16" w:history="1">
              <w:r w:rsidRPr="004036E8">
                <w:rPr>
                  <w:rStyle w:val="a8"/>
                  <w:b/>
                </w:rPr>
                <w:t>energo2@nerc.gov.ua</w:t>
              </w:r>
            </w:hyperlink>
            <w:r w:rsidRPr="004036E8">
              <w:rPr>
                <w:b/>
                <w:sz w:val="24"/>
                <w:szCs w:val="24"/>
              </w:rPr>
              <w:t>.</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У звіті щодо стану надання операторами систем послуг з приєднання відображається інформація про:</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надані послуги з приєднання у звітному місяці;</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триваючі процедури надання послуги з приєднання згідно з чинними технічними умовами;</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lastRenderedPageBreak/>
              <w:t>відмови у наданні послуги з приєднання;</w:t>
            </w:r>
          </w:p>
          <w:p w:rsidR="003A514C" w:rsidRPr="004036E8" w:rsidRDefault="003A514C" w:rsidP="008E4104">
            <w:pPr>
              <w:shd w:val="clear" w:color="auto" w:fill="FFFFFF"/>
              <w:tabs>
                <w:tab w:val="left" w:pos="1134"/>
              </w:tabs>
              <w:ind w:firstLine="709"/>
              <w:jc w:val="both"/>
              <w:rPr>
                <w:b/>
                <w:sz w:val="24"/>
                <w:szCs w:val="24"/>
              </w:rPr>
            </w:pPr>
            <w:r w:rsidRPr="004036E8">
              <w:rPr>
                <w:b/>
                <w:sz w:val="24"/>
                <w:szCs w:val="24"/>
              </w:rPr>
              <w:t>заяви про приєднання до мереж операторів систем у звітному місяці (році).</w:t>
            </w:r>
          </w:p>
          <w:p w:rsidR="003A514C" w:rsidRPr="00EF1540" w:rsidRDefault="003A514C" w:rsidP="008E4104">
            <w:pPr>
              <w:shd w:val="clear" w:color="auto" w:fill="FFFFFF"/>
              <w:ind w:firstLine="448"/>
              <w:jc w:val="both"/>
              <w:rPr>
                <w:sz w:val="24"/>
                <w:szCs w:val="24"/>
              </w:rPr>
            </w:pPr>
            <w:r w:rsidRPr="00EF1540">
              <w:rPr>
                <w:sz w:val="24"/>
                <w:szCs w:val="24"/>
              </w:rPr>
              <w:t xml:space="preserve">Оператори систем розподілу щороку до 01 </w:t>
            </w:r>
            <w:r w:rsidRPr="008E4104">
              <w:rPr>
                <w:b/>
                <w:strike/>
                <w:color w:val="0070C0"/>
                <w:sz w:val="24"/>
                <w:szCs w:val="24"/>
              </w:rPr>
              <w:t>лютого</w:t>
            </w:r>
            <w:r w:rsidRPr="008E4104">
              <w:rPr>
                <w:b/>
                <w:color w:val="0070C0"/>
                <w:sz w:val="24"/>
                <w:szCs w:val="24"/>
              </w:rPr>
              <w:t xml:space="preserve"> жовтня</w:t>
            </w:r>
            <w:r w:rsidRPr="008E4104">
              <w:rPr>
                <w:color w:val="0070C0"/>
                <w:sz w:val="24"/>
                <w:szCs w:val="24"/>
              </w:rPr>
              <w:t xml:space="preserve"> </w:t>
            </w:r>
            <w:r w:rsidRPr="00EF1540">
              <w:rPr>
                <w:sz w:val="24"/>
                <w:szCs w:val="24"/>
              </w:rPr>
              <w:t xml:space="preserve">надають до НКРЕКП </w:t>
            </w:r>
            <w:r w:rsidRPr="00EF1540">
              <w:rPr>
                <w:b/>
                <w:sz w:val="24"/>
                <w:szCs w:val="24"/>
              </w:rPr>
              <w:t>у спосіб, зазначений у цьо</w:t>
            </w:r>
            <w:r>
              <w:rPr>
                <w:b/>
                <w:sz w:val="24"/>
                <w:szCs w:val="24"/>
              </w:rPr>
              <w:t>му</w:t>
            </w:r>
            <w:r w:rsidRPr="00EF1540">
              <w:rPr>
                <w:b/>
                <w:sz w:val="24"/>
                <w:szCs w:val="24"/>
              </w:rPr>
              <w:t xml:space="preserve"> пункт</w:t>
            </w:r>
            <w:r>
              <w:rPr>
                <w:b/>
                <w:sz w:val="24"/>
                <w:szCs w:val="24"/>
              </w:rPr>
              <w:t>і</w:t>
            </w:r>
            <w:r w:rsidRPr="00EF1540">
              <w:rPr>
                <w:b/>
                <w:sz w:val="24"/>
                <w:szCs w:val="24"/>
              </w:rPr>
              <w:t xml:space="preserve">, </w:t>
            </w:r>
            <w:r w:rsidRPr="00EF1540">
              <w:rPr>
                <w:sz w:val="24"/>
                <w:szCs w:val="24"/>
              </w:rPr>
              <w:t>інформацію про місячний обсяг трансформації електричної енергії на напругу 6(10)20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w:t>
            </w:r>
            <w:r w:rsidRPr="00EF1540">
              <w:rPr>
                <w:b/>
                <w:sz w:val="24"/>
                <w:szCs w:val="24"/>
              </w:rPr>
              <w:t xml:space="preserve">), </w:t>
            </w:r>
            <w:r w:rsidRPr="00EF1540">
              <w:rPr>
                <w:sz w:val="24"/>
                <w:szCs w:val="24"/>
              </w:rPr>
              <w:t>вихідні дані для розрахунку коефіцієнта завантаження трансформаторних підстанцій основної мережі напругою 35-110(154)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w:t>
            </w:r>
            <w:hyperlink r:id="rId17" w:anchor="n241" w:history="1">
              <w:r w:rsidRPr="00EF1540">
                <w:rPr>
                  <w:sz w:val="24"/>
                  <w:szCs w:val="24"/>
                </w:rPr>
                <w:t xml:space="preserve">формулами </w:t>
              </w:r>
            </w:hyperlink>
            <w:r w:rsidRPr="00EF1540">
              <w:rPr>
                <w:b/>
                <w:sz w:val="24"/>
                <w:szCs w:val="24"/>
              </w:rPr>
              <w:t>3 та </w:t>
            </w:r>
            <w:hyperlink r:id="rId18" w:anchor="n293" w:history="1">
              <w:r w:rsidRPr="00EF1540">
                <w:rPr>
                  <w:b/>
                  <w:sz w:val="24"/>
                  <w:szCs w:val="24"/>
                </w:rPr>
                <w:t>1</w:t>
              </w:r>
            </w:hyperlink>
            <w:r w:rsidRPr="00EF1540">
              <w:rPr>
                <w:b/>
                <w:sz w:val="24"/>
                <w:szCs w:val="24"/>
              </w:rPr>
              <w:t>2</w:t>
            </w:r>
            <w:r w:rsidRPr="00EF1540">
              <w:rPr>
                <w:sz w:val="24"/>
                <w:szCs w:val="24"/>
              </w:rPr>
              <w:t> цієї Методики.</w:t>
            </w:r>
          </w:p>
          <w:p w:rsidR="003A514C" w:rsidRPr="00EF1540" w:rsidRDefault="003A514C" w:rsidP="008E4104">
            <w:pPr>
              <w:shd w:val="clear" w:color="auto" w:fill="FFFFFF"/>
              <w:ind w:firstLine="448"/>
              <w:jc w:val="both"/>
              <w:rPr>
                <w:sz w:val="24"/>
                <w:szCs w:val="24"/>
              </w:rPr>
            </w:pPr>
            <w:r>
              <w:rPr>
                <w:sz w:val="24"/>
                <w:szCs w:val="24"/>
              </w:rPr>
              <w:t>…</w:t>
            </w:r>
          </w:p>
          <w:p w:rsidR="003A514C" w:rsidRPr="00F05B07" w:rsidRDefault="003A514C" w:rsidP="008E4104">
            <w:pPr>
              <w:ind w:firstLine="224"/>
              <w:contextualSpacing/>
              <w:jc w:val="both"/>
              <w:rPr>
                <w:b/>
                <w:sz w:val="24"/>
                <w:szCs w:val="24"/>
                <w:u w:val="single"/>
              </w:rPr>
            </w:pPr>
            <w:r w:rsidRPr="00D13628">
              <w:rPr>
                <w:sz w:val="24"/>
                <w:szCs w:val="24"/>
              </w:rPr>
              <w:t>Оператори систем розподілу та оператор системи передачі мають право</w:t>
            </w:r>
            <w:r>
              <w:rPr>
                <w:sz w:val="24"/>
                <w:szCs w:val="24"/>
              </w:rPr>
              <w:t xml:space="preserve"> </w:t>
            </w:r>
            <w:r w:rsidRPr="008E4104">
              <w:rPr>
                <w:b/>
                <w:color w:val="0070C0"/>
                <w:sz w:val="24"/>
                <w:szCs w:val="24"/>
              </w:rPr>
              <w:t>один раз у квартал</w:t>
            </w:r>
            <w:r w:rsidRPr="008E4104">
              <w:rPr>
                <w:color w:val="0070C0"/>
                <w:sz w:val="24"/>
                <w:szCs w:val="24"/>
              </w:rPr>
              <w:t xml:space="preserve">  </w:t>
            </w:r>
            <w:r w:rsidRPr="00D13628">
              <w:rPr>
                <w:sz w:val="24"/>
                <w:szCs w:val="24"/>
              </w:rPr>
              <w:t xml:space="preserve">надавати скориговані дані, зазначені ними у </w:t>
            </w:r>
            <w:r w:rsidRPr="00D13628">
              <w:rPr>
                <w:sz w:val="24"/>
                <w:szCs w:val="24"/>
              </w:rPr>
              <w:lastRenderedPageBreak/>
              <w:t>формах звітності та в інформації, передбаченій у цьому пункті,</w:t>
            </w:r>
            <w:r>
              <w:rPr>
                <w:sz w:val="24"/>
                <w:szCs w:val="24"/>
              </w:rPr>
              <w:t xml:space="preserve">  </w:t>
            </w:r>
            <w:r w:rsidRPr="008E4104">
              <w:rPr>
                <w:b/>
                <w:color w:val="0070C0"/>
                <w:sz w:val="24"/>
                <w:szCs w:val="24"/>
              </w:rPr>
              <w:t>або за 15 робочих днів  до проведення НКРЕКП відповідного заходу державного контролю</w:t>
            </w:r>
            <w:r w:rsidRPr="00D13628">
              <w:rPr>
                <w:sz w:val="24"/>
                <w:szCs w:val="24"/>
              </w:rPr>
              <w:t>. В інших випадках НКРЕКП не приймає до розгляду скориговані дані, надані операторами систем розподілу та оператором системи передачі</w:t>
            </w:r>
            <w:r>
              <w:rPr>
                <w:sz w:val="24"/>
                <w:szCs w:val="24"/>
              </w:rPr>
              <w:t>.</w:t>
            </w:r>
          </w:p>
        </w:tc>
        <w:tc>
          <w:tcPr>
            <w:tcW w:w="3685" w:type="dxa"/>
          </w:tcPr>
          <w:p w:rsidR="003A514C" w:rsidRDefault="003A514C" w:rsidP="008E4104">
            <w:pPr>
              <w:shd w:val="clear" w:color="auto" w:fill="FFFFFF"/>
              <w:tabs>
                <w:tab w:val="left" w:pos="1134"/>
              </w:tabs>
              <w:jc w:val="both"/>
              <w:rPr>
                <w:bCs/>
                <w:sz w:val="24"/>
                <w:szCs w:val="24"/>
                <w:lang w:eastAsia="uk-UA"/>
              </w:rPr>
            </w:pPr>
            <w:r w:rsidRPr="00270330">
              <w:rPr>
                <w:bCs/>
                <w:sz w:val="24"/>
                <w:szCs w:val="24"/>
                <w:lang w:eastAsia="uk-UA"/>
              </w:rPr>
              <w:lastRenderedPageBreak/>
              <w:t xml:space="preserve">Фактичний звітний період не співпадає з бухгалтерським періодом закриття виконаних робіт. Зміна терміну подання звіту до НКРЕП призведе до </w:t>
            </w:r>
            <w:r w:rsidRPr="00270330">
              <w:rPr>
                <w:bCs/>
                <w:sz w:val="24"/>
                <w:szCs w:val="24"/>
                <w:lang w:eastAsia="uk-UA"/>
              </w:rPr>
              <w:lastRenderedPageBreak/>
              <w:t>надання некоректних звітних даних, так як до 10 числа наступного місяця в системах обліку підприємства ще не буде у повному обсязі фактуровано та закрито витрати.</w:t>
            </w:r>
          </w:p>
          <w:p w:rsidR="003A514C" w:rsidRDefault="003A514C" w:rsidP="008E4104">
            <w:pPr>
              <w:shd w:val="clear" w:color="auto" w:fill="FFFFFF"/>
              <w:tabs>
                <w:tab w:val="left" w:pos="1134"/>
              </w:tabs>
              <w:jc w:val="both"/>
              <w:rPr>
                <w:bCs/>
                <w:sz w:val="24"/>
                <w:szCs w:val="24"/>
                <w:lang w:eastAsia="uk-UA"/>
              </w:rPr>
            </w:pPr>
            <w:r>
              <w:rPr>
                <w:bCs/>
                <w:sz w:val="24"/>
                <w:szCs w:val="24"/>
                <w:lang w:eastAsia="uk-UA"/>
              </w:rPr>
              <w:t>Крім того, в</w:t>
            </w:r>
            <w:r w:rsidRPr="006C19C8">
              <w:rPr>
                <w:bCs/>
                <w:sz w:val="24"/>
                <w:szCs w:val="24"/>
                <w:lang w:eastAsia="uk-UA"/>
              </w:rPr>
              <w:t xml:space="preserve"> запропонованій редакції ОСР зможе </w:t>
            </w:r>
            <w:r>
              <w:rPr>
                <w:bCs/>
                <w:sz w:val="24"/>
                <w:szCs w:val="24"/>
                <w:lang w:eastAsia="uk-UA"/>
              </w:rPr>
              <w:t>с</w:t>
            </w:r>
            <w:r w:rsidRPr="006C19C8">
              <w:rPr>
                <w:bCs/>
                <w:sz w:val="24"/>
                <w:szCs w:val="24"/>
                <w:lang w:eastAsia="uk-UA"/>
              </w:rPr>
              <w:t>корегувати</w:t>
            </w:r>
            <w:r>
              <w:rPr>
                <w:bCs/>
                <w:sz w:val="24"/>
                <w:szCs w:val="24"/>
                <w:lang w:eastAsia="uk-UA"/>
              </w:rPr>
              <w:t xml:space="preserve"> звітні дані при виявленні помилки самостійно до </w:t>
            </w:r>
            <w:r w:rsidRPr="006C19C8">
              <w:rPr>
                <w:bCs/>
                <w:sz w:val="24"/>
                <w:szCs w:val="24"/>
                <w:lang w:eastAsia="uk-UA"/>
              </w:rPr>
              <w:t>проведення НКРЕКП відповідного заходу державного контролю</w:t>
            </w:r>
            <w:r>
              <w:rPr>
                <w:bCs/>
                <w:sz w:val="24"/>
                <w:szCs w:val="24"/>
                <w:lang w:eastAsia="uk-UA"/>
              </w:rPr>
              <w:t xml:space="preserve">. Під час та після перевірки дані корегувати не можна, так як інформація уже рахується не вірно надана та вилучається із звіту. </w:t>
            </w: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p>
          <w:p w:rsidR="003A514C" w:rsidRDefault="003A514C" w:rsidP="008E4104">
            <w:pPr>
              <w:shd w:val="clear" w:color="auto" w:fill="FFFFFF"/>
              <w:tabs>
                <w:tab w:val="left" w:pos="1134"/>
              </w:tabs>
              <w:jc w:val="both"/>
              <w:rPr>
                <w:bCs/>
                <w:sz w:val="24"/>
                <w:szCs w:val="24"/>
                <w:lang w:eastAsia="uk-UA"/>
              </w:rPr>
            </w:pPr>
            <w:r>
              <w:rPr>
                <w:bCs/>
                <w:sz w:val="24"/>
                <w:szCs w:val="24"/>
                <w:lang w:eastAsia="uk-UA"/>
              </w:rPr>
              <w:t xml:space="preserve">Подати інформацію щодо  </w:t>
            </w:r>
            <w:r w:rsidRPr="00EF1540">
              <w:rPr>
                <w:sz w:val="24"/>
                <w:szCs w:val="24"/>
              </w:rPr>
              <w:t>місячний обсяг трансформації електричної енергії на напругу 6(10)20 кВ для трансформаторних підстанцій (ПС) основної мережі напругою 35-110 (154) кВ відповідно до територіальних одиниць оператора системи розподілу</w:t>
            </w:r>
            <w:r>
              <w:rPr>
                <w:bCs/>
                <w:sz w:val="24"/>
                <w:szCs w:val="24"/>
                <w:lang w:eastAsia="uk-UA"/>
              </w:rPr>
              <w:t xml:space="preserve"> до 01 вересня станом станом на 01 вересня поточного року (пункт 1.3.) не можливо, потрібен період на опрацювання .</w:t>
            </w:r>
          </w:p>
          <w:p w:rsidR="003A514C" w:rsidRPr="006C19C8" w:rsidRDefault="003A514C" w:rsidP="008E4104">
            <w:pPr>
              <w:shd w:val="clear" w:color="auto" w:fill="FFFFFF"/>
              <w:tabs>
                <w:tab w:val="left" w:pos="1134"/>
              </w:tabs>
              <w:jc w:val="both"/>
              <w:rPr>
                <w:bCs/>
                <w:sz w:val="24"/>
                <w:szCs w:val="24"/>
                <w:lang w:eastAsia="uk-UA"/>
              </w:rPr>
            </w:pPr>
          </w:p>
        </w:tc>
        <w:tc>
          <w:tcPr>
            <w:tcW w:w="3119" w:type="dxa"/>
          </w:tcPr>
          <w:p w:rsidR="003A514C" w:rsidRDefault="003A514C"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r>
              <w:rPr>
                <w:b/>
                <w:sz w:val="24"/>
                <w:szCs w:val="24"/>
                <w:lang w:eastAsia="uk-UA"/>
              </w:rPr>
              <w:t>Пропонується викласти у вищенаведеній редакції.</w:t>
            </w: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377A6E" w:rsidP="008E4104">
            <w:pPr>
              <w:jc w:val="both"/>
              <w:rPr>
                <w:b/>
                <w:sz w:val="24"/>
                <w:szCs w:val="24"/>
                <w:lang w:eastAsia="uk-UA"/>
              </w:rPr>
            </w:pPr>
            <w:r>
              <w:rPr>
                <w:b/>
                <w:sz w:val="24"/>
                <w:szCs w:val="24"/>
                <w:lang w:eastAsia="uk-UA"/>
              </w:rPr>
              <w:t>Пропонується відхилити</w:t>
            </w: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711AA9" w:rsidP="008E4104">
            <w:pPr>
              <w:jc w:val="both"/>
              <w:rPr>
                <w:b/>
                <w:sz w:val="24"/>
                <w:szCs w:val="24"/>
                <w:lang w:eastAsia="uk-UA"/>
              </w:rPr>
            </w:pPr>
          </w:p>
          <w:p w:rsidR="00711AA9" w:rsidRDefault="008876DB" w:rsidP="008E4104">
            <w:pPr>
              <w:jc w:val="both"/>
              <w:rPr>
                <w:b/>
                <w:sz w:val="24"/>
                <w:szCs w:val="24"/>
                <w:lang w:eastAsia="uk-UA"/>
              </w:rPr>
            </w:pPr>
            <w:r>
              <w:rPr>
                <w:b/>
                <w:sz w:val="24"/>
                <w:szCs w:val="24"/>
                <w:lang w:eastAsia="uk-UA"/>
              </w:rPr>
              <w:t xml:space="preserve">Пропонується відхилити </w:t>
            </w:r>
          </w:p>
          <w:p w:rsidR="00711AA9" w:rsidRPr="004F3A51" w:rsidRDefault="00711AA9" w:rsidP="008E4104">
            <w:pPr>
              <w:jc w:val="both"/>
              <w:rPr>
                <w:b/>
                <w:sz w:val="24"/>
                <w:szCs w:val="24"/>
                <w:lang w:eastAsia="uk-UA"/>
              </w:rPr>
            </w:pPr>
          </w:p>
        </w:tc>
      </w:tr>
      <w:tr w:rsidR="003A514C" w:rsidRPr="004F3A51" w:rsidTr="00F05B07">
        <w:trPr>
          <w:trHeight w:val="218"/>
        </w:trPr>
        <w:tc>
          <w:tcPr>
            <w:tcW w:w="4395" w:type="dxa"/>
            <w:vMerge/>
          </w:tcPr>
          <w:p w:rsidR="003A514C" w:rsidRDefault="003A514C" w:rsidP="008E4104">
            <w:pPr>
              <w:shd w:val="clear" w:color="auto" w:fill="FFFFFF"/>
              <w:tabs>
                <w:tab w:val="left" w:pos="1134"/>
              </w:tabs>
              <w:ind w:firstLine="709"/>
              <w:jc w:val="both"/>
              <w:rPr>
                <w:b/>
                <w:sz w:val="24"/>
                <w:szCs w:val="24"/>
                <w:lang w:eastAsia="uk-UA"/>
              </w:rPr>
            </w:pPr>
          </w:p>
        </w:tc>
        <w:tc>
          <w:tcPr>
            <w:tcW w:w="4394" w:type="dxa"/>
          </w:tcPr>
          <w:p w:rsidR="003A514C" w:rsidRDefault="003A514C" w:rsidP="008E4104">
            <w:pPr>
              <w:ind w:firstLine="224"/>
              <w:contextualSpacing/>
              <w:jc w:val="both"/>
              <w:rPr>
                <w:b/>
                <w:sz w:val="24"/>
                <w:szCs w:val="24"/>
                <w:u w:val="single"/>
              </w:rPr>
            </w:pPr>
            <w:r>
              <w:rPr>
                <w:b/>
                <w:sz w:val="24"/>
                <w:szCs w:val="24"/>
                <w:u w:val="single"/>
              </w:rPr>
              <w:t>ПрАТ «Львівобленерго»</w:t>
            </w:r>
          </w:p>
          <w:p w:rsidR="003A514C" w:rsidRPr="003A514C" w:rsidRDefault="003A514C" w:rsidP="008E4104">
            <w:pPr>
              <w:ind w:firstLine="224"/>
              <w:contextualSpacing/>
              <w:jc w:val="both"/>
              <w:rPr>
                <w:sz w:val="24"/>
                <w:szCs w:val="24"/>
              </w:rPr>
            </w:pPr>
            <w:r w:rsidRPr="003A514C">
              <w:rPr>
                <w:sz w:val="24"/>
                <w:szCs w:val="24"/>
              </w:rPr>
              <w:t>Залишити чинну редакцію без змін стосовно термінів подання звітності, або поставити термін надання місячної звітності до 25числа наступного місяця.</w:t>
            </w:r>
          </w:p>
        </w:tc>
        <w:tc>
          <w:tcPr>
            <w:tcW w:w="3685" w:type="dxa"/>
          </w:tcPr>
          <w:p w:rsidR="003A514C" w:rsidRPr="00686A9B" w:rsidRDefault="00686A9B" w:rsidP="008E4104">
            <w:pPr>
              <w:shd w:val="clear" w:color="auto" w:fill="FFFFFF"/>
              <w:tabs>
                <w:tab w:val="left" w:pos="1134"/>
              </w:tabs>
              <w:jc w:val="both"/>
              <w:rPr>
                <w:bCs/>
                <w:sz w:val="24"/>
                <w:szCs w:val="24"/>
                <w:lang w:val="ru-RU" w:eastAsia="uk-UA"/>
              </w:rPr>
            </w:pPr>
            <w:r w:rsidRPr="00686A9B">
              <w:rPr>
                <w:bCs/>
                <w:sz w:val="24"/>
                <w:szCs w:val="24"/>
                <w:lang w:val="ru-RU" w:eastAsia="uk-UA"/>
              </w:rPr>
              <w:t>Дане прохання викликано тим, що бухгалтерська звітність закривається до 15числа кожного місяця і буде час коректно внести всі дані</w:t>
            </w:r>
          </w:p>
        </w:tc>
        <w:tc>
          <w:tcPr>
            <w:tcW w:w="3119" w:type="dxa"/>
          </w:tcPr>
          <w:p w:rsidR="003A514C" w:rsidRPr="004F3A51" w:rsidRDefault="00215529" w:rsidP="008E4104">
            <w:pPr>
              <w:jc w:val="both"/>
              <w:rPr>
                <w:b/>
                <w:sz w:val="24"/>
                <w:szCs w:val="24"/>
                <w:lang w:eastAsia="uk-UA"/>
              </w:rPr>
            </w:pPr>
            <w:r>
              <w:rPr>
                <w:b/>
                <w:sz w:val="24"/>
                <w:szCs w:val="24"/>
                <w:lang w:eastAsia="uk-UA"/>
              </w:rPr>
              <w:t>Пропонується викласти у вищенаведеній редакції</w:t>
            </w:r>
          </w:p>
        </w:tc>
      </w:tr>
      <w:tr w:rsidR="008E4104" w:rsidRPr="004F3A51" w:rsidTr="00F05B07">
        <w:trPr>
          <w:trHeight w:val="218"/>
        </w:trPr>
        <w:tc>
          <w:tcPr>
            <w:tcW w:w="4395" w:type="dxa"/>
            <w:vMerge w:val="restart"/>
          </w:tcPr>
          <w:p w:rsidR="008E4104" w:rsidRPr="00816B1B" w:rsidRDefault="008E4104" w:rsidP="008E4104">
            <w:pPr>
              <w:shd w:val="clear" w:color="auto" w:fill="FFFFFF"/>
              <w:ind w:firstLine="448"/>
              <w:jc w:val="both"/>
              <w:rPr>
                <w:sz w:val="24"/>
                <w:szCs w:val="24"/>
              </w:rPr>
            </w:pPr>
            <w:r w:rsidRPr="00816B1B">
              <w:rPr>
                <w:sz w:val="24"/>
                <w:szCs w:val="24"/>
              </w:rPr>
              <w:t>1.</w:t>
            </w:r>
            <w:r w:rsidRPr="00816B1B">
              <w:rPr>
                <w:b/>
                <w:sz w:val="24"/>
                <w:szCs w:val="24"/>
              </w:rPr>
              <w:t>8</w:t>
            </w:r>
            <w:r w:rsidRPr="00816B1B">
              <w:rPr>
                <w:sz w:val="24"/>
                <w:szCs w:val="24"/>
              </w:rPr>
              <w:t>. Плата за нестандартне приєднання розраховується згідно з главами 4 та 5 цієї Методики.</w:t>
            </w:r>
          </w:p>
          <w:p w:rsidR="008E4104" w:rsidRDefault="008E4104" w:rsidP="008E4104">
            <w:pPr>
              <w:shd w:val="clear" w:color="auto" w:fill="FFFFFF"/>
              <w:ind w:firstLine="448"/>
              <w:jc w:val="both"/>
              <w:rPr>
                <w:sz w:val="24"/>
                <w:szCs w:val="24"/>
              </w:rPr>
            </w:pPr>
            <w:r w:rsidRPr="00816B1B">
              <w:rPr>
                <w:sz w:val="24"/>
                <w:szCs w:val="24"/>
              </w:rPr>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w:t>
            </w:r>
            <w:r w:rsidRPr="00816B1B">
              <w:rPr>
                <w:sz w:val="24"/>
                <w:szCs w:val="24"/>
              </w:rPr>
              <w:lastRenderedPageBreak/>
              <w:t>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або ІІ категорією надійності електропостачання.</w:t>
            </w:r>
          </w:p>
        </w:tc>
        <w:tc>
          <w:tcPr>
            <w:tcW w:w="4394" w:type="dxa"/>
          </w:tcPr>
          <w:p w:rsidR="008E4104" w:rsidRPr="00F05B07" w:rsidRDefault="008E4104"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ПрАТ «ДТЕК Київські електромережі», ПрАТ «ДТЕК Київські регіональні електромережі», АТ «ДТЕК Одеські електромережі»</w:t>
            </w:r>
          </w:p>
          <w:p w:rsidR="008E4104" w:rsidRPr="00816B1B" w:rsidRDefault="008E4104" w:rsidP="008E4104">
            <w:pPr>
              <w:shd w:val="clear" w:color="auto" w:fill="FFFFFF"/>
              <w:ind w:firstLine="448"/>
              <w:jc w:val="both"/>
              <w:rPr>
                <w:sz w:val="24"/>
                <w:szCs w:val="24"/>
              </w:rPr>
            </w:pPr>
            <w:r w:rsidRPr="00816B1B">
              <w:rPr>
                <w:sz w:val="24"/>
                <w:szCs w:val="24"/>
              </w:rPr>
              <w:t>1.</w:t>
            </w:r>
            <w:r w:rsidRPr="00816B1B">
              <w:rPr>
                <w:b/>
                <w:sz w:val="24"/>
                <w:szCs w:val="24"/>
              </w:rPr>
              <w:t>8</w:t>
            </w:r>
            <w:r w:rsidRPr="00816B1B">
              <w:rPr>
                <w:sz w:val="24"/>
                <w:szCs w:val="24"/>
              </w:rPr>
              <w:t>. Плата за нестандартне приєднання розраховується згідно з главами 4 та 5 цієї Методики.</w:t>
            </w:r>
          </w:p>
          <w:p w:rsidR="008E4104" w:rsidRPr="00816B1B" w:rsidRDefault="008E4104" w:rsidP="008E4104">
            <w:pPr>
              <w:ind w:firstLine="175"/>
              <w:jc w:val="both"/>
              <w:rPr>
                <w:b/>
                <w:color w:val="0070C0"/>
                <w:sz w:val="24"/>
                <w:szCs w:val="24"/>
              </w:rPr>
            </w:pPr>
            <w:r w:rsidRPr="00816B1B">
              <w:rPr>
                <w:b/>
                <w:color w:val="0070C0"/>
                <w:sz w:val="24"/>
                <w:szCs w:val="24"/>
              </w:rPr>
              <w:t xml:space="preserve">У випадку приєднання електроустановок замовника за схемою електрозабезпечення ІІІ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w:t>
            </w:r>
            <w:r w:rsidRPr="00816B1B">
              <w:rPr>
                <w:b/>
                <w:color w:val="0070C0"/>
                <w:sz w:val="24"/>
                <w:szCs w:val="24"/>
              </w:rPr>
              <w:lastRenderedPageBreak/>
              <w:t>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rsidR="008E4104" w:rsidRPr="00816B1B" w:rsidRDefault="008E4104" w:rsidP="008E4104">
            <w:pPr>
              <w:ind w:firstLine="175"/>
              <w:jc w:val="both"/>
              <w:rPr>
                <w:b/>
                <w:color w:val="0070C0"/>
                <w:sz w:val="24"/>
                <w:szCs w:val="24"/>
              </w:rPr>
            </w:pPr>
            <w:r w:rsidRPr="00816B1B">
              <w:rPr>
                <w:b/>
                <w:color w:val="0070C0"/>
                <w:sz w:val="24"/>
                <w:szCs w:val="24"/>
              </w:rPr>
              <w:t>– 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8E4104" w:rsidRPr="00816B1B" w:rsidRDefault="008E4104" w:rsidP="008E4104">
            <w:pPr>
              <w:ind w:firstLine="175"/>
              <w:jc w:val="both"/>
              <w:rPr>
                <w:b/>
                <w:color w:val="0070C0"/>
                <w:sz w:val="24"/>
                <w:szCs w:val="24"/>
              </w:rPr>
            </w:pPr>
            <w:r w:rsidRPr="00816B1B">
              <w:rPr>
                <w:b/>
                <w:color w:val="0070C0"/>
                <w:sz w:val="24"/>
                <w:szCs w:val="24"/>
              </w:rPr>
              <w:t>– 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8E4104" w:rsidRPr="00816B1B" w:rsidRDefault="008E4104" w:rsidP="008E4104">
            <w:pPr>
              <w:ind w:firstLine="175"/>
              <w:jc w:val="both"/>
              <w:rPr>
                <w:b/>
                <w:color w:val="0070C0"/>
                <w:sz w:val="24"/>
                <w:szCs w:val="24"/>
              </w:rPr>
            </w:pPr>
            <w:r w:rsidRPr="00816B1B">
              <w:rPr>
                <w:b/>
                <w:color w:val="0070C0"/>
                <w:sz w:val="24"/>
                <w:szCs w:val="24"/>
              </w:rPr>
              <w:t>– 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8E4104" w:rsidRPr="00816B1B" w:rsidRDefault="008E4104" w:rsidP="008E4104">
            <w:pPr>
              <w:ind w:firstLine="175"/>
              <w:jc w:val="both"/>
              <w:rPr>
                <w:b/>
                <w:color w:val="0070C0"/>
                <w:sz w:val="24"/>
                <w:szCs w:val="24"/>
              </w:rPr>
            </w:pPr>
            <w:r w:rsidRPr="00816B1B">
              <w:rPr>
                <w:b/>
                <w:color w:val="0070C0"/>
                <w:sz w:val="24"/>
                <w:szCs w:val="24"/>
              </w:rPr>
              <w:lastRenderedPageBreak/>
              <w:t>– від 5000 кВт – до трансформаторної підстанції відповідно до вказаного в заяві про приєднання рівня напруги в точці приєднання, але не нижче 35 кВ.</w:t>
            </w:r>
          </w:p>
          <w:p w:rsidR="008E4104" w:rsidRPr="00F05B07" w:rsidRDefault="008E4104" w:rsidP="008E4104">
            <w:pPr>
              <w:ind w:firstLine="175"/>
              <w:contextualSpacing/>
              <w:jc w:val="both"/>
              <w:rPr>
                <w:b/>
                <w:sz w:val="24"/>
                <w:szCs w:val="24"/>
                <w:u w:val="single"/>
              </w:rPr>
            </w:pPr>
            <w:r w:rsidRPr="00816B1B">
              <w:rPr>
                <w:sz w:val="24"/>
                <w:szCs w:val="24"/>
              </w:rPr>
              <w:t xml:space="preserve">У випадку приєднання електроустановок замовника за схемою електрозабезпечення І або </w:t>
            </w:r>
            <w:r w:rsidRPr="00816B1B">
              <w:rPr>
                <w:sz w:val="24"/>
                <w:szCs w:val="24"/>
              </w:rPr>
              <w:br/>
              <w:t xml:space="preserve">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або ІІ категорією надійності електропостачання </w:t>
            </w:r>
            <w:r w:rsidRPr="00816B1B">
              <w:rPr>
                <w:rFonts w:eastAsiaTheme="minorHAnsi"/>
                <w:b/>
                <w:color w:val="0070C0"/>
                <w:sz w:val="24"/>
                <w:szCs w:val="24"/>
                <w:lang w:eastAsia="en-US"/>
              </w:rPr>
              <w:t>з урахуванням умов по величині потужності, замовленої до приєднання.</w:t>
            </w:r>
          </w:p>
        </w:tc>
        <w:tc>
          <w:tcPr>
            <w:tcW w:w="3685" w:type="dxa"/>
          </w:tcPr>
          <w:p w:rsidR="008E4104" w:rsidRPr="000B2616" w:rsidRDefault="008E4104" w:rsidP="008E4104">
            <w:pPr>
              <w:pStyle w:val="a6"/>
              <w:spacing w:before="0" w:beforeAutospacing="0" w:after="0" w:afterAutospacing="0"/>
              <w:ind w:firstLine="324"/>
              <w:jc w:val="both"/>
            </w:pPr>
            <w:r w:rsidRPr="000B2616">
              <w:lastRenderedPageBreak/>
              <w:t>Приведення у відповідність до КСР.</w:t>
            </w:r>
          </w:p>
          <w:p w:rsidR="008E4104" w:rsidRPr="000B2616" w:rsidRDefault="008E4104" w:rsidP="008E4104">
            <w:pPr>
              <w:pStyle w:val="a6"/>
              <w:spacing w:before="0" w:beforeAutospacing="0" w:after="0" w:afterAutospacing="0"/>
              <w:ind w:firstLine="324"/>
              <w:jc w:val="both"/>
            </w:pPr>
            <w:r w:rsidRPr="000B2616">
              <w:t>Необхідно уточнити типи електричних мереж (повітряна лінія, трансформаторна підстанція або розподільний пункт), відповідно до яких має визначатися відстань лінійної частини приєднання при нестандартному приєднанні, що здійснюється за процедурою «під ключ», залежно від величини заявленої до приєднання потужності</w:t>
            </w:r>
          </w:p>
          <w:p w:rsidR="008E4104" w:rsidRDefault="008E4104" w:rsidP="008E4104">
            <w:pPr>
              <w:jc w:val="both"/>
              <w:rPr>
                <w:sz w:val="24"/>
                <w:szCs w:val="24"/>
              </w:rPr>
            </w:pPr>
          </w:p>
        </w:tc>
        <w:tc>
          <w:tcPr>
            <w:tcW w:w="3119" w:type="dxa"/>
          </w:tcPr>
          <w:p w:rsidR="008E4104" w:rsidRDefault="008E4104"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Default="00590578" w:rsidP="008E4104">
            <w:pPr>
              <w:jc w:val="both"/>
              <w:rPr>
                <w:b/>
                <w:sz w:val="24"/>
                <w:szCs w:val="24"/>
                <w:lang w:eastAsia="uk-UA"/>
              </w:rPr>
            </w:pPr>
          </w:p>
          <w:p w:rsidR="00590578" w:rsidRPr="004F3A51" w:rsidRDefault="005E0659" w:rsidP="008E4104">
            <w:pPr>
              <w:jc w:val="both"/>
              <w:rPr>
                <w:b/>
                <w:sz w:val="24"/>
                <w:szCs w:val="24"/>
                <w:lang w:eastAsia="uk-UA"/>
              </w:rPr>
            </w:pPr>
            <w:r>
              <w:rPr>
                <w:b/>
                <w:sz w:val="24"/>
                <w:szCs w:val="24"/>
                <w:lang w:eastAsia="uk-UA"/>
              </w:rPr>
              <w:t>Пропонується відхилити</w:t>
            </w:r>
          </w:p>
        </w:tc>
      </w:tr>
      <w:tr w:rsidR="008E4104" w:rsidRPr="004F3A51" w:rsidTr="00F05B07">
        <w:trPr>
          <w:trHeight w:val="218"/>
        </w:trPr>
        <w:tc>
          <w:tcPr>
            <w:tcW w:w="4395" w:type="dxa"/>
            <w:vMerge/>
          </w:tcPr>
          <w:p w:rsidR="008E4104" w:rsidRPr="00816B1B" w:rsidRDefault="008E4104" w:rsidP="008E4104">
            <w:pPr>
              <w:shd w:val="clear" w:color="auto" w:fill="FFFFFF"/>
              <w:ind w:firstLine="448"/>
              <w:jc w:val="both"/>
              <w:rPr>
                <w:sz w:val="24"/>
                <w:szCs w:val="24"/>
              </w:rPr>
            </w:pPr>
          </w:p>
        </w:tc>
        <w:tc>
          <w:tcPr>
            <w:tcW w:w="4394" w:type="dxa"/>
          </w:tcPr>
          <w:p w:rsidR="008E4104" w:rsidRDefault="008E4104" w:rsidP="008E4104">
            <w:pPr>
              <w:ind w:firstLine="224"/>
              <w:contextualSpacing/>
              <w:jc w:val="both"/>
              <w:rPr>
                <w:b/>
                <w:sz w:val="24"/>
                <w:szCs w:val="24"/>
                <w:u w:val="single"/>
              </w:rPr>
            </w:pP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816B1B" w:rsidRDefault="008E4104" w:rsidP="008E4104">
            <w:pPr>
              <w:shd w:val="clear" w:color="auto" w:fill="FFFFFF"/>
              <w:ind w:firstLine="175"/>
              <w:jc w:val="both"/>
              <w:rPr>
                <w:sz w:val="24"/>
                <w:szCs w:val="24"/>
              </w:rPr>
            </w:pPr>
            <w:r w:rsidRPr="00816B1B">
              <w:rPr>
                <w:sz w:val="24"/>
                <w:szCs w:val="24"/>
              </w:rPr>
              <w:t>1.</w:t>
            </w:r>
            <w:r w:rsidRPr="00816B1B">
              <w:rPr>
                <w:b/>
                <w:sz w:val="24"/>
                <w:szCs w:val="24"/>
              </w:rPr>
              <w:t>8</w:t>
            </w:r>
            <w:r w:rsidRPr="00816B1B">
              <w:rPr>
                <w:sz w:val="24"/>
                <w:szCs w:val="24"/>
              </w:rPr>
              <w:t>. Плата за нестандартне приєднання розраховується згідно з главами 4 та 5 цієї Методики.</w:t>
            </w:r>
          </w:p>
          <w:p w:rsidR="008E4104" w:rsidRPr="00A11F87" w:rsidRDefault="008E4104" w:rsidP="008E4104">
            <w:pPr>
              <w:ind w:firstLine="175"/>
              <w:jc w:val="both"/>
              <w:rPr>
                <w:b/>
                <w:color w:val="0070C0"/>
                <w:sz w:val="24"/>
                <w:szCs w:val="24"/>
              </w:rPr>
            </w:pPr>
            <w:r w:rsidRPr="00A11F87">
              <w:rPr>
                <w:b/>
                <w:color w:val="0070C0"/>
                <w:sz w:val="24"/>
                <w:szCs w:val="24"/>
              </w:rPr>
              <w:lastRenderedPageBreak/>
              <w:t>Розрахунок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rsidR="008E4104" w:rsidRPr="00A11F87" w:rsidRDefault="008E4104" w:rsidP="008E4104">
            <w:pPr>
              <w:ind w:firstLine="175"/>
              <w:jc w:val="both"/>
              <w:rPr>
                <w:b/>
                <w:color w:val="0070C0"/>
                <w:sz w:val="24"/>
                <w:szCs w:val="24"/>
              </w:rPr>
            </w:pPr>
            <w:r w:rsidRPr="00A11F87">
              <w:rPr>
                <w:b/>
                <w:color w:val="0070C0"/>
                <w:sz w:val="24"/>
                <w:szCs w:val="24"/>
              </w:rPr>
              <w:t>– 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8E4104" w:rsidRPr="00A11F87" w:rsidRDefault="008E4104" w:rsidP="008E4104">
            <w:pPr>
              <w:ind w:firstLine="175"/>
              <w:jc w:val="both"/>
              <w:rPr>
                <w:b/>
                <w:color w:val="0070C0"/>
                <w:sz w:val="24"/>
                <w:szCs w:val="24"/>
              </w:rPr>
            </w:pPr>
            <w:r w:rsidRPr="00A11F87">
              <w:rPr>
                <w:b/>
                <w:color w:val="0070C0"/>
                <w:sz w:val="24"/>
                <w:szCs w:val="24"/>
              </w:rPr>
              <w:t>– 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8E4104" w:rsidRPr="00A11F87" w:rsidRDefault="008E4104" w:rsidP="008E4104">
            <w:pPr>
              <w:ind w:firstLine="175"/>
              <w:jc w:val="both"/>
              <w:rPr>
                <w:b/>
                <w:color w:val="0070C0"/>
                <w:sz w:val="24"/>
                <w:szCs w:val="24"/>
              </w:rPr>
            </w:pPr>
            <w:r w:rsidRPr="00A11F87">
              <w:rPr>
                <w:b/>
                <w:color w:val="0070C0"/>
                <w:sz w:val="24"/>
                <w:szCs w:val="24"/>
              </w:rPr>
              <w:t xml:space="preserve">– 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w:t>
            </w:r>
            <w:r w:rsidRPr="00A11F87">
              <w:rPr>
                <w:b/>
                <w:color w:val="0070C0"/>
                <w:sz w:val="24"/>
                <w:szCs w:val="24"/>
              </w:rPr>
              <w:lastRenderedPageBreak/>
              <w:t>відповідно до вказаного в заяві про приєднання рівня напруги в точці приєднання, але не нижче 20 кВ;</w:t>
            </w:r>
          </w:p>
          <w:p w:rsidR="008E4104" w:rsidRPr="00A11F87" w:rsidRDefault="008E4104" w:rsidP="008E4104">
            <w:pPr>
              <w:ind w:firstLine="175"/>
              <w:jc w:val="both"/>
              <w:rPr>
                <w:b/>
                <w:sz w:val="24"/>
                <w:szCs w:val="24"/>
              </w:rPr>
            </w:pPr>
            <w:r w:rsidRPr="00A11F87">
              <w:rPr>
                <w:b/>
                <w:color w:val="0070C0"/>
                <w:sz w:val="24"/>
                <w:szCs w:val="24"/>
              </w:rPr>
              <w:t>– від 5000 кВт – до трансформаторної підстанції відповідно до вказаного в заяві про приєднання рівня напруги в точці приєднання, але не нижче 35 кВ.</w:t>
            </w:r>
          </w:p>
          <w:p w:rsidR="008E4104" w:rsidRPr="00F05B07" w:rsidRDefault="008E4104" w:rsidP="008E4104">
            <w:pPr>
              <w:ind w:firstLine="175"/>
              <w:contextualSpacing/>
              <w:jc w:val="both"/>
              <w:rPr>
                <w:b/>
                <w:sz w:val="24"/>
                <w:szCs w:val="24"/>
                <w:u w:val="single"/>
              </w:rPr>
            </w:pPr>
            <w:r w:rsidRPr="00A11F87">
              <w:rPr>
                <w:sz w:val="24"/>
                <w:szCs w:val="24"/>
              </w:rPr>
              <w:t xml:space="preserve">У випадку приєднання електроустановок замовника за схемою електрозабезпечення І або </w:t>
            </w:r>
            <w:r w:rsidRPr="00A11F87">
              <w:rPr>
                <w:sz w:val="24"/>
                <w:szCs w:val="24"/>
              </w:rPr>
              <w:br/>
              <w:t xml:space="preserve">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або ІІ категорією надійності електропостачання </w:t>
            </w:r>
            <w:r w:rsidRPr="00A11F87">
              <w:rPr>
                <w:b/>
                <w:color w:val="0070C0"/>
                <w:sz w:val="24"/>
                <w:szCs w:val="24"/>
              </w:rPr>
              <w:t>з урахуванням умов по величині потужності, замовленої до приєднання.</w:t>
            </w:r>
          </w:p>
        </w:tc>
        <w:tc>
          <w:tcPr>
            <w:tcW w:w="3685" w:type="dxa"/>
          </w:tcPr>
          <w:p w:rsidR="008E4104" w:rsidRDefault="008E4104" w:rsidP="008E4104">
            <w:pPr>
              <w:pStyle w:val="a6"/>
              <w:jc w:val="both"/>
            </w:pPr>
            <w:r>
              <w:lastRenderedPageBreak/>
              <w:t>Приведення у відповідність до КСР.</w:t>
            </w:r>
          </w:p>
          <w:p w:rsidR="008E4104" w:rsidRDefault="008E4104" w:rsidP="008E4104">
            <w:pPr>
              <w:pStyle w:val="a6"/>
              <w:jc w:val="both"/>
            </w:pPr>
            <w:r>
              <w:lastRenderedPageBreak/>
              <w:t xml:space="preserve">Необхідно уточнити типи електричних мереж </w:t>
            </w:r>
            <w:r w:rsidRPr="00E16D85">
              <w:t>(повітряна лінія, трансформаторна підстанція або розподільний пункт)</w:t>
            </w:r>
            <w:r>
              <w:t xml:space="preserve">, відповідно до яких має визначатися відстань лінійної частини приєднання </w:t>
            </w:r>
            <w:r w:rsidRPr="00E16D85">
              <w:t>при нестандартному приєднанні</w:t>
            </w:r>
            <w:r>
              <w:t xml:space="preserve">, </w:t>
            </w:r>
            <w:r w:rsidRPr="00E16D85">
              <w:t>що здійснюється за процедурою «під ключ»</w:t>
            </w:r>
            <w:r>
              <w:t xml:space="preserve">, залежно від </w:t>
            </w:r>
            <w:r w:rsidRPr="00E16D85">
              <w:t>величини заявленої до приєднання потужності</w:t>
            </w:r>
          </w:p>
          <w:p w:rsidR="008E4104" w:rsidRDefault="008E4104" w:rsidP="008E4104">
            <w:pPr>
              <w:pStyle w:val="a6"/>
              <w:jc w:val="both"/>
            </w:pPr>
          </w:p>
          <w:p w:rsidR="008E4104" w:rsidRPr="00A11F87" w:rsidRDefault="008E4104" w:rsidP="008E4104">
            <w:pPr>
              <w:pStyle w:val="a6"/>
              <w:spacing w:before="0" w:beforeAutospacing="0" w:after="0" w:afterAutospacing="0"/>
              <w:ind w:firstLine="324"/>
              <w:jc w:val="both"/>
              <w:rPr>
                <w:lang w:val="uk-UA"/>
              </w:rPr>
            </w:pPr>
            <w:r w:rsidRPr="00A11F87">
              <w:t>Необхідно дану умову застосовувати не залежно від категорії за надійністю.</w:t>
            </w:r>
          </w:p>
        </w:tc>
        <w:tc>
          <w:tcPr>
            <w:tcW w:w="3119" w:type="dxa"/>
          </w:tcPr>
          <w:p w:rsidR="008E4104" w:rsidRDefault="008E4104" w:rsidP="008E4104">
            <w:pPr>
              <w:jc w:val="both"/>
              <w:rPr>
                <w:b/>
                <w:sz w:val="24"/>
                <w:szCs w:val="24"/>
                <w:lang w:eastAsia="uk-UA"/>
              </w:rPr>
            </w:pPr>
          </w:p>
          <w:p w:rsidR="002F621A" w:rsidRDefault="002F621A" w:rsidP="008E4104">
            <w:pPr>
              <w:jc w:val="both"/>
              <w:rPr>
                <w:b/>
                <w:sz w:val="24"/>
                <w:szCs w:val="24"/>
                <w:lang w:eastAsia="uk-UA"/>
              </w:rPr>
            </w:pPr>
          </w:p>
          <w:p w:rsidR="002F621A" w:rsidRDefault="002F621A" w:rsidP="008E4104">
            <w:pPr>
              <w:jc w:val="both"/>
              <w:rPr>
                <w:b/>
                <w:sz w:val="24"/>
                <w:szCs w:val="24"/>
                <w:lang w:eastAsia="uk-UA"/>
              </w:rPr>
            </w:pPr>
          </w:p>
          <w:p w:rsidR="002F621A" w:rsidRPr="004F3A51" w:rsidRDefault="00F200D1" w:rsidP="008E4104">
            <w:pPr>
              <w:jc w:val="both"/>
              <w:rPr>
                <w:b/>
                <w:sz w:val="24"/>
                <w:szCs w:val="24"/>
                <w:lang w:eastAsia="uk-UA"/>
              </w:rPr>
            </w:pPr>
            <w:r>
              <w:rPr>
                <w:b/>
                <w:sz w:val="24"/>
                <w:szCs w:val="24"/>
                <w:lang w:eastAsia="uk-UA"/>
              </w:rPr>
              <w:t>Пропонується врахувати</w:t>
            </w:r>
          </w:p>
        </w:tc>
      </w:tr>
      <w:tr w:rsidR="008E4104" w:rsidRPr="004F3A51" w:rsidTr="005B2A41">
        <w:trPr>
          <w:trHeight w:val="218"/>
        </w:trPr>
        <w:tc>
          <w:tcPr>
            <w:tcW w:w="15593" w:type="dxa"/>
            <w:gridSpan w:val="4"/>
          </w:tcPr>
          <w:p w:rsidR="008E4104" w:rsidRPr="004F3A51" w:rsidRDefault="008E4104" w:rsidP="008E4104">
            <w:pPr>
              <w:jc w:val="center"/>
              <w:rPr>
                <w:b/>
                <w:sz w:val="24"/>
                <w:szCs w:val="24"/>
                <w:lang w:eastAsia="uk-UA"/>
              </w:rPr>
            </w:pPr>
            <w:r w:rsidRPr="00EF1540">
              <w:rPr>
                <w:b/>
                <w:sz w:val="24"/>
                <w:szCs w:val="24"/>
                <w:lang w:eastAsia="uk-UA"/>
              </w:rPr>
              <w:lastRenderedPageBreak/>
              <w:t>2. Вартість приєднання електроустановок до електричних мереж</w:t>
            </w:r>
          </w:p>
        </w:tc>
      </w:tr>
      <w:tr w:rsidR="008E4104" w:rsidRPr="004F3A51" w:rsidTr="00F05B07">
        <w:trPr>
          <w:trHeight w:val="218"/>
        </w:trPr>
        <w:tc>
          <w:tcPr>
            <w:tcW w:w="4395" w:type="dxa"/>
          </w:tcPr>
          <w:p w:rsidR="00B85449" w:rsidRDefault="00B85449" w:rsidP="008E4104">
            <w:pPr>
              <w:shd w:val="clear" w:color="auto" w:fill="FFFFFF"/>
              <w:ind w:firstLine="448"/>
              <w:jc w:val="both"/>
              <w:rPr>
                <w:sz w:val="24"/>
                <w:szCs w:val="24"/>
              </w:rPr>
            </w:pPr>
          </w:p>
          <w:p w:rsidR="008E4104" w:rsidRPr="00EF1540" w:rsidRDefault="008E4104" w:rsidP="008E4104">
            <w:pPr>
              <w:shd w:val="clear" w:color="auto" w:fill="FFFFFF"/>
              <w:ind w:firstLine="448"/>
              <w:jc w:val="both"/>
              <w:rPr>
                <w:sz w:val="24"/>
                <w:szCs w:val="24"/>
              </w:rPr>
            </w:pPr>
            <w:r w:rsidRPr="00EF1540">
              <w:rPr>
                <w:sz w:val="24"/>
                <w:szCs w:val="24"/>
              </w:rPr>
              <w:t>2.5. Вартість будівельно-монтажних та пусконалагоджувальних робіт визначається з урахуванням:</w:t>
            </w:r>
          </w:p>
          <w:p w:rsidR="008E4104" w:rsidRPr="00EF1540" w:rsidRDefault="008E4104" w:rsidP="008E4104">
            <w:pPr>
              <w:shd w:val="clear" w:color="auto" w:fill="FFFFFF"/>
              <w:ind w:firstLine="448"/>
              <w:jc w:val="both"/>
              <w:rPr>
                <w:sz w:val="24"/>
                <w:szCs w:val="24"/>
              </w:rPr>
            </w:pPr>
            <w:bookmarkStart w:id="1" w:name="_Hlk161074065"/>
            <w:r w:rsidRPr="00EF1540">
              <w:rPr>
                <w:sz w:val="24"/>
                <w:szCs w:val="24"/>
              </w:rPr>
              <w:t xml:space="preserve">при виконанні робіт господарським способом використовуються норми часу на виконання робіт працівниками згідно з </w:t>
            </w:r>
            <w:r w:rsidRPr="00EF1540">
              <w:rPr>
                <w:b/>
                <w:sz w:val="24"/>
                <w:szCs w:val="24"/>
              </w:rPr>
              <w:t xml:space="preserve">Настановою </w:t>
            </w:r>
            <w:r w:rsidRPr="00EF1540">
              <w:rPr>
                <w:sz w:val="24"/>
                <w:szCs w:val="24"/>
              </w:rPr>
              <w:t>з урахуванням фактичної заробітної плати персоналу оператора системи передачі або розподілу;</w:t>
            </w:r>
          </w:p>
          <w:p w:rsidR="008E4104" w:rsidRPr="00816B1B" w:rsidRDefault="008E4104" w:rsidP="008E4104">
            <w:pPr>
              <w:shd w:val="clear" w:color="auto" w:fill="FFFFFF"/>
              <w:ind w:firstLine="448"/>
              <w:jc w:val="both"/>
              <w:rPr>
                <w:sz w:val="24"/>
                <w:szCs w:val="24"/>
              </w:rPr>
            </w:pPr>
            <w:r w:rsidRPr="00EF1540">
              <w:rPr>
                <w:sz w:val="24"/>
                <w:szCs w:val="24"/>
              </w:rPr>
              <w:t xml:space="preserve">при виконанні робіт підрядним способом використовується </w:t>
            </w:r>
            <w:r w:rsidRPr="00EF1540">
              <w:rPr>
                <w:b/>
                <w:sz w:val="24"/>
                <w:szCs w:val="24"/>
              </w:rPr>
              <w:t xml:space="preserve">Настанова </w:t>
            </w:r>
            <w:r w:rsidRPr="00EF1540">
              <w:rPr>
                <w:sz w:val="24"/>
                <w:szCs w:val="24"/>
              </w:rPr>
              <w:t>та Порядок розрахунку розміру кошторисної заробітної плати, який враховується при визначенні вартості будівництва об'єктів, затверджений наказом Міністерства регіонального розвитку, будівництва та житлово-комунального господарства України від 20 жовтня 2016 року № 281 та зареєстрований у Міністерстві юстиції України 11 листопада 2016 року за № 1469/29599, виходячи з фактично виконаних обсягів робіт і вартості фактично використаних матеріалів.</w:t>
            </w:r>
            <w:bookmarkEnd w:id="1"/>
          </w:p>
        </w:tc>
        <w:tc>
          <w:tcPr>
            <w:tcW w:w="4394" w:type="dxa"/>
          </w:tcPr>
          <w:p w:rsidR="008E4104" w:rsidRDefault="008E4104" w:rsidP="008E4104">
            <w:pPr>
              <w:ind w:firstLine="224"/>
              <w:contextualSpacing/>
              <w:jc w:val="both"/>
              <w:rPr>
                <w:b/>
                <w:sz w:val="24"/>
                <w:szCs w:val="24"/>
                <w:u w:val="single"/>
              </w:rPr>
            </w:pP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EF1540" w:rsidRDefault="008E4104" w:rsidP="008E4104">
            <w:pPr>
              <w:shd w:val="clear" w:color="auto" w:fill="FFFFFF"/>
              <w:ind w:firstLine="175"/>
              <w:jc w:val="both"/>
              <w:rPr>
                <w:sz w:val="24"/>
                <w:szCs w:val="24"/>
              </w:rPr>
            </w:pPr>
            <w:r w:rsidRPr="00EF1540">
              <w:rPr>
                <w:sz w:val="24"/>
                <w:szCs w:val="24"/>
              </w:rPr>
              <w:t>2.5. Вартість будівельно-монтажних та пусконалагоджувальних робіт визначається з урахуванням:</w:t>
            </w:r>
          </w:p>
          <w:p w:rsidR="008E4104" w:rsidRPr="00EF1540" w:rsidRDefault="008E4104" w:rsidP="008E4104">
            <w:pPr>
              <w:shd w:val="clear" w:color="auto" w:fill="FFFFFF"/>
              <w:ind w:firstLine="175"/>
              <w:jc w:val="both"/>
              <w:rPr>
                <w:sz w:val="24"/>
                <w:szCs w:val="24"/>
              </w:rPr>
            </w:pPr>
            <w:r w:rsidRPr="00EF1540">
              <w:rPr>
                <w:sz w:val="24"/>
                <w:szCs w:val="24"/>
              </w:rPr>
              <w:t xml:space="preserve">при виконанні робіт господарським способом використовуються норми часу на виконання робіт працівниками згідно з </w:t>
            </w:r>
            <w:r w:rsidRPr="00EF1540">
              <w:rPr>
                <w:b/>
                <w:sz w:val="24"/>
                <w:szCs w:val="24"/>
              </w:rPr>
              <w:t xml:space="preserve">Настановою </w:t>
            </w:r>
            <w:r w:rsidRPr="00EF1540">
              <w:rPr>
                <w:sz w:val="24"/>
                <w:szCs w:val="24"/>
              </w:rPr>
              <w:t>з урахуванням фактичної заробітної плати персоналу оператора системи передачі або розподілу;</w:t>
            </w:r>
          </w:p>
          <w:p w:rsidR="008E4104" w:rsidRPr="00A11F87" w:rsidRDefault="008E4104" w:rsidP="008E4104">
            <w:pPr>
              <w:ind w:firstLine="175"/>
              <w:contextualSpacing/>
              <w:jc w:val="both"/>
              <w:rPr>
                <w:b/>
                <w:sz w:val="24"/>
                <w:szCs w:val="24"/>
                <w:u w:val="single"/>
              </w:rPr>
            </w:pPr>
            <w:r w:rsidRPr="00EF1540">
              <w:rPr>
                <w:sz w:val="24"/>
                <w:szCs w:val="24"/>
              </w:rPr>
              <w:t xml:space="preserve">при виконанні робіт підрядним способом використовується </w:t>
            </w:r>
            <w:r w:rsidRPr="00EF1540">
              <w:rPr>
                <w:b/>
                <w:sz w:val="24"/>
                <w:szCs w:val="24"/>
              </w:rPr>
              <w:t xml:space="preserve">Настанова </w:t>
            </w:r>
            <w:r w:rsidRPr="00EF1540">
              <w:rPr>
                <w:sz w:val="24"/>
                <w:szCs w:val="24"/>
              </w:rPr>
              <w:t>та Порядок розрахунку розміру кошторисної заробітної плати, який враховується при визначенні вартості будівництва об'єктів,</w:t>
            </w:r>
            <w:r>
              <w:rPr>
                <w:sz w:val="24"/>
                <w:szCs w:val="24"/>
              </w:rPr>
              <w:t xml:space="preserve"> </w:t>
            </w:r>
            <w:r w:rsidRPr="0075273B">
              <w:rPr>
                <w:b/>
                <w:color w:val="0070C0"/>
                <w:sz w:val="24"/>
                <w:szCs w:val="24"/>
              </w:rPr>
              <w:t>з урахуванням галузевої поточної на дату виконання робіт</w:t>
            </w:r>
            <w:r w:rsidRPr="0075273B">
              <w:rPr>
                <w:color w:val="0070C0"/>
                <w:sz w:val="24"/>
                <w:szCs w:val="24"/>
              </w:rPr>
              <w:t xml:space="preserve"> </w:t>
            </w:r>
            <w:r w:rsidRPr="0075273B">
              <w:rPr>
                <w:strike/>
                <w:color w:val="0070C0"/>
                <w:sz w:val="24"/>
                <w:szCs w:val="24"/>
              </w:rPr>
              <w:t>затверджений наказом Міністерства регіонального розвитку, будівництва та житлово-комунального господарства України від 20 жовтня 2016 року № 281 та зареєстрований у Міністерстві юстиції України 11 листопада 2016 року за № 1469/29599</w:t>
            </w:r>
            <w:r w:rsidRPr="00EF1540">
              <w:rPr>
                <w:sz w:val="24"/>
                <w:szCs w:val="24"/>
              </w:rPr>
              <w:t>, виходячи з фактично виконаних обсягів робіт і вартості фактично використаних матеріалів.</w:t>
            </w:r>
          </w:p>
        </w:tc>
        <w:tc>
          <w:tcPr>
            <w:tcW w:w="3685" w:type="dxa"/>
          </w:tcPr>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pStyle w:val="a6"/>
              <w:jc w:val="both"/>
              <w:rPr>
                <w:lang w:val="uk-UA"/>
              </w:rPr>
            </w:pPr>
          </w:p>
          <w:p w:rsidR="008E4104" w:rsidRDefault="008E4104" w:rsidP="008E4104">
            <w:pPr>
              <w:shd w:val="clear" w:color="auto" w:fill="FFFFFF"/>
              <w:ind w:firstLine="448"/>
              <w:jc w:val="both"/>
              <w:rPr>
                <w:sz w:val="24"/>
                <w:szCs w:val="24"/>
              </w:rPr>
            </w:pPr>
            <w:r>
              <w:rPr>
                <w:sz w:val="24"/>
                <w:szCs w:val="24"/>
              </w:rPr>
              <w:t xml:space="preserve">Мінрегіон на даний час не затверджує рівень заробітної плати. </w:t>
            </w:r>
          </w:p>
          <w:p w:rsidR="008E4104" w:rsidRDefault="008E4104" w:rsidP="008E4104">
            <w:pPr>
              <w:pStyle w:val="a6"/>
              <w:jc w:val="both"/>
              <w:rPr>
                <w:lang w:val="uk-UA"/>
              </w:rPr>
            </w:pPr>
            <w:r>
              <w:t>Індикативна, що доводиться для виконання ІП, не враховує інфляційні процеси.</w:t>
            </w:r>
          </w:p>
          <w:p w:rsidR="008E4104" w:rsidRPr="0075273B" w:rsidRDefault="008E4104" w:rsidP="008E4104">
            <w:pPr>
              <w:pStyle w:val="a6"/>
              <w:jc w:val="both"/>
              <w:rPr>
                <w:lang w:val="uk-UA"/>
              </w:rPr>
            </w:pPr>
          </w:p>
        </w:tc>
        <w:tc>
          <w:tcPr>
            <w:tcW w:w="3119" w:type="dxa"/>
          </w:tcPr>
          <w:p w:rsidR="008E4104" w:rsidRDefault="008E4104"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0841A1" w:rsidRDefault="000841A1" w:rsidP="008E4104">
            <w:pPr>
              <w:jc w:val="both"/>
              <w:rPr>
                <w:b/>
                <w:sz w:val="24"/>
                <w:szCs w:val="24"/>
                <w:lang w:eastAsia="uk-UA"/>
              </w:rPr>
            </w:pPr>
          </w:p>
          <w:p w:rsidR="00F813BD" w:rsidRPr="00F200D1" w:rsidRDefault="005E0659" w:rsidP="008E4104">
            <w:pPr>
              <w:jc w:val="both"/>
              <w:rPr>
                <w:b/>
                <w:sz w:val="24"/>
                <w:szCs w:val="24"/>
                <w:lang w:eastAsia="uk-UA"/>
              </w:rPr>
            </w:pPr>
            <w:r>
              <w:rPr>
                <w:b/>
                <w:sz w:val="24"/>
                <w:szCs w:val="24"/>
                <w:lang w:eastAsia="uk-UA"/>
              </w:rPr>
              <w:t>Пропонується відхилити</w:t>
            </w:r>
          </w:p>
        </w:tc>
      </w:tr>
      <w:tr w:rsidR="008E4104" w:rsidRPr="004F3A51" w:rsidTr="0064032E">
        <w:trPr>
          <w:trHeight w:val="218"/>
        </w:trPr>
        <w:tc>
          <w:tcPr>
            <w:tcW w:w="15593" w:type="dxa"/>
            <w:gridSpan w:val="4"/>
          </w:tcPr>
          <w:p w:rsidR="008E4104" w:rsidRPr="004F3A51" w:rsidRDefault="008E4104" w:rsidP="008E4104">
            <w:pPr>
              <w:jc w:val="center"/>
              <w:rPr>
                <w:b/>
                <w:sz w:val="24"/>
                <w:szCs w:val="24"/>
                <w:lang w:eastAsia="uk-UA"/>
              </w:rPr>
            </w:pPr>
            <w:r w:rsidRPr="00EF1540">
              <w:rPr>
                <w:b/>
                <w:sz w:val="24"/>
                <w:szCs w:val="24"/>
                <w:lang w:eastAsia="uk-UA"/>
              </w:rPr>
              <w:t>3. Плата за стандартне приєднання</w:t>
            </w:r>
          </w:p>
        </w:tc>
      </w:tr>
      <w:tr w:rsidR="008E4104" w:rsidRPr="004F3A51" w:rsidTr="00F05B07">
        <w:trPr>
          <w:trHeight w:val="218"/>
        </w:trPr>
        <w:tc>
          <w:tcPr>
            <w:tcW w:w="4395" w:type="dxa"/>
            <w:vMerge w:val="restart"/>
          </w:tcPr>
          <w:p w:rsidR="008E4104" w:rsidRPr="00F3198F" w:rsidRDefault="008E4104" w:rsidP="008E4104">
            <w:pPr>
              <w:shd w:val="clear" w:color="auto" w:fill="FFFFFF"/>
              <w:spacing w:after="150"/>
              <w:ind w:firstLine="450"/>
              <w:jc w:val="both"/>
              <w:rPr>
                <w:sz w:val="24"/>
                <w:szCs w:val="24"/>
                <w:lang w:eastAsia="uk-UA"/>
              </w:rPr>
            </w:pPr>
            <w:r w:rsidRPr="00F3198F">
              <w:rPr>
                <w:sz w:val="24"/>
                <w:szCs w:val="24"/>
                <w:lang w:eastAsia="uk-UA"/>
              </w:rPr>
              <w:t>3.1. Плата за стандартне приєднання </w:t>
            </w:r>
            <w:r w:rsidRPr="00F3198F">
              <w:rPr>
                <w:b/>
                <w:bCs/>
                <w:sz w:val="24"/>
                <w:szCs w:val="24"/>
                <w:lang w:eastAsia="uk-UA"/>
              </w:rPr>
              <w:t>П</w:t>
            </w:r>
            <w:r w:rsidRPr="00F3198F">
              <w:rPr>
                <w:b/>
                <w:bCs/>
                <w:sz w:val="24"/>
                <w:szCs w:val="24"/>
                <w:vertAlign w:val="subscript"/>
                <w:lang w:eastAsia="uk-UA"/>
              </w:rPr>
              <w:t>ст</w:t>
            </w:r>
            <w:r w:rsidRPr="00F3198F">
              <w:rPr>
                <w:sz w:val="24"/>
                <w:szCs w:val="24"/>
                <w:lang w:eastAsia="uk-UA"/>
              </w:rPr>
              <w:t> розраховується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10"/>
              <w:gridCol w:w="581"/>
              <w:gridCol w:w="87"/>
              <w:gridCol w:w="3295"/>
            </w:tblGrid>
            <w:tr w:rsidR="008E4104" w:rsidRPr="00F3198F" w:rsidTr="0064032E">
              <w:tc>
                <w:tcPr>
                  <w:tcW w:w="4173" w:type="dxa"/>
                  <w:gridSpan w:val="4"/>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jc w:val="right"/>
                    <w:rPr>
                      <w:sz w:val="24"/>
                      <w:szCs w:val="24"/>
                      <w:lang w:eastAsia="uk-UA"/>
                    </w:rPr>
                  </w:pPr>
                  <w:bookmarkStart w:id="2" w:name="n231"/>
                  <w:bookmarkEnd w:id="2"/>
                  <w:r w:rsidRPr="00F3198F">
                    <w:rPr>
                      <w:noProof/>
                      <w:sz w:val="24"/>
                      <w:szCs w:val="24"/>
                      <w:lang w:eastAsia="uk-UA"/>
                    </w:rPr>
                    <w:lastRenderedPageBreak/>
                    <w:drawing>
                      <wp:inline distT="0" distB="0" distL="0" distR="0" wp14:anchorId="5C94FC63" wp14:editId="5AA34CE3">
                        <wp:extent cx="2722245" cy="361315"/>
                        <wp:effectExtent l="0" t="0" r="1905" b="635"/>
                        <wp:docPr id="1" name="Рисунок 1" descr="https://zakon.rada.gov.ua/laws/file/imgs/85/p480243n231.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5/p480243n231.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22245" cy="361315"/>
                                </a:xfrm>
                                <a:prstGeom prst="rect">
                                  <a:avLst/>
                                </a:prstGeom>
                                <a:noFill/>
                                <a:ln>
                                  <a:noFill/>
                                </a:ln>
                              </pic:spPr>
                            </pic:pic>
                          </a:graphicData>
                        </a:graphic>
                      </wp:inline>
                    </w:drawing>
                  </w:r>
                </w:p>
              </w:tc>
            </w:tr>
            <w:tr w:rsidR="008E4104" w:rsidRPr="00F3198F" w:rsidTr="00F3198F">
              <w:tc>
                <w:tcPr>
                  <w:tcW w:w="210"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rPr>
                      <w:sz w:val="24"/>
                      <w:szCs w:val="24"/>
                      <w:lang w:eastAsia="uk-UA"/>
                    </w:rPr>
                  </w:pPr>
                  <w:bookmarkStart w:id="3" w:name="n232"/>
                  <w:bookmarkEnd w:id="3"/>
                  <w:r w:rsidRPr="00F3198F">
                    <w:rPr>
                      <w:sz w:val="24"/>
                      <w:szCs w:val="24"/>
                      <w:lang w:eastAsia="uk-UA"/>
                    </w:rPr>
                    <w:t>де</w:t>
                  </w:r>
                </w:p>
              </w:tc>
              <w:tc>
                <w:tcPr>
                  <w:tcW w:w="581"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rPr>
                      <w:sz w:val="24"/>
                      <w:szCs w:val="24"/>
                      <w:lang w:eastAsia="uk-UA"/>
                    </w:rPr>
                  </w:pPr>
                  <w:r w:rsidRPr="00F3198F">
                    <w:rPr>
                      <w:sz w:val="24"/>
                      <w:szCs w:val="24"/>
                      <w:lang w:eastAsia="uk-UA"/>
                    </w:rPr>
                    <w:t>Р </w:t>
                  </w:r>
                  <w:r w:rsidRPr="00F3198F">
                    <w:rPr>
                      <w:b/>
                      <w:bCs/>
                      <w:sz w:val="24"/>
                      <w:szCs w:val="24"/>
                      <w:vertAlign w:val="subscript"/>
                      <w:lang w:eastAsia="uk-UA"/>
                    </w:rPr>
                    <w:t>замовл</w:t>
                  </w:r>
                </w:p>
              </w:tc>
              <w:tc>
                <w:tcPr>
                  <w:tcW w:w="87"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jc w:val="center"/>
                    <w:rPr>
                      <w:sz w:val="24"/>
                      <w:szCs w:val="24"/>
                      <w:lang w:eastAsia="uk-UA"/>
                    </w:rPr>
                  </w:pPr>
                  <w:r w:rsidRPr="00F3198F">
                    <w:rPr>
                      <w:sz w:val="24"/>
                      <w:szCs w:val="24"/>
                      <w:lang w:eastAsia="uk-UA"/>
                    </w:rPr>
                    <w:t>-</w:t>
                  </w:r>
                </w:p>
              </w:tc>
              <w:tc>
                <w:tcPr>
                  <w:tcW w:w="3295"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rPr>
                      <w:sz w:val="24"/>
                      <w:szCs w:val="24"/>
                      <w:lang w:eastAsia="uk-UA"/>
                    </w:rPr>
                  </w:pPr>
                  <w:r w:rsidRPr="00F3198F">
                    <w:rPr>
                      <w:sz w:val="24"/>
                      <w:szCs w:val="24"/>
                      <w:lang w:eastAsia="uk-UA"/>
                    </w:rPr>
                    <w:t>потужність, замовлена до приєднання електроустановок замовника, кВт;</w:t>
                  </w:r>
                </w:p>
              </w:tc>
            </w:tr>
          </w:tbl>
          <w:p w:rsidR="008E4104" w:rsidRDefault="008E4104" w:rsidP="008E4104">
            <w:pPr>
              <w:shd w:val="clear" w:color="auto" w:fill="FFFFFF"/>
              <w:ind w:firstLine="448"/>
              <w:jc w:val="both"/>
              <w:rPr>
                <w:sz w:val="24"/>
                <w:szCs w:val="24"/>
              </w:rPr>
            </w:pPr>
          </w:p>
        </w:tc>
        <w:tc>
          <w:tcPr>
            <w:tcW w:w="4394" w:type="dxa"/>
          </w:tcPr>
          <w:p w:rsidR="008E4104" w:rsidRDefault="008E4104"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w:t>
            </w:r>
            <w:r>
              <w:rPr>
                <w:b/>
                <w:sz w:val="24"/>
                <w:szCs w:val="24"/>
                <w:u w:val="single"/>
              </w:rPr>
              <w:lastRenderedPageBreak/>
              <w:t xml:space="preserve">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F05B07" w:rsidRDefault="008E4104" w:rsidP="008E4104">
            <w:pPr>
              <w:ind w:firstLine="224"/>
              <w:contextualSpacing/>
              <w:jc w:val="both"/>
              <w:rPr>
                <w:b/>
                <w:sz w:val="24"/>
                <w:szCs w:val="24"/>
                <w:u w:val="single"/>
              </w:rPr>
            </w:pPr>
          </w:p>
          <w:p w:rsidR="008E4104" w:rsidRPr="00F3198F" w:rsidRDefault="008E4104" w:rsidP="008E4104">
            <w:pPr>
              <w:shd w:val="clear" w:color="auto" w:fill="FFFFFF"/>
              <w:spacing w:after="150"/>
              <w:ind w:firstLine="450"/>
              <w:jc w:val="both"/>
              <w:rPr>
                <w:sz w:val="24"/>
                <w:szCs w:val="24"/>
                <w:lang w:eastAsia="uk-UA"/>
              </w:rPr>
            </w:pPr>
            <w:r w:rsidRPr="00F3198F">
              <w:rPr>
                <w:sz w:val="24"/>
                <w:szCs w:val="24"/>
                <w:lang w:eastAsia="uk-UA"/>
              </w:rPr>
              <w:t>3.1. Плата за стандартне приєднання </w:t>
            </w:r>
            <w:r w:rsidRPr="00F3198F">
              <w:rPr>
                <w:b/>
                <w:bCs/>
                <w:sz w:val="24"/>
                <w:szCs w:val="24"/>
                <w:lang w:eastAsia="uk-UA"/>
              </w:rPr>
              <w:t>П</w:t>
            </w:r>
            <w:r w:rsidRPr="00F3198F">
              <w:rPr>
                <w:b/>
                <w:bCs/>
                <w:sz w:val="24"/>
                <w:szCs w:val="24"/>
                <w:vertAlign w:val="subscript"/>
                <w:lang w:eastAsia="uk-UA"/>
              </w:rPr>
              <w:t>ст</w:t>
            </w:r>
            <w:r w:rsidRPr="00F3198F">
              <w:rPr>
                <w:sz w:val="24"/>
                <w:szCs w:val="24"/>
                <w:lang w:eastAsia="uk-UA"/>
              </w:rPr>
              <w:t> розраховується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81"/>
              <w:gridCol w:w="87"/>
              <w:gridCol w:w="3472"/>
              <w:gridCol w:w="32"/>
            </w:tblGrid>
            <w:tr w:rsidR="008E4104" w:rsidRPr="00F3198F" w:rsidTr="008E4104">
              <w:tc>
                <w:tcPr>
                  <w:tcW w:w="4172" w:type="dxa"/>
                  <w:gridSpan w:val="4"/>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jc w:val="right"/>
                    <w:rPr>
                      <w:sz w:val="24"/>
                      <w:szCs w:val="24"/>
                      <w:lang w:eastAsia="uk-UA"/>
                    </w:rPr>
                  </w:pPr>
                  <w:r w:rsidRPr="00F3198F">
                    <w:rPr>
                      <w:noProof/>
                      <w:sz w:val="24"/>
                      <w:szCs w:val="24"/>
                      <w:lang w:eastAsia="uk-UA"/>
                    </w:rPr>
                    <w:drawing>
                      <wp:inline distT="0" distB="0" distL="0" distR="0" wp14:anchorId="45C98205" wp14:editId="5E8DE6B0">
                        <wp:extent cx="2722245" cy="361315"/>
                        <wp:effectExtent l="0" t="0" r="1905" b="635"/>
                        <wp:docPr id="2" name="Рисунок 2" descr="https://zakon.rada.gov.ua/laws/file/imgs/85/p480243n231.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5/p480243n231.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22245" cy="361315"/>
                                </a:xfrm>
                                <a:prstGeom prst="rect">
                                  <a:avLst/>
                                </a:prstGeom>
                                <a:noFill/>
                                <a:ln>
                                  <a:noFill/>
                                </a:ln>
                              </pic:spPr>
                            </pic:pic>
                          </a:graphicData>
                        </a:graphic>
                      </wp:inline>
                    </w:drawing>
                  </w:r>
                </w:p>
              </w:tc>
            </w:tr>
            <w:tr w:rsidR="008E4104" w:rsidRPr="00F3198F" w:rsidTr="008E4104">
              <w:trPr>
                <w:gridAfter w:val="1"/>
                <w:wAfter w:w="32" w:type="dxa"/>
              </w:trPr>
              <w:tc>
                <w:tcPr>
                  <w:tcW w:w="581"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rPr>
                      <w:sz w:val="24"/>
                      <w:szCs w:val="24"/>
                      <w:lang w:eastAsia="uk-UA"/>
                    </w:rPr>
                  </w:pPr>
                  <w:r w:rsidRPr="00F3198F">
                    <w:rPr>
                      <w:sz w:val="24"/>
                      <w:szCs w:val="24"/>
                      <w:lang w:eastAsia="uk-UA"/>
                    </w:rPr>
                    <w:t>Р </w:t>
                  </w:r>
                  <w:r w:rsidRPr="00F3198F">
                    <w:rPr>
                      <w:b/>
                      <w:bCs/>
                      <w:sz w:val="24"/>
                      <w:szCs w:val="24"/>
                      <w:vertAlign w:val="subscript"/>
                      <w:lang w:eastAsia="uk-UA"/>
                    </w:rPr>
                    <w:t>замовл</w:t>
                  </w:r>
                </w:p>
              </w:tc>
              <w:tc>
                <w:tcPr>
                  <w:tcW w:w="87"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jc w:val="center"/>
                    <w:rPr>
                      <w:sz w:val="24"/>
                      <w:szCs w:val="24"/>
                      <w:lang w:eastAsia="uk-UA"/>
                    </w:rPr>
                  </w:pPr>
                  <w:r w:rsidRPr="00F3198F">
                    <w:rPr>
                      <w:sz w:val="24"/>
                      <w:szCs w:val="24"/>
                      <w:lang w:eastAsia="uk-UA"/>
                    </w:rPr>
                    <w:t>-</w:t>
                  </w:r>
                </w:p>
              </w:tc>
              <w:tc>
                <w:tcPr>
                  <w:tcW w:w="3472"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ind w:right="152"/>
                    <w:jc w:val="both"/>
                    <w:rPr>
                      <w:b/>
                      <w:color w:val="C00000"/>
                      <w:sz w:val="24"/>
                      <w:szCs w:val="24"/>
                    </w:rPr>
                  </w:pPr>
                  <w:r w:rsidRPr="000B2616">
                    <w:rPr>
                      <w:sz w:val="24"/>
                      <w:szCs w:val="24"/>
                    </w:rPr>
                    <w:t xml:space="preserve">потужність, замовлена до приєднання електроустановок замовника, </w:t>
                  </w:r>
                  <w:r w:rsidRPr="00F3198F">
                    <w:rPr>
                      <w:b/>
                      <w:color w:val="0070C0"/>
                      <w:sz w:val="24"/>
                      <w:szCs w:val="24"/>
                    </w:rPr>
                    <w:t>за винятком існуючої потужності</w:t>
                  </w:r>
                  <w:r w:rsidRPr="000B2616">
                    <w:rPr>
                      <w:color w:val="00B050"/>
                      <w:sz w:val="24"/>
                      <w:szCs w:val="24"/>
                    </w:rPr>
                    <w:t xml:space="preserve">, </w:t>
                  </w:r>
                  <w:r w:rsidRPr="000B2616">
                    <w:rPr>
                      <w:sz w:val="24"/>
                      <w:szCs w:val="24"/>
                    </w:rPr>
                    <w:t xml:space="preserve">кВт. </w:t>
                  </w:r>
                  <w:r w:rsidRPr="00F3198F">
                    <w:rPr>
                      <w:b/>
                      <w:color w:val="0070C0"/>
                      <w:sz w:val="24"/>
                      <w:szCs w:val="24"/>
                    </w:rPr>
                    <w:t>У разі зміни категорії надійності електропостачання, ступеня напруги або зміни точки приєднання за ініціативою замовника, до розрахунку приймається повна заявлена до приєднання потужність електроустановок.</w:t>
                  </w:r>
                </w:p>
              </w:tc>
            </w:tr>
          </w:tbl>
          <w:p w:rsidR="008E4104" w:rsidRPr="00F05B07" w:rsidRDefault="008E4104" w:rsidP="008E4104">
            <w:pPr>
              <w:ind w:firstLine="224"/>
              <w:contextualSpacing/>
              <w:jc w:val="both"/>
              <w:rPr>
                <w:b/>
                <w:sz w:val="24"/>
                <w:szCs w:val="24"/>
                <w:u w:val="single"/>
              </w:rPr>
            </w:pPr>
          </w:p>
        </w:tc>
        <w:tc>
          <w:tcPr>
            <w:tcW w:w="3685" w:type="dxa"/>
          </w:tcPr>
          <w:p w:rsidR="008E4104" w:rsidRDefault="008E4104" w:rsidP="008E4104">
            <w:pPr>
              <w:ind w:firstLine="182"/>
              <w:jc w:val="both"/>
              <w:rPr>
                <w:sz w:val="24"/>
                <w:szCs w:val="24"/>
              </w:rPr>
            </w:pPr>
            <w:r w:rsidRPr="000B2616">
              <w:rPr>
                <w:sz w:val="24"/>
                <w:szCs w:val="24"/>
              </w:rPr>
              <w:lastRenderedPageBreak/>
              <w:t xml:space="preserve">Необхідно чітко визначити, що при зміні технічних параметрів для розрахунку вартості приєднання має враховуватися різниця між величиною максимального розрахункового </w:t>
            </w:r>
            <w:r w:rsidRPr="000B2616">
              <w:rPr>
                <w:sz w:val="24"/>
                <w:szCs w:val="24"/>
              </w:rPr>
              <w:lastRenderedPageBreak/>
              <w:t>навантаження та існуючою дозволеною потужністю, за винятком, коли відбувається зміна категорії надійності електропостачання, ступеня напруги або зміна точки приєднання за ініціативою замовника.</w:t>
            </w:r>
          </w:p>
        </w:tc>
        <w:tc>
          <w:tcPr>
            <w:tcW w:w="3119" w:type="dxa"/>
          </w:tcPr>
          <w:p w:rsidR="008E4104" w:rsidRDefault="008E4104"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p>
          <w:p w:rsidR="00840E9A" w:rsidRDefault="00840E9A" w:rsidP="008E4104">
            <w:pPr>
              <w:jc w:val="both"/>
              <w:rPr>
                <w:b/>
                <w:sz w:val="24"/>
                <w:szCs w:val="24"/>
                <w:lang w:eastAsia="uk-UA"/>
              </w:rPr>
            </w:pPr>
            <w:r>
              <w:rPr>
                <w:b/>
                <w:sz w:val="24"/>
                <w:szCs w:val="24"/>
                <w:lang w:eastAsia="uk-UA"/>
              </w:rPr>
              <w:t>Пропонується відхилити.</w:t>
            </w:r>
          </w:p>
          <w:p w:rsidR="00840E9A" w:rsidRPr="004F3A51" w:rsidRDefault="00840E9A" w:rsidP="00335D6A">
            <w:pPr>
              <w:jc w:val="both"/>
              <w:rPr>
                <w:b/>
                <w:sz w:val="24"/>
                <w:szCs w:val="24"/>
                <w:lang w:eastAsia="uk-UA"/>
              </w:rPr>
            </w:pPr>
            <w:r w:rsidRPr="00840E9A">
              <w:rPr>
                <w:sz w:val="24"/>
                <w:szCs w:val="24"/>
                <w:lang w:eastAsia="uk-UA"/>
              </w:rPr>
              <w:t xml:space="preserve">Пунктом 2.1 КСР визначено, що </w:t>
            </w:r>
            <w:r w:rsidRPr="00840E9A">
              <w:t xml:space="preserve"> </w:t>
            </w:r>
            <w:r w:rsidR="00335D6A">
              <w:t>«</w:t>
            </w:r>
            <w:r w:rsidRPr="00840E9A">
              <w:rPr>
                <w:sz w:val="24"/>
                <w:szCs w:val="24"/>
                <w:lang w:eastAsia="uk-UA"/>
              </w:rPr>
              <w:t>потужність, замовлена до приєднання - максимальна розрахункова потужність у точці приєднання об’єкта замовника або розрахункова величина збільшення дозволеної до використання потужності (у разі якщо не змінюється схема електрозабезпечення)</w:t>
            </w:r>
            <w:r w:rsidR="00335D6A">
              <w:rPr>
                <w:sz w:val="24"/>
                <w:szCs w:val="24"/>
                <w:lang w:eastAsia="uk-UA"/>
              </w:rPr>
              <w:t>». Тобто, у разі збільшення потужності існуючого користувача потужністю, замовленою до приєднання буде саме величина, на яку  збільшується існуюча потужність.</w:t>
            </w:r>
          </w:p>
        </w:tc>
      </w:tr>
      <w:tr w:rsidR="008E4104" w:rsidRPr="004F3A51" w:rsidTr="00F05B07">
        <w:trPr>
          <w:trHeight w:val="218"/>
        </w:trPr>
        <w:tc>
          <w:tcPr>
            <w:tcW w:w="4395" w:type="dxa"/>
            <w:vMerge/>
          </w:tcPr>
          <w:p w:rsidR="008E4104" w:rsidRPr="00F3198F" w:rsidRDefault="008E4104" w:rsidP="008E4104">
            <w:pPr>
              <w:shd w:val="clear" w:color="auto" w:fill="FFFFFF"/>
              <w:spacing w:after="150"/>
              <w:ind w:firstLine="450"/>
              <w:jc w:val="both"/>
              <w:rPr>
                <w:sz w:val="24"/>
                <w:szCs w:val="24"/>
                <w:lang w:eastAsia="uk-UA"/>
              </w:rPr>
            </w:pPr>
          </w:p>
        </w:tc>
        <w:tc>
          <w:tcPr>
            <w:tcW w:w="4394" w:type="dxa"/>
          </w:tcPr>
          <w:p w:rsidR="008E4104" w:rsidRPr="00EC7B35" w:rsidRDefault="008E4104" w:rsidP="008E4104">
            <w:pPr>
              <w:ind w:firstLine="224"/>
              <w:contextualSpacing/>
              <w:jc w:val="both"/>
              <w:rPr>
                <w:b/>
                <w:sz w:val="24"/>
                <w:szCs w:val="24"/>
                <w:u w:val="single"/>
              </w:rPr>
            </w:pPr>
            <w:r w:rsidRPr="00EC7B35">
              <w:rPr>
                <w:b/>
                <w:sz w:val="24"/>
                <w:szCs w:val="24"/>
                <w:u w:val="single"/>
              </w:rPr>
              <w:t>АТ «Прикарпаттяобленерго»</w:t>
            </w:r>
          </w:p>
          <w:tbl>
            <w:tblPr>
              <w:tblW w:w="4748" w:type="pct"/>
              <w:tblLayout w:type="fixed"/>
              <w:tblCellMar>
                <w:top w:w="15" w:type="dxa"/>
                <w:left w:w="15" w:type="dxa"/>
                <w:bottom w:w="15" w:type="dxa"/>
                <w:right w:w="15" w:type="dxa"/>
              </w:tblCellMar>
              <w:tblLook w:val="04A0" w:firstRow="1" w:lastRow="0" w:firstColumn="1" w:lastColumn="0" w:noHBand="0" w:noVBand="1"/>
            </w:tblPr>
            <w:tblGrid>
              <w:gridCol w:w="581"/>
              <w:gridCol w:w="87"/>
              <w:gridCol w:w="3294"/>
            </w:tblGrid>
            <w:tr w:rsidR="008E4104" w:rsidRPr="00F3198F" w:rsidTr="008E4104">
              <w:tc>
                <w:tcPr>
                  <w:tcW w:w="581"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rPr>
                      <w:sz w:val="24"/>
                      <w:szCs w:val="24"/>
                      <w:lang w:eastAsia="uk-UA"/>
                    </w:rPr>
                  </w:pPr>
                  <w:r w:rsidRPr="00F3198F">
                    <w:rPr>
                      <w:sz w:val="24"/>
                      <w:szCs w:val="24"/>
                      <w:lang w:eastAsia="uk-UA"/>
                    </w:rPr>
                    <w:t>Р </w:t>
                  </w:r>
                  <w:r w:rsidRPr="00F3198F">
                    <w:rPr>
                      <w:b/>
                      <w:bCs/>
                      <w:sz w:val="24"/>
                      <w:szCs w:val="24"/>
                      <w:vertAlign w:val="subscript"/>
                      <w:lang w:eastAsia="uk-UA"/>
                    </w:rPr>
                    <w:t>замовл</w:t>
                  </w:r>
                </w:p>
              </w:tc>
              <w:tc>
                <w:tcPr>
                  <w:tcW w:w="87"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jc w:val="center"/>
                    <w:rPr>
                      <w:sz w:val="24"/>
                      <w:szCs w:val="24"/>
                      <w:lang w:eastAsia="uk-UA"/>
                    </w:rPr>
                  </w:pPr>
                  <w:r w:rsidRPr="00F3198F">
                    <w:rPr>
                      <w:sz w:val="24"/>
                      <w:szCs w:val="24"/>
                      <w:lang w:eastAsia="uk-UA"/>
                    </w:rPr>
                    <w:t>-</w:t>
                  </w:r>
                </w:p>
              </w:tc>
              <w:tc>
                <w:tcPr>
                  <w:tcW w:w="3294" w:type="dxa"/>
                  <w:tcBorders>
                    <w:top w:val="single" w:sz="2" w:space="0" w:color="auto"/>
                    <w:left w:val="single" w:sz="2" w:space="0" w:color="auto"/>
                    <w:bottom w:val="single" w:sz="2" w:space="0" w:color="auto"/>
                    <w:right w:val="single" w:sz="2" w:space="0" w:color="auto"/>
                  </w:tcBorders>
                  <w:hideMark/>
                </w:tcPr>
                <w:p w:rsidR="008E4104" w:rsidRPr="00F3198F" w:rsidRDefault="008E4104" w:rsidP="00F8553D">
                  <w:pPr>
                    <w:framePr w:hSpace="180" w:wrap="around" w:vAnchor="text" w:hAnchor="margin" w:y="416"/>
                    <w:spacing w:before="150" w:after="150"/>
                    <w:ind w:right="152"/>
                    <w:jc w:val="both"/>
                    <w:rPr>
                      <w:b/>
                      <w:color w:val="C00000"/>
                      <w:sz w:val="24"/>
                      <w:szCs w:val="24"/>
                    </w:rPr>
                  </w:pPr>
                  <w:r w:rsidRPr="000B2616">
                    <w:rPr>
                      <w:sz w:val="24"/>
                      <w:szCs w:val="24"/>
                    </w:rPr>
                    <w:t xml:space="preserve">потужність, замовлена до приєднання електроустановок замовника, </w:t>
                  </w:r>
                  <w:r w:rsidRPr="00F3198F">
                    <w:rPr>
                      <w:b/>
                      <w:color w:val="0070C0"/>
                      <w:sz w:val="24"/>
                      <w:szCs w:val="24"/>
                    </w:rPr>
                    <w:t>за винятком існуючої потужності</w:t>
                  </w:r>
                  <w:r w:rsidRPr="000B2616">
                    <w:rPr>
                      <w:color w:val="00B050"/>
                      <w:sz w:val="24"/>
                      <w:szCs w:val="24"/>
                    </w:rPr>
                    <w:t xml:space="preserve">, </w:t>
                  </w:r>
                  <w:r w:rsidRPr="000B2616">
                    <w:rPr>
                      <w:sz w:val="24"/>
                      <w:szCs w:val="24"/>
                    </w:rPr>
                    <w:t>кВт.</w:t>
                  </w:r>
                  <w:r>
                    <w:t xml:space="preserve"> </w:t>
                  </w:r>
                  <w:r w:rsidRPr="008E4104">
                    <w:rPr>
                      <w:b/>
                      <w:color w:val="0070C0"/>
                      <w:sz w:val="24"/>
                      <w:szCs w:val="24"/>
                    </w:rPr>
                    <w:t xml:space="preserve">У разі зміни технічних параметрів, до розрахунку </w:t>
                  </w:r>
                  <w:r w:rsidRPr="008E4104">
                    <w:rPr>
                      <w:b/>
                      <w:color w:val="0070C0"/>
                      <w:sz w:val="24"/>
                      <w:szCs w:val="24"/>
                    </w:rPr>
                    <w:lastRenderedPageBreak/>
                    <w:t>приймається повна заявлена до приєднання потужність електроустановок.</w:t>
                  </w:r>
                  <w:r w:rsidRPr="008E4104">
                    <w:rPr>
                      <w:color w:val="0070C0"/>
                      <w:sz w:val="24"/>
                      <w:szCs w:val="24"/>
                    </w:rPr>
                    <w:t xml:space="preserve"> </w:t>
                  </w:r>
                </w:p>
              </w:tc>
            </w:tr>
          </w:tbl>
          <w:p w:rsidR="008E4104" w:rsidRPr="00F05B07" w:rsidRDefault="008E4104" w:rsidP="008E4104">
            <w:pPr>
              <w:ind w:firstLine="224"/>
              <w:contextualSpacing/>
              <w:jc w:val="both"/>
              <w:rPr>
                <w:b/>
                <w:sz w:val="24"/>
                <w:szCs w:val="24"/>
                <w:u w:val="single"/>
              </w:rPr>
            </w:pPr>
          </w:p>
        </w:tc>
        <w:tc>
          <w:tcPr>
            <w:tcW w:w="3685" w:type="dxa"/>
          </w:tcPr>
          <w:p w:rsidR="008E4104" w:rsidRPr="000B2616" w:rsidRDefault="008E4104" w:rsidP="008E4104">
            <w:pPr>
              <w:ind w:firstLine="182"/>
              <w:jc w:val="both"/>
              <w:rPr>
                <w:sz w:val="24"/>
                <w:szCs w:val="24"/>
              </w:rPr>
            </w:pPr>
            <w:r w:rsidRPr="008E4104">
              <w:rPr>
                <w:sz w:val="24"/>
                <w:szCs w:val="24"/>
              </w:rPr>
              <w:lastRenderedPageBreak/>
              <w:t xml:space="preserve">Необхідно чітко визначити, що при зміні технічних параметрів для розрахунку вартості приєднання має враховуватися різниця між величиною максимального розрахункового навантаження та існуючою дозволеною потужністю, за </w:t>
            </w:r>
            <w:r w:rsidRPr="008E4104">
              <w:rPr>
                <w:sz w:val="24"/>
                <w:szCs w:val="24"/>
              </w:rPr>
              <w:lastRenderedPageBreak/>
              <w:t>винятком, коли відбувається зміна категорії надійності електропостачання, зміна точки забезпечення потужності  або ступеня напруги в точці приєднання,  або зміна точки приєднання за ініціативою замовника.</w:t>
            </w:r>
          </w:p>
        </w:tc>
        <w:tc>
          <w:tcPr>
            <w:tcW w:w="3119" w:type="dxa"/>
          </w:tcPr>
          <w:p w:rsidR="00335D6A" w:rsidRDefault="00335D6A" w:rsidP="00335D6A">
            <w:pPr>
              <w:jc w:val="both"/>
              <w:rPr>
                <w:b/>
                <w:sz w:val="24"/>
                <w:szCs w:val="24"/>
                <w:lang w:eastAsia="uk-UA"/>
              </w:rPr>
            </w:pPr>
            <w:r>
              <w:rPr>
                <w:b/>
                <w:sz w:val="24"/>
                <w:szCs w:val="24"/>
                <w:lang w:eastAsia="uk-UA"/>
              </w:rPr>
              <w:lastRenderedPageBreak/>
              <w:t>Пропонується відхилити.</w:t>
            </w:r>
          </w:p>
          <w:p w:rsidR="008E4104" w:rsidRPr="004F3A51" w:rsidRDefault="00335D6A" w:rsidP="00335D6A">
            <w:pPr>
              <w:jc w:val="both"/>
              <w:rPr>
                <w:b/>
                <w:sz w:val="24"/>
                <w:szCs w:val="24"/>
                <w:lang w:eastAsia="uk-UA"/>
              </w:rPr>
            </w:pPr>
            <w:r w:rsidRPr="00840E9A">
              <w:rPr>
                <w:sz w:val="24"/>
                <w:szCs w:val="24"/>
                <w:lang w:eastAsia="uk-UA"/>
              </w:rPr>
              <w:t xml:space="preserve">Пунктом 2.1 КСР визначено, що </w:t>
            </w:r>
            <w:r w:rsidRPr="00840E9A">
              <w:t xml:space="preserve"> </w:t>
            </w:r>
            <w:r>
              <w:t>«</w:t>
            </w:r>
            <w:r w:rsidRPr="00840E9A">
              <w:rPr>
                <w:sz w:val="24"/>
                <w:szCs w:val="24"/>
                <w:lang w:eastAsia="uk-UA"/>
              </w:rPr>
              <w:t xml:space="preserve">потужність, замовлена до приєднання - максимальна розрахункова потужність у точці приєднання об’єкта замовника або розрахункова </w:t>
            </w:r>
            <w:r w:rsidRPr="00840E9A">
              <w:rPr>
                <w:sz w:val="24"/>
                <w:szCs w:val="24"/>
                <w:lang w:eastAsia="uk-UA"/>
              </w:rPr>
              <w:lastRenderedPageBreak/>
              <w:t>величина збільшення дозволеної до використання потужності (у разі якщо не змінюється схема електрозабезпечення)</w:t>
            </w:r>
            <w:r>
              <w:rPr>
                <w:sz w:val="24"/>
                <w:szCs w:val="24"/>
                <w:lang w:eastAsia="uk-UA"/>
              </w:rPr>
              <w:t>». Тобто, у разі збільшення потужності існуючого користувача потужністю, замовленою до приєднання буде саме величина, на яку  збільшується існуюча потужність.</w:t>
            </w:r>
          </w:p>
        </w:tc>
      </w:tr>
      <w:tr w:rsidR="00686A9B" w:rsidRPr="004F3A51" w:rsidTr="00F05B07">
        <w:trPr>
          <w:trHeight w:val="218"/>
        </w:trPr>
        <w:tc>
          <w:tcPr>
            <w:tcW w:w="4395" w:type="dxa"/>
            <w:vMerge w:val="restart"/>
          </w:tcPr>
          <w:p w:rsidR="00686A9B" w:rsidRPr="00647D68" w:rsidRDefault="00686A9B" w:rsidP="008E4104">
            <w:pPr>
              <w:ind w:firstLine="589"/>
              <w:jc w:val="both"/>
              <w:rPr>
                <w:sz w:val="24"/>
                <w:szCs w:val="24"/>
                <w:lang w:val="ru-RU"/>
              </w:rPr>
            </w:pPr>
            <w:r w:rsidRPr="00EF1540">
              <w:rPr>
                <w:sz w:val="24"/>
                <w:szCs w:val="24"/>
              </w:rPr>
              <w:lastRenderedPageBreak/>
              <w:t xml:space="preserve">3.2. Ставки плати за стандартне приєднання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ст</m:t>
                  </m:r>
                </m:sub>
                <m:sup>
                  <m:r>
                    <w:rPr>
                      <w:rFonts w:ascii="Cambria Math" w:hAnsi="Cambria Math"/>
                      <w:sz w:val="32"/>
                      <w:szCs w:val="28"/>
                    </w:rPr>
                    <m:t>к,н,ф,місц</m:t>
                  </m:r>
                </m:sup>
              </m:sSubSup>
            </m:oMath>
            <w:r w:rsidRPr="00EF1540">
              <w:rPr>
                <w:sz w:val="24"/>
                <w:szCs w:val="24"/>
              </w:rPr>
              <w:t xml:space="preserve"> встановлюються НКРЕКП на розрахунковий період та розраховуються за формулою:</w:t>
            </w:r>
          </w:p>
          <w:p w:rsidR="00686A9B" w:rsidRPr="00EF1540" w:rsidRDefault="00F8553D" w:rsidP="008E4104">
            <w:pPr>
              <w:ind w:firstLine="589"/>
              <w:jc w:val="both"/>
              <w:rPr>
                <w:sz w:val="24"/>
                <w:szCs w:val="24"/>
              </w:rPr>
            </w:pPr>
            <m:oMathPara>
              <m:oMathParaPr>
                <m:jc m:val="center"/>
              </m:oMathParaPr>
              <m:oMath>
                <m:sSubSup>
                  <m:sSubSupPr>
                    <m:ctrlPr>
                      <w:rPr>
                        <w:rFonts w:ascii="Cambria Math" w:hAnsi="Cambria Math"/>
                        <w:b/>
                        <w:sz w:val="24"/>
                        <w:szCs w:val="24"/>
                      </w:rPr>
                    </m:ctrlPr>
                  </m:sSubSupPr>
                  <m:e>
                    <m:r>
                      <m:rPr>
                        <m:sty m:val="bi"/>
                      </m:rPr>
                      <w:rPr>
                        <w:rFonts w:ascii="Cambria Math" w:hAnsi="Cambria Math"/>
                        <w:sz w:val="24"/>
                        <w:szCs w:val="24"/>
                      </w:rPr>
                      <m:t>С</m:t>
                    </m:r>
                  </m:e>
                  <m:sub>
                    <m:r>
                      <m:rPr>
                        <m:sty m:val="bi"/>
                      </m:rPr>
                      <w:rPr>
                        <w:rFonts w:ascii="Cambria Math" w:hAnsi="Cambria Math"/>
                        <w:sz w:val="24"/>
                        <w:szCs w:val="24"/>
                      </w:rPr>
                      <m:t>ст</m:t>
                    </m:r>
                  </m:sub>
                  <m:sup>
                    <m:r>
                      <m:rPr>
                        <m:sty m:val="bi"/>
                      </m:rPr>
                      <w:rPr>
                        <w:rFonts w:ascii="Cambria Math" w:hAnsi="Cambria Math"/>
                        <w:sz w:val="24"/>
                        <w:szCs w:val="24"/>
                      </w:rPr>
                      <m:t>к,н,ф,місц</m:t>
                    </m:r>
                  </m:sup>
                </m:sSubSup>
                <m:r>
                  <m:rPr>
                    <m:sty m:val="bi"/>
                  </m:rPr>
                  <w:rPr>
                    <w:rFonts w:ascii="Cambria Math" w:hAnsi="Cambria Math"/>
                    <w:sz w:val="24"/>
                    <w:szCs w:val="24"/>
                  </w:rPr>
                  <m:t>=</m:t>
                </m:r>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інд</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к</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н</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ф</m:t>
                    </m:r>
                  </m:sub>
                </m:sSub>
                <m:r>
                  <m:rPr>
                    <m:sty m:val="bi"/>
                  </m:rPr>
                  <w:rPr>
                    <w:rFonts w:ascii="Cambria Math" w:hAnsi="Cambria Math"/>
                    <w:sz w:val="24"/>
                    <w:szCs w:val="24"/>
                  </w:rPr>
                  <m:t>, тис грн/кВт</m:t>
                </m:r>
              </m:oMath>
            </m:oMathPara>
          </w:p>
          <w:p w:rsidR="00686A9B" w:rsidRDefault="00F8553D" w:rsidP="008E4104">
            <w:pPr>
              <w:ind w:firstLine="578"/>
              <w:jc w:val="both"/>
              <w:rPr>
                <w:b/>
                <w:sz w:val="24"/>
                <w:szCs w:val="24"/>
              </w:rPr>
            </w:pP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00686A9B" w:rsidRPr="00EF1540">
              <w:rPr>
                <w:b/>
                <w:sz w:val="24"/>
                <w:szCs w:val="24"/>
              </w:rPr>
              <w:t xml:space="preserve"> - питома вартість приєднання 1 кВт потужності електроустановок замовника</w:t>
            </w:r>
            <w:r w:rsidR="00686A9B" w:rsidRPr="00EF1540">
              <w:t xml:space="preserve"> </w:t>
            </w:r>
            <w:r w:rsidR="00686A9B" w:rsidRPr="00EF1540">
              <w:rPr>
                <w:b/>
                <w:sz w:val="24"/>
                <w:szCs w:val="24"/>
              </w:rPr>
              <w:t>визначена згідно з додатком 9 до цієї Методики станом на 01 січня 2025 року;</w:t>
            </w:r>
          </w:p>
          <w:p w:rsidR="00686A9B" w:rsidRPr="00EF1540" w:rsidRDefault="00686A9B" w:rsidP="008E4104">
            <w:pPr>
              <w:ind w:firstLine="578"/>
              <w:jc w:val="both"/>
              <w:rPr>
                <w:b/>
                <w:sz w:val="24"/>
                <w:szCs w:val="24"/>
              </w:rPr>
            </w:pPr>
            <w:r w:rsidRPr="00EF1540">
              <w:rPr>
                <w:b/>
                <w:noProof/>
                <w:sz w:val="24"/>
                <w:szCs w:val="24"/>
              </w:rPr>
              <w:t>К</w:t>
            </w:r>
            <w:r w:rsidRPr="00EF1540">
              <w:rPr>
                <w:b/>
                <w:noProof/>
                <w:sz w:val="24"/>
                <w:szCs w:val="24"/>
                <w:vertAlign w:val="subscript"/>
              </w:rPr>
              <w:t>інд</w:t>
            </w:r>
            <w:r w:rsidRPr="00EF1540">
              <w:rPr>
                <w:b/>
                <w:noProof/>
                <w:sz w:val="24"/>
                <w:szCs w:val="24"/>
              </w:rPr>
              <w:t xml:space="preserve"> - </w:t>
            </w:r>
            <w:r w:rsidRPr="00A17353">
              <w:rPr>
                <w:b/>
                <w:sz w:val="24"/>
                <w:szCs w:val="24"/>
              </w:rPr>
              <w:t xml:space="preserve">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w:t>
            </w:r>
            <w:r w:rsidRPr="00A17353">
              <w:rPr>
                <w:b/>
                <w:sz w:val="24"/>
                <w:szCs w:val="24"/>
              </w:rPr>
              <w:lastRenderedPageBreak/>
              <w:t>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r w:rsidRPr="00EF1540">
              <w:rPr>
                <w:b/>
                <w:sz w:val="24"/>
                <w:szCs w:val="24"/>
              </w:rPr>
              <w:t>;</w:t>
            </w:r>
          </w:p>
          <w:p w:rsidR="00686A9B" w:rsidRPr="00EF1540" w:rsidRDefault="00686A9B" w:rsidP="008E4104">
            <w:pPr>
              <w:ind w:firstLine="578"/>
              <w:jc w:val="both"/>
              <w:rPr>
                <w:sz w:val="24"/>
                <w:szCs w:val="24"/>
              </w:rPr>
            </w:pPr>
            <w:r w:rsidRPr="00EF1540">
              <w:rPr>
                <w:sz w:val="24"/>
                <w:szCs w:val="24"/>
              </w:rPr>
              <w:t>Кк - коефіцієнт категорії надійності електропостачання (</w:t>
            </w:r>
            <w:hyperlink r:id="rId21" w:anchor="n152" w:history="1">
              <w:r w:rsidRPr="00EF1540">
                <w:rPr>
                  <w:sz w:val="24"/>
                  <w:szCs w:val="24"/>
                </w:rPr>
                <w:t>додаток 3</w:t>
              </w:r>
            </w:hyperlink>
            <w:r w:rsidRPr="00EF1540">
              <w:rPr>
                <w:sz w:val="24"/>
                <w:szCs w:val="24"/>
              </w:rPr>
              <w:t xml:space="preserve"> до цієї Методики);</w:t>
            </w:r>
          </w:p>
          <w:p w:rsidR="00686A9B" w:rsidRPr="00EF1540" w:rsidRDefault="00686A9B" w:rsidP="008E4104">
            <w:pPr>
              <w:ind w:firstLine="578"/>
              <w:jc w:val="both"/>
              <w:rPr>
                <w:b/>
                <w:sz w:val="24"/>
                <w:szCs w:val="24"/>
              </w:rPr>
            </w:pPr>
            <w:r w:rsidRPr="00EF1540">
              <w:rPr>
                <w:sz w:val="24"/>
                <w:szCs w:val="24"/>
              </w:rPr>
              <w:t>Кн - коефіцієнт ступеня напруги в точці приєднання (0,4 (0,23), 6(10)20 кВ) (</w:t>
            </w:r>
            <w:hyperlink r:id="rId22" w:anchor="n155" w:history="1">
              <w:r w:rsidRPr="00EF1540">
                <w:rPr>
                  <w:sz w:val="24"/>
                  <w:szCs w:val="24"/>
                </w:rPr>
                <w:t>додаток 4</w:t>
              </w:r>
            </w:hyperlink>
            <w:r w:rsidRPr="00EF1540">
              <w:rPr>
                <w:sz w:val="24"/>
                <w:szCs w:val="24"/>
              </w:rPr>
              <w:t xml:space="preserve"> до цієї Методики);</w:t>
            </w:r>
          </w:p>
          <w:p w:rsidR="00686A9B" w:rsidRPr="007E608F" w:rsidRDefault="00686A9B" w:rsidP="008E4104">
            <w:pPr>
              <w:ind w:firstLine="578"/>
              <w:jc w:val="both"/>
              <w:rPr>
                <w:sz w:val="24"/>
                <w:szCs w:val="24"/>
              </w:rPr>
            </w:pPr>
            <w:r w:rsidRPr="00EF1540">
              <w:rPr>
                <w:sz w:val="24"/>
                <w:szCs w:val="24"/>
              </w:rPr>
              <w:t>Кф - коефіцієнт схеми електрозабезпечення (</w:t>
            </w:r>
            <w:hyperlink r:id="rId23" w:anchor="n158" w:history="1">
              <w:r w:rsidRPr="00EF1540">
                <w:rPr>
                  <w:sz w:val="24"/>
                  <w:szCs w:val="24"/>
                </w:rPr>
                <w:t>додаток 5</w:t>
              </w:r>
            </w:hyperlink>
            <w:r w:rsidRPr="00EF1540">
              <w:rPr>
                <w:sz w:val="24"/>
                <w:szCs w:val="24"/>
              </w:rPr>
              <w:t xml:space="preserve"> до цієї Методики);</w:t>
            </w:r>
          </w:p>
        </w:tc>
        <w:tc>
          <w:tcPr>
            <w:tcW w:w="4394" w:type="dxa"/>
          </w:tcPr>
          <w:p w:rsidR="00686A9B" w:rsidRDefault="00686A9B"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686A9B" w:rsidRPr="00F05B07" w:rsidRDefault="00686A9B" w:rsidP="008E4104">
            <w:pPr>
              <w:ind w:firstLine="224"/>
              <w:contextualSpacing/>
              <w:jc w:val="both"/>
              <w:rPr>
                <w:b/>
                <w:sz w:val="24"/>
                <w:szCs w:val="24"/>
                <w:u w:val="single"/>
              </w:rPr>
            </w:pPr>
          </w:p>
          <w:p w:rsidR="00686A9B" w:rsidRPr="00647D68" w:rsidRDefault="00686A9B" w:rsidP="008E4104">
            <w:pPr>
              <w:ind w:firstLine="589"/>
              <w:jc w:val="both"/>
              <w:rPr>
                <w:sz w:val="24"/>
                <w:szCs w:val="24"/>
                <w:lang w:val="ru-RU"/>
              </w:rPr>
            </w:pPr>
            <w:r w:rsidRPr="00EF1540">
              <w:rPr>
                <w:sz w:val="24"/>
                <w:szCs w:val="24"/>
              </w:rPr>
              <w:t xml:space="preserve">3.2. Ставки плати за стандартне приєднання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ст</m:t>
                  </m:r>
                </m:sub>
                <m:sup>
                  <m:r>
                    <w:rPr>
                      <w:rFonts w:ascii="Cambria Math" w:hAnsi="Cambria Math"/>
                      <w:sz w:val="32"/>
                      <w:szCs w:val="28"/>
                    </w:rPr>
                    <m:t>к,н,ф,місц</m:t>
                  </m:r>
                </m:sup>
              </m:sSubSup>
            </m:oMath>
            <w:r w:rsidRPr="00EF1540">
              <w:rPr>
                <w:sz w:val="24"/>
                <w:szCs w:val="24"/>
              </w:rPr>
              <w:t xml:space="preserve"> встановлюються НКРЕКП на розрахунковий період та розраховуються за формулою:</w:t>
            </w:r>
          </w:p>
          <w:p w:rsidR="00686A9B" w:rsidRPr="00EF1540" w:rsidRDefault="00F8553D" w:rsidP="008E4104">
            <w:pPr>
              <w:ind w:firstLine="589"/>
              <w:jc w:val="both"/>
              <w:rPr>
                <w:sz w:val="24"/>
                <w:szCs w:val="24"/>
              </w:rPr>
            </w:pPr>
            <m:oMathPara>
              <m:oMathParaPr>
                <m:jc m:val="center"/>
              </m:oMathParaPr>
              <m:oMath>
                <m:sSubSup>
                  <m:sSubSupPr>
                    <m:ctrlPr>
                      <w:rPr>
                        <w:rFonts w:ascii="Cambria Math" w:hAnsi="Cambria Math"/>
                        <w:b/>
                        <w:sz w:val="24"/>
                        <w:szCs w:val="24"/>
                      </w:rPr>
                    </m:ctrlPr>
                  </m:sSubSupPr>
                  <m:e>
                    <m:r>
                      <m:rPr>
                        <m:sty m:val="bi"/>
                      </m:rPr>
                      <w:rPr>
                        <w:rFonts w:ascii="Cambria Math" w:hAnsi="Cambria Math"/>
                        <w:sz w:val="24"/>
                        <w:szCs w:val="24"/>
                      </w:rPr>
                      <m:t>С</m:t>
                    </m:r>
                  </m:e>
                  <m:sub>
                    <m:r>
                      <m:rPr>
                        <m:sty m:val="bi"/>
                      </m:rPr>
                      <w:rPr>
                        <w:rFonts w:ascii="Cambria Math" w:hAnsi="Cambria Math"/>
                        <w:sz w:val="24"/>
                        <w:szCs w:val="24"/>
                      </w:rPr>
                      <m:t>ст</m:t>
                    </m:r>
                  </m:sub>
                  <m:sup>
                    <m:r>
                      <m:rPr>
                        <m:sty m:val="bi"/>
                      </m:rPr>
                      <w:rPr>
                        <w:rFonts w:ascii="Cambria Math" w:hAnsi="Cambria Math"/>
                        <w:sz w:val="24"/>
                        <w:szCs w:val="24"/>
                      </w:rPr>
                      <m:t>к,н,ф,місц</m:t>
                    </m:r>
                  </m:sup>
                </m:sSubSup>
                <m:r>
                  <m:rPr>
                    <m:sty m:val="bi"/>
                  </m:rPr>
                  <w:rPr>
                    <w:rFonts w:ascii="Cambria Math" w:hAnsi="Cambria Math"/>
                    <w:sz w:val="24"/>
                    <w:szCs w:val="24"/>
                  </w:rPr>
                  <m:t>=</m:t>
                </m:r>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інд</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к</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н</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ф</m:t>
                    </m:r>
                  </m:sub>
                </m:sSub>
                <m:r>
                  <m:rPr>
                    <m:sty m:val="bi"/>
                  </m:rPr>
                  <w:rPr>
                    <w:rFonts w:ascii="Cambria Math" w:hAnsi="Cambria Math"/>
                    <w:sz w:val="24"/>
                    <w:szCs w:val="24"/>
                  </w:rPr>
                  <m:t>, тис грн/кВт</m:t>
                </m:r>
              </m:oMath>
            </m:oMathPara>
          </w:p>
          <w:p w:rsidR="00686A9B" w:rsidRPr="00F05B07" w:rsidRDefault="00F8553D" w:rsidP="008E4104">
            <w:pPr>
              <w:ind w:firstLine="224"/>
              <w:contextualSpacing/>
              <w:jc w:val="both"/>
              <w:rPr>
                <w:b/>
                <w:sz w:val="24"/>
                <w:szCs w:val="24"/>
                <w:u w:val="single"/>
              </w:rPr>
            </w:pP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00686A9B" w:rsidRPr="00EF1540">
              <w:rPr>
                <w:b/>
                <w:sz w:val="24"/>
                <w:szCs w:val="24"/>
              </w:rPr>
              <w:t xml:space="preserve"> - питома вартість приєднання 1 кВт потужності електроустановок замовника</w:t>
            </w:r>
            <w:r w:rsidR="00686A9B" w:rsidRPr="00F3198F">
              <w:rPr>
                <w:b/>
                <w:color w:val="0070C0"/>
                <w:sz w:val="24"/>
                <w:szCs w:val="24"/>
              </w:rPr>
              <w:t>,</w:t>
            </w:r>
            <w:r w:rsidR="00686A9B" w:rsidRPr="00EF1540">
              <w:t xml:space="preserve"> </w:t>
            </w:r>
            <w:r w:rsidR="00686A9B" w:rsidRPr="000B2616">
              <w:rPr>
                <w:b/>
                <w:bCs/>
                <w:color w:val="C00000"/>
                <w:sz w:val="24"/>
                <w:szCs w:val="24"/>
              </w:rPr>
              <w:t xml:space="preserve"> </w:t>
            </w:r>
            <w:r w:rsidR="00686A9B" w:rsidRPr="00F3198F">
              <w:rPr>
                <w:b/>
                <w:bCs/>
                <w:color w:val="0070C0"/>
                <w:sz w:val="24"/>
                <w:szCs w:val="24"/>
              </w:rPr>
              <w:t xml:space="preserve">розрахована відповідно до методики  </w:t>
            </w:r>
            <w:r w:rsidR="00686A9B" w:rsidRPr="00F3198F">
              <w:rPr>
                <w:b/>
                <w:bCs/>
                <w:color w:val="0070C0"/>
                <w:sz w:val="24"/>
                <w:szCs w:val="24"/>
              </w:rPr>
              <w:lastRenderedPageBreak/>
              <w:t>(додаток …) та затверджена додатком …</w:t>
            </w:r>
          </w:p>
        </w:tc>
        <w:tc>
          <w:tcPr>
            <w:tcW w:w="3685" w:type="dxa"/>
          </w:tcPr>
          <w:p w:rsidR="00686A9B" w:rsidRPr="000B2616" w:rsidRDefault="00686A9B" w:rsidP="008E4104">
            <w:pPr>
              <w:ind w:firstLine="182"/>
              <w:jc w:val="both"/>
              <w:rPr>
                <w:sz w:val="24"/>
                <w:szCs w:val="24"/>
              </w:rPr>
            </w:pPr>
            <w:r w:rsidRPr="000B2616">
              <w:rPr>
                <w:sz w:val="24"/>
                <w:szCs w:val="24"/>
              </w:rPr>
              <w:lastRenderedPageBreak/>
              <w:t>Методика розрахунку Пбаз не оприлюднена, необхідно з’ясувати питання розрахунку ставок плати за приєднання, а саме:</w:t>
            </w:r>
          </w:p>
          <w:p w:rsidR="00686A9B" w:rsidRPr="000B2616" w:rsidRDefault="00686A9B" w:rsidP="008E4104">
            <w:pPr>
              <w:pStyle w:val="a4"/>
              <w:numPr>
                <w:ilvl w:val="0"/>
                <w:numId w:val="8"/>
              </w:numPr>
              <w:spacing w:after="0" w:line="240" w:lineRule="auto"/>
              <w:ind w:left="0" w:firstLine="182"/>
              <w:jc w:val="both"/>
              <w:rPr>
                <w:rFonts w:ascii="Times New Roman" w:hAnsi="Times New Roman" w:cs="Times New Roman"/>
                <w:sz w:val="24"/>
                <w:szCs w:val="24"/>
              </w:rPr>
            </w:pPr>
            <w:r w:rsidRPr="000B2616">
              <w:rPr>
                <w:rFonts w:ascii="Times New Roman" w:hAnsi="Times New Roman" w:cs="Times New Roman"/>
                <w:sz w:val="24"/>
                <w:szCs w:val="24"/>
              </w:rPr>
              <w:t>методики приведення вартості будівництва у тис.грн/км лінії в тис.ргн/кВт;</w:t>
            </w:r>
          </w:p>
          <w:p w:rsidR="00686A9B" w:rsidRPr="000B2616" w:rsidRDefault="00686A9B" w:rsidP="008E4104">
            <w:pPr>
              <w:pStyle w:val="a4"/>
              <w:numPr>
                <w:ilvl w:val="0"/>
                <w:numId w:val="8"/>
              </w:numPr>
              <w:spacing w:after="0" w:line="240" w:lineRule="auto"/>
              <w:ind w:left="0" w:firstLine="182"/>
              <w:jc w:val="both"/>
              <w:rPr>
                <w:rFonts w:ascii="Times New Roman" w:hAnsi="Times New Roman" w:cs="Times New Roman"/>
                <w:sz w:val="24"/>
                <w:szCs w:val="24"/>
              </w:rPr>
            </w:pPr>
            <w:r w:rsidRPr="000B2616">
              <w:rPr>
                <w:rFonts w:ascii="Times New Roman" w:hAnsi="Times New Roman" w:cs="Times New Roman"/>
                <w:sz w:val="24"/>
                <w:szCs w:val="24"/>
              </w:rPr>
              <w:t xml:space="preserve">методики індексації показників СОУ-Н МЕВ 45.2-37472933-44:2016, визначених станом на 01.04.2015р до поточних цін; </w:t>
            </w:r>
          </w:p>
          <w:p w:rsidR="00686A9B" w:rsidRPr="000B2616" w:rsidRDefault="00686A9B" w:rsidP="008E4104">
            <w:pPr>
              <w:pStyle w:val="a4"/>
              <w:numPr>
                <w:ilvl w:val="0"/>
                <w:numId w:val="8"/>
              </w:numPr>
              <w:spacing w:after="0" w:line="240" w:lineRule="auto"/>
              <w:ind w:left="0" w:firstLine="182"/>
              <w:jc w:val="both"/>
              <w:rPr>
                <w:rFonts w:ascii="Times New Roman" w:hAnsi="Times New Roman" w:cs="Times New Roman"/>
                <w:sz w:val="24"/>
                <w:szCs w:val="24"/>
              </w:rPr>
            </w:pPr>
            <w:r w:rsidRPr="000B2616">
              <w:rPr>
                <w:rFonts w:ascii="Times New Roman" w:hAnsi="Times New Roman" w:cs="Times New Roman"/>
                <w:sz w:val="24"/>
                <w:szCs w:val="24"/>
              </w:rPr>
              <w:t>застосування коефіцієнтів одночасності, а саме для якої кількості та типу жител;</w:t>
            </w:r>
          </w:p>
          <w:p w:rsidR="00686A9B" w:rsidRDefault="00686A9B" w:rsidP="008E4104">
            <w:pPr>
              <w:ind w:firstLine="182"/>
              <w:jc w:val="both"/>
              <w:rPr>
                <w:sz w:val="24"/>
                <w:szCs w:val="24"/>
              </w:rPr>
            </w:pPr>
            <w:r w:rsidRPr="000B2616">
              <w:rPr>
                <w:sz w:val="24"/>
                <w:szCs w:val="24"/>
              </w:rPr>
              <w:t xml:space="preserve">Також звертаємо увагу, що у великих містах відповідно до норм проєктування в умовах багатоповерхової забудови заборонено будівництво ПЛ, тому в розрахунку </w:t>
            </w:r>
            <m:oMath>
              <m:sSubSup>
                <m:sSubSupPr>
                  <m:ctrlPr>
                    <w:rPr>
                      <w:rFonts w:ascii="Cambria Math" w:hAnsi="Cambria Math"/>
                      <w:i/>
                      <w:sz w:val="24"/>
                      <w:szCs w:val="24"/>
                    </w:rPr>
                  </m:ctrlPr>
                </m:sSubSupPr>
                <m:e>
                  <m:r>
                    <w:rPr>
                      <w:rFonts w:ascii="Cambria Math" w:hAnsi="Cambria Math"/>
                      <w:sz w:val="24"/>
                      <w:szCs w:val="24"/>
                    </w:rPr>
                    <m:t>П</m:t>
                  </m:r>
                </m:e>
                <m:sub>
                  <m:sSub>
                    <m:sSubPr>
                      <m:ctrlPr>
                        <w:rPr>
                          <w:rFonts w:ascii="Cambria Math" w:hAnsi="Cambria Math"/>
                          <w:i/>
                          <w:sz w:val="24"/>
                          <w:szCs w:val="24"/>
                        </w:rPr>
                      </m:ctrlPr>
                    </m:sSubPr>
                    <m:e>
                      <m:r>
                        <w:rPr>
                          <w:rFonts w:ascii="Cambria Math" w:hAnsi="Cambria Math"/>
                          <w:sz w:val="24"/>
                          <w:szCs w:val="24"/>
                        </w:rPr>
                        <m:t>базова</m:t>
                      </m:r>
                    </m:e>
                    <m:sub>
                      <m:r>
                        <w:rPr>
                          <w:rFonts w:ascii="Cambria Math" w:hAnsi="Cambria Math"/>
                          <w:sz w:val="24"/>
                          <w:szCs w:val="24"/>
                        </w:rPr>
                        <m:t>ст</m:t>
                      </m:r>
                    </m:sub>
                  </m:sSub>
                </m:sub>
                <m:sup>
                  <m:r>
                    <w:rPr>
                      <w:rFonts w:ascii="Cambria Math" w:hAnsi="Cambria Math"/>
                      <w:sz w:val="24"/>
                      <w:szCs w:val="24"/>
                    </w:rPr>
                    <m:t>місц</m:t>
                  </m:r>
                </m:sup>
              </m:sSubSup>
            </m:oMath>
            <w:r w:rsidRPr="000B2616">
              <w:rPr>
                <w:sz w:val="24"/>
                <w:szCs w:val="24"/>
              </w:rPr>
              <w:t xml:space="preserve"> для міста </w:t>
            </w:r>
            <w:r w:rsidRPr="000B2616">
              <w:rPr>
                <w:sz w:val="24"/>
                <w:szCs w:val="24"/>
              </w:rPr>
              <w:lastRenderedPageBreak/>
              <w:t>необхідно враховувати і показники для будівництва КЛ</w:t>
            </w:r>
          </w:p>
        </w:tc>
        <w:tc>
          <w:tcPr>
            <w:tcW w:w="3119" w:type="dxa"/>
          </w:tcPr>
          <w:p w:rsidR="00686A9B" w:rsidRDefault="00686A9B"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Pr="004F3A51" w:rsidRDefault="005E0659" w:rsidP="008E4104">
            <w:pPr>
              <w:jc w:val="both"/>
              <w:rPr>
                <w:b/>
                <w:sz w:val="24"/>
                <w:szCs w:val="24"/>
                <w:lang w:eastAsia="uk-UA"/>
              </w:rPr>
            </w:pPr>
            <w:r>
              <w:rPr>
                <w:b/>
                <w:sz w:val="24"/>
                <w:szCs w:val="24"/>
                <w:lang w:eastAsia="uk-UA"/>
              </w:rPr>
              <w:t>Пропонується відхилити</w:t>
            </w:r>
          </w:p>
        </w:tc>
      </w:tr>
      <w:tr w:rsidR="00686A9B" w:rsidRPr="004F3A51" w:rsidTr="00F05B07">
        <w:trPr>
          <w:trHeight w:val="218"/>
        </w:trPr>
        <w:tc>
          <w:tcPr>
            <w:tcW w:w="4395" w:type="dxa"/>
            <w:vMerge/>
          </w:tcPr>
          <w:p w:rsidR="00686A9B" w:rsidRPr="00EF1540" w:rsidRDefault="00686A9B" w:rsidP="008E4104">
            <w:pPr>
              <w:ind w:firstLine="589"/>
              <w:jc w:val="both"/>
              <w:rPr>
                <w:sz w:val="24"/>
                <w:szCs w:val="24"/>
              </w:rPr>
            </w:pPr>
          </w:p>
        </w:tc>
        <w:tc>
          <w:tcPr>
            <w:tcW w:w="4394" w:type="dxa"/>
          </w:tcPr>
          <w:p w:rsidR="00686A9B" w:rsidRDefault="00686A9B" w:rsidP="008E4104">
            <w:pPr>
              <w:ind w:firstLine="224"/>
              <w:contextualSpacing/>
              <w:jc w:val="both"/>
              <w:rPr>
                <w:b/>
                <w:sz w:val="24"/>
                <w:szCs w:val="24"/>
                <w:u w:val="single"/>
              </w:rPr>
            </w:pPr>
            <w:r w:rsidRPr="00D056E7">
              <w:rPr>
                <w:b/>
                <w:sz w:val="24"/>
                <w:szCs w:val="24"/>
                <w:u w:val="single"/>
              </w:rPr>
              <w:t>ГС «Розумні електромережі України»</w:t>
            </w:r>
          </w:p>
          <w:p w:rsidR="00686A9B" w:rsidRPr="00F05B07" w:rsidRDefault="00F8553D" w:rsidP="008E4104">
            <w:pPr>
              <w:ind w:firstLine="224"/>
              <w:contextualSpacing/>
              <w:jc w:val="both"/>
              <w:rPr>
                <w:b/>
                <w:sz w:val="24"/>
                <w:szCs w:val="24"/>
                <w:u w:val="single"/>
              </w:rPr>
            </w:pP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00686A9B" w:rsidRPr="00EF1540">
              <w:rPr>
                <w:b/>
                <w:sz w:val="24"/>
                <w:szCs w:val="24"/>
              </w:rPr>
              <w:t xml:space="preserve"> - питома вартість приєднання 1 кВт потужності електроустановок замовника</w:t>
            </w:r>
            <w:r w:rsidR="00686A9B" w:rsidRPr="00F3198F">
              <w:rPr>
                <w:b/>
                <w:color w:val="0070C0"/>
                <w:sz w:val="24"/>
                <w:szCs w:val="24"/>
              </w:rPr>
              <w:t>,</w:t>
            </w:r>
            <w:r w:rsidR="00686A9B" w:rsidRPr="00EF1540">
              <w:t xml:space="preserve"> </w:t>
            </w:r>
            <w:r w:rsidR="00686A9B" w:rsidRPr="000B2616">
              <w:rPr>
                <w:b/>
                <w:bCs/>
                <w:color w:val="C00000"/>
                <w:sz w:val="24"/>
                <w:szCs w:val="24"/>
              </w:rPr>
              <w:t xml:space="preserve"> </w:t>
            </w:r>
            <w:r w:rsidR="00686A9B" w:rsidRPr="00F3198F">
              <w:rPr>
                <w:b/>
                <w:bCs/>
                <w:color w:val="0070C0"/>
                <w:sz w:val="24"/>
                <w:szCs w:val="24"/>
              </w:rPr>
              <w:t>розрахована відповідно до методики  (додаток …) та затверджена додатком …</w:t>
            </w:r>
          </w:p>
        </w:tc>
        <w:tc>
          <w:tcPr>
            <w:tcW w:w="3685" w:type="dxa"/>
          </w:tcPr>
          <w:p w:rsidR="00686A9B" w:rsidRDefault="00686A9B" w:rsidP="008E4104">
            <w:pPr>
              <w:ind w:firstLine="567"/>
              <w:jc w:val="both"/>
              <w:rPr>
                <w:sz w:val="24"/>
                <w:szCs w:val="24"/>
              </w:rPr>
            </w:pPr>
            <w:r>
              <w:rPr>
                <w:sz w:val="24"/>
                <w:szCs w:val="24"/>
              </w:rPr>
              <w:t>Спілка узагальнила інформацію щодо дефіциту/профіциту грошових коштів з приєднань, які реалізують ОСР, що входять до її складу та бачить однією з причин цієї проблеми саме розрахунок Пбаз</w:t>
            </w:r>
          </w:p>
          <w:p w:rsidR="00686A9B" w:rsidRPr="00512F44" w:rsidRDefault="00686A9B" w:rsidP="008E4104">
            <w:pPr>
              <w:ind w:firstLine="567"/>
              <w:jc w:val="both"/>
              <w:rPr>
                <w:sz w:val="24"/>
                <w:szCs w:val="24"/>
              </w:rPr>
            </w:pPr>
            <w:r>
              <w:rPr>
                <w:sz w:val="24"/>
                <w:szCs w:val="24"/>
              </w:rPr>
              <w:t>Оскільки м</w:t>
            </w:r>
            <w:r w:rsidRPr="00512F44">
              <w:rPr>
                <w:sz w:val="24"/>
                <w:szCs w:val="24"/>
              </w:rPr>
              <w:t>етодика розрахунку Пбаз не оприлюднена, не</w:t>
            </w:r>
            <w:r>
              <w:rPr>
                <w:sz w:val="24"/>
                <w:szCs w:val="24"/>
              </w:rPr>
              <w:t>обхідно з’ясувати питання розрахунку ставок плати за приєднання.</w:t>
            </w:r>
          </w:p>
          <w:p w:rsidR="00686A9B" w:rsidRDefault="00686A9B" w:rsidP="008E4104">
            <w:pPr>
              <w:ind w:firstLine="589"/>
              <w:jc w:val="both"/>
              <w:rPr>
                <w:sz w:val="24"/>
                <w:szCs w:val="24"/>
              </w:rPr>
            </w:pPr>
            <w:r>
              <w:rPr>
                <w:sz w:val="24"/>
                <w:szCs w:val="24"/>
              </w:rPr>
              <w:t xml:space="preserve">З цього приводу ГС РЕУ просить Регулятора провести нараду із ОСР та пояснити детально алгоритм визначення Пбаз з відповідними розрахунками. </w:t>
            </w:r>
          </w:p>
          <w:p w:rsidR="00686A9B" w:rsidRPr="000B2616" w:rsidRDefault="00686A9B" w:rsidP="008E4104">
            <w:pPr>
              <w:ind w:firstLine="589"/>
              <w:jc w:val="both"/>
              <w:rPr>
                <w:sz w:val="24"/>
                <w:szCs w:val="24"/>
              </w:rPr>
            </w:pPr>
            <w:r>
              <w:rPr>
                <w:sz w:val="24"/>
                <w:szCs w:val="24"/>
              </w:rPr>
              <w:t xml:space="preserve">Детально із згаданою інформацією можна ознайомитися у листі ГС РЕУ до Регулятора </w:t>
            </w:r>
            <w:r w:rsidRPr="00220F05">
              <w:rPr>
                <w:sz w:val="24"/>
                <w:szCs w:val="24"/>
              </w:rPr>
              <w:t>№ 04-04/1 від 04.04.2024 р.</w:t>
            </w:r>
          </w:p>
        </w:tc>
        <w:tc>
          <w:tcPr>
            <w:tcW w:w="3119" w:type="dxa"/>
          </w:tcPr>
          <w:p w:rsidR="00686A9B" w:rsidRDefault="00686A9B"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Pr="004F3A51" w:rsidRDefault="005E0659" w:rsidP="008E4104">
            <w:pPr>
              <w:jc w:val="both"/>
              <w:rPr>
                <w:b/>
                <w:sz w:val="24"/>
                <w:szCs w:val="24"/>
                <w:lang w:eastAsia="uk-UA"/>
              </w:rPr>
            </w:pPr>
            <w:r>
              <w:rPr>
                <w:b/>
                <w:sz w:val="24"/>
                <w:szCs w:val="24"/>
                <w:lang w:eastAsia="uk-UA"/>
              </w:rPr>
              <w:t>Пропонується відхилити</w:t>
            </w:r>
          </w:p>
        </w:tc>
      </w:tr>
      <w:tr w:rsidR="00686A9B" w:rsidRPr="004F3A51" w:rsidTr="00F05B07">
        <w:trPr>
          <w:trHeight w:val="218"/>
        </w:trPr>
        <w:tc>
          <w:tcPr>
            <w:tcW w:w="4395" w:type="dxa"/>
            <w:vMerge/>
          </w:tcPr>
          <w:p w:rsidR="00686A9B" w:rsidRPr="00EF1540" w:rsidRDefault="00686A9B" w:rsidP="008E4104">
            <w:pPr>
              <w:ind w:firstLine="589"/>
              <w:jc w:val="both"/>
              <w:rPr>
                <w:sz w:val="24"/>
                <w:szCs w:val="24"/>
              </w:rPr>
            </w:pPr>
          </w:p>
        </w:tc>
        <w:tc>
          <w:tcPr>
            <w:tcW w:w="4394" w:type="dxa"/>
          </w:tcPr>
          <w:p w:rsidR="00686A9B" w:rsidRDefault="00686A9B" w:rsidP="008E4104">
            <w:pPr>
              <w:ind w:firstLine="224"/>
              <w:contextualSpacing/>
              <w:jc w:val="both"/>
              <w:rPr>
                <w:b/>
                <w:sz w:val="24"/>
                <w:szCs w:val="24"/>
                <w:u w:val="single"/>
              </w:rPr>
            </w:pPr>
            <w:r w:rsidRPr="007E608F">
              <w:rPr>
                <w:b/>
                <w:sz w:val="24"/>
                <w:szCs w:val="24"/>
                <w:u w:val="single"/>
              </w:rPr>
              <w:t xml:space="preserve">АТ </w:t>
            </w:r>
            <w:r>
              <w:rPr>
                <w:b/>
                <w:sz w:val="24"/>
                <w:szCs w:val="24"/>
                <w:u w:val="single"/>
              </w:rPr>
              <w:t>«</w:t>
            </w:r>
            <w:r w:rsidRPr="007E608F">
              <w:rPr>
                <w:b/>
                <w:sz w:val="24"/>
                <w:szCs w:val="24"/>
                <w:u w:val="single"/>
              </w:rPr>
              <w:t>Хмельницькобленерго</w:t>
            </w:r>
            <w:r>
              <w:rPr>
                <w:b/>
                <w:sz w:val="24"/>
                <w:szCs w:val="24"/>
                <w:u w:val="single"/>
              </w:rPr>
              <w:t>»</w:t>
            </w:r>
          </w:p>
          <w:p w:rsidR="00686A9B" w:rsidRDefault="00686A9B" w:rsidP="008E4104">
            <w:pPr>
              <w:widowControl w:val="0"/>
              <w:ind w:firstLine="589"/>
              <w:jc w:val="both"/>
            </w:pPr>
            <w:r>
              <w:rPr>
                <w:sz w:val="24"/>
                <w:szCs w:val="24"/>
                <w:lang w:eastAsia="en-US"/>
              </w:rPr>
              <w:t xml:space="preserve">3.2. Ставки плати за стандартне приєднання </w:t>
            </w:r>
            <m:oMath>
              <m:sSubSup>
                <m:sSubSupPr>
                  <m:ctrlPr>
                    <w:rPr>
                      <w:rFonts w:ascii="Cambria Math" w:hAnsi="Cambria Math"/>
                    </w:rPr>
                  </m:ctrlPr>
                </m:sSubSupPr>
                <m:e>
                  <m:r>
                    <w:rPr>
                      <w:rFonts w:ascii="Cambria Math" w:hAnsi="Cambria Math"/>
                    </w:rPr>
                    <m:t>С</m:t>
                  </m:r>
                </m:e>
                <m:sub>
                  <m:r>
                    <w:rPr>
                      <w:rFonts w:ascii="Cambria Math" w:hAnsi="Cambria Math"/>
                    </w:rPr>
                    <m:t>ст</m:t>
                  </m:r>
                </m:sub>
                <m:sup>
                  <m:r>
                    <w:rPr>
                      <w:rFonts w:ascii="Cambria Math" w:hAnsi="Cambria Math"/>
                    </w:rPr>
                    <m:t>к,н,ф,місц</m:t>
                  </m:r>
                </m:sup>
              </m:sSubSup>
            </m:oMath>
            <w:r>
              <w:rPr>
                <w:sz w:val="24"/>
                <w:szCs w:val="24"/>
                <w:lang w:eastAsia="en-US"/>
              </w:rPr>
              <w:t xml:space="preserve"> встановлюються НКРЕКП на розрахунковий період та розраховуються за формулою:</w:t>
            </w:r>
          </w:p>
          <w:p w:rsidR="00686A9B" w:rsidRDefault="00F8553D" w:rsidP="008E4104">
            <w:pPr>
              <w:widowControl w:val="0"/>
              <w:ind w:firstLine="589"/>
              <w:jc w:val="center"/>
            </w:pPr>
            <m:oMathPara>
              <m:oMathParaPr>
                <m:jc m:val="center"/>
              </m:oMathParaPr>
              <m:oMath>
                <m:sSubSup>
                  <m:sSubSupPr>
                    <m:ctrlPr>
                      <w:rPr>
                        <w:rFonts w:ascii="Cambria Math" w:hAnsi="Cambria Math"/>
                      </w:rPr>
                    </m:ctrlPr>
                  </m:sSubSupPr>
                  <m:e>
                    <m:r>
                      <w:rPr>
                        <w:rFonts w:ascii="Cambria Math" w:hAnsi="Cambria Math"/>
                      </w:rPr>
                      <m:t>С</m:t>
                    </m:r>
                  </m:e>
                  <m:sub>
                    <m:r>
                      <w:rPr>
                        <w:rFonts w:ascii="Cambria Math" w:hAnsi="Cambria Math"/>
                      </w:rPr>
                      <m:t>ст</m:t>
                    </m:r>
                  </m:sub>
                  <m:sup>
                    <m:r>
                      <w:rPr>
                        <w:rFonts w:ascii="Cambria Math" w:hAnsi="Cambria Math"/>
                      </w:rPr>
                      <m:t>к,н,ф,місц</m:t>
                    </m:r>
                  </m:sup>
                </m:sSubSup>
                <m:r>
                  <w:rPr>
                    <w:rFonts w:ascii="Cambria Math" w:hAnsi="Cambria Math"/>
                  </w:rPr>
                  <m:t>=</m:t>
                </m:r>
                <m:sSubSup>
                  <m:sSubSupPr>
                    <m:ctrlPr>
                      <w:rPr>
                        <w:rFonts w:ascii="Cambria Math" w:hAnsi="Cambria Math"/>
                      </w:rPr>
                    </m:ctrlPr>
                  </m:sSubSupPr>
                  <m:e>
                    <m:r>
                      <w:rPr>
                        <w:rFonts w:ascii="Cambria Math" w:hAnsi="Cambria Math"/>
                      </w:rPr>
                      <m:t>П</m:t>
                    </m:r>
                  </m:e>
                  <m:sub>
                    <m:sSub>
                      <m:sSubPr>
                        <m:ctrlPr>
                          <w:rPr>
                            <w:rFonts w:ascii="Cambria Math" w:hAnsi="Cambria Math"/>
                          </w:rPr>
                        </m:ctrlPr>
                      </m:sSubPr>
                      <m:e>
                        <m:r>
                          <w:rPr>
                            <w:rFonts w:ascii="Cambria Math" w:hAnsi="Cambria Math"/>
                          </w:rPr>
                          <m:t>базова</m:t>
                        </m:r>
                      </m:e>
                      <m:sub>
                        <m:r>
                          <w:rPr>
                            <w:rFonts w:ascii="Cambria Math" w:hAnsi="Cambria Math"/>
                          </w:rPr>
                          <m:t>ст</m:t>
                        </m:r>
                      </m:sub>
                    </m:sSub>
                  </m:sub>
                  <m:sup>
                    <m:r>
                      <w:rPr>
                        <w:rFonts w:ascii="Cambria Math" w:hAnsi="Cambria Math"/>
                      </w:rPr>
                      <m:t>місц</m:t>
                    </m:r>
                  </m:sup>
                </m:sSubSup>
                <m:r>
                  <w:rPr>
                    <w:rFonts w:ascii="Cambria Math" w:hAnsi="Cambria Math"/>
                  </w:rPr>
                  <m:t>×</m:t>
                </m:r>
                <m:sSub>
                  <m:sSubPr>
                    <m:ctrlPr>
                      <w:rPr>
                        <w:rFonts w:ascii="Cambria Math" w:hAnsi="Cambria Math"/>
                      </w:rPr>
                    </m:ctrlPr>
                  </m:sSubPr>
                  <m:e>
                    <m:r>
                      <w:rPr>
                        <w:rFonts w:ascii="Cambria Math" w:hAnsi="Cambria Math"/>
                      </w:rPr>
                      <m:t>К</m:t>
                    </m:r>
                  </m:e>
                  <m:sub>
                    <m:r>
                      <w:rPr>
                        <w:rFonts w:ascii="Cambria Math" w:hAnsi="Cambria Math"/>
                      </w:rPr>
                      <m:t>інд</m:t>
                    </m:r>
                  </m:sub>
                </m:sSub>
                <m:r>
                  <w:rPr>
                    <w:rFonts w:ascii="Cambria Math" w:hAnsi="Cambria Math"/>
                  </w:rPr>
                  <m:t>×</m:t>
                </m:r>
                <m:sSub>
                  <m:sSubPr>
                    <m:ctrlPr>
                      <w:rPr>
                        <w:rFonts w:ascii="Cambria Math" w:hAnsi="Cambria Math"/>
                      </w:rPr>
                    </m:ctrlPr>
                  </m:sSubPr>
                  <m:e>
                    <m:r>
                      <w:rPr>
                        <w:rFonts w:ascii="Cambria Math" w:hAnsi="Cambria Math"/>
                      </w:rPr>
                      <m:t>К</m:t>
                    </m:r>
                  </m:e>
                  <m:sub>
                    <m:r>
                      <w:rPr>
                        <w:rFonts w:ascii="Cambria Math" w:hAnsi="Cambria Math"/>
                      </w:rPr>
                      <m:t>к</m:t>
                    </m:r>
                  </m:sub>
                </m:sSub>
                <m:r>
                  <w:rPr>
                    <w:rFonts w:ascii="Cambria Math" w:hAnsi="Cambria Math"/>
                  </w:rPr>
                  <m:t>×</m:t>
                </m:r>
                <m:sSub>
                  <m:sSubPr>
                    <m:ctrlPr>
                      <w:rPr>
                        <w:rFonts w:ascii="Cambria Math" w:hAnsi="Cambria Math"/>
                      </w:rPr>
                    </m:ctrlPr>
                  </m:sSubPr>
                  <m:e>
                    <m:r>
                      <w:rPr>
                        <w:rFonts w:ascii="Cambria Math" w:hAnsi="Cambria Math"/>
                      </w:rPr>
                      <m:t>К</m:t>
                    </m:r>
                  </m:e>
                  <m:sub>
                    <m:r>
                      <w:rPr>
                        <w:rFonts w:ascii="Cambria Math" w:hAnsi="Cambria Math"/>
                      </w:rPr>
                      <m:t>н</m:t>
                    </m:r>
                  </m:sub>
                </m:sSub>
                <m:r>
                  <w:rPr>
                    <w:rFonts w:ascii="Cambria Math" w:hAnsi="Cambria Math"/>
                  </w:rPr>
                  <m:t>×</m:t>
                </m:r>
                <m:sSub>
                  <m:sSubPr>
                    <m:ctrlPr>
                      <w:rPr>
                        <w:rFonts w:ascii="Cambria Math" w:hAnsi="Cambria Math"/>
                      </w:rPr>
                    </m:ctrlPr>
                  </m:sSubPr>
                  <m:e>
                    <m:r>
                      <w:rPr>
                        <w:rFonts w:ascii="Cambria Math" w:hAnsi="Cambria Math"/>
                      </w:rPr>
                      <m:t>К</m:t>
                    </m:r>
                  </m:e>
                  <m:sub>
                    <m:r>
                      <w:rPr>
                        <w:rFonts w:ascii="Cambria Math" w:hAnsi="Cambria Math"/>
                      </w:rPr>
                      <m:t>ф</m:t>
                    </m:r>
                  </m:sub>
                </m:sSub>
                <m:r>
                  <w:rPr>
                    <w:rFonts w:ascii="Cambria Math" w:hAnsi="Cambria Math"/>
                  </w:rPr>
                  <m:t>,тис</m:t>
                </m:r>
                <m:f>
                  <m:fPr>
                    <m:type m:val="lin"/>
                    <m:ctrlPr>
                      <w:rPr>
                        <w:rFonts w:ascii="Cambria Math" w:hAnsi="Cambria Math"/>
                      </w:rPr>
                    </m:ctrlPr>
                  </m:fPr>
                  <m:num>
                    <m:r>
                      <w:rPr>
                        <w:rFonts w:ascii="Cambria Math" w:hAnsi="Cambria Math"/>
                      </w:rPr>
                      <m:t>грн</m:t>
                    </m:r>
                  </m:num>
                  <m:den>
                    <m:r>
                      <w:rPr>
                        <w:rFonts w:ascii="Cambria Math" w:hAnsi="Cambria Math"/>
                      </w:rPr>
                      <m:t>кВт</m:t>
                    </m:r>
                  </m:den>
                </m:f>
              </m:oMath>
            </m:oMathPara>
          </w:p>
          <w:p w:rsidR="00686A9B" w:rsidRDefault="00F8553D" w:rsidP="008E4104">
            <w:pPr>
              <w:widowControl w:val="0"/>
              <w:ind w:firstLine="578"/>
              <w:jc w:val="both"/>
            </w:pPr>
            <m:oMath>
              <m:sSubSup>
                <m:sSubSupPr>
                  <m:ctrlPr>
                    <w:rPr>
                      <w:rFonts w:ascii="Cambria Math" w:hAnsi="Cambria Math"/>
                    </w:rPr>
                  </m:ctrlPr>
                </m:sSubSupPr>
                <m:e>
                  <m:r>
                    <w:rPr>
                      <w:rFonts w:ascii="Cambria Math" w:hAnsi="Cambria Math"/>
                    </w:rPr>
                    <m:t>П</m:t>
                  </m:r>
                </m:e>
                <m:sub>
                  <m:sSub>
                    <m:sSubPr>
                      <m:ctrlPr>
                        <w:rPr>
                          <w:rFonts w:ascii="Cambria Math" w:hAnsi="Cambria Math"/>
                        </w:rPr>
                      </m:ctrlPr>
                    </m:sSubPr>
                    <m:e>
                      <m:r>
                        <w:rPr>
                          <w:rFonts w:ascii="Cambria Math" w:hAnsi="Cambria Math"/>
                        </w:rPr>
                        <m:t>базова</m:t>
                      </m:r>
                    </m:e>
                    <m:sub>
                      <m:r>
                        <w:rPr>
                          <w:rFonts w:ascii="Cambria Math" w:hAnsi="Cambria Math"/>
                        </w:rPr>
                        <m:t>ст</m:t>
                      </m:r>
                    </m:sub>
                  </m:sSub>
                </m:sub>
                <m:sup>
                  <m:r>
                    <w:rPr>
                      <w:rFonts w:ascii="Cambria Math" w:hAnsi="Cambria Math"/>
                    </w:rPr>
                    <m:t>місц</m:t>
                  </m:r>
                </m:sup>
              </m:sSubSup>
            </m:oMath>
            <w:r w:rsidR="00686A9B">
              <w:rPr>
                <w:b/>
                <w:sz w:val="24"/>
                <w:szCs w:val="24"/>
                <w:lang w:eastAsia="en-US"/>
              </w:rPr>
              <w:t xml:space="preserve"> - для </w:t>
            </w:r>
            <w:r w:rsidR="00686A9B" w:rsidRPr="007E608F">
              <w:rPr>
                <w:b/>
                <w:color w:val="0070C0"/>
                <w:sz w:val="24"/>
                <w:szCs w:val="24"/>
                <w:u w:val="single"/>
                <w:lang w:eastAsia="en-US"/>
              </w:rPr>
              <w:t>першого ступеня</w:t>
            </w:r>
            <w:r w:rsidR="00686A9B">
              <w:rPr>
                <w:b/>
                <w:sz w:val="28"/>
                <w:szCs w:val="28"/>
                <w:lang w:eastAsia="en-US"/>
              </w:rPr>
              <w:t xml:space="preserve"> </w:t>
            </w:r>
            <w:r w:rsidR="00686A9B">
              <w:rPr>
                <w:b/>
                <w:sz w:val="24"/>
                <w:szCs w:val="24"/>
                <w:lang w:eastAsia="en-US"/>
              </w:rPr>
              <w:lastRenderedPageBreak/>
              <w:t>приєднання питома вартість приєднання 1 кВт потужності електроустановок замовника</w:t>
            </w:r>
            <w:r w:rsidR="00686A9B">
              <w:rPr>
                <w:sz w:val="22"/>
                <w:szCs w:val="22"/>
                <w:lang w:eastAsia="en-US"/>
              </w:rPr>
              <w:t xml:space="preserve"> </w:t>
            </w:r>
            <w:r w:rsidR="00686A9B">
              <w:rPr>
                <w:b/>
                <w:sz w:val="24"/>
                <w:szCs w:val="24"/>
                <w:lang w:eastAsia="en-US"/>
              </w:rPr>
              <w:t>визначена згідно з додатком 9 до цієї Методики станом на 01 січня 2025 року;</w:t>
            </w:r>
          </w:p>
          <w:p w:rsidR="00686A9B" w:rsidRDefault="00686A9B" w:rsidP="008E4104">
            <w:pPr>
              <w:widowControl w:val="0"/>
              <w:ind w:firstLine="578"/>
              <w:jc w:val="both"/>
              <w:rPr>
                <w:b/>
                <w:sz w:val="24"/>
                <w:szCs w:val="24"/>
              </w:rPr>
            </w:pPr>
            <w:r>
              <w:rPr>
                <w:b/>
                <w:sz w:val="24"/>
                <w:szCs w:val="24"/>
                <w:lang w:eastAsia="en-US"/>
              </w:rPr>
              <w:t>К</w:t>
            </w:r>
            <w:r>
              <w:rPr>
                <w:b/>
                <w:sz w:val="24"/>
                <w:szCs w:val="24"/>
                <w:vertAlign w:val="subscript"/>
                <w:lang w:eastAsia="en-US"/>
              </w:rPr>
              <w:t>інд</w:t>
            </w:r>
            <w:r>
              <w:rPr>
                <w:b/>
                <w:sz w:val="24"/>
                <w:szCs w:val="24"/>
                <w:lang w:eastAsia="en-US"/>
              </w:rPr>
              <w:t xml:space="preserve"> - 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p w:rsidR="00686A9B" w:rsidRDefault="00686A9B" w:rsidP="008E4104">
            <w:pPr>
              <w:widowControl w:val="0"/>
              <w:ind w:firstLine="578"/>
              <w:jc w:val="both"/>
            </w:pPr>
            <w:r>
              <w:rPr>
                <w:sz w:val="24"/>
                <w:szCs w:val="24"/>
                <w:lang w:eastAsia="en-US"/>
              </w:rPr>
              <w:t>Кк - коефіцієнт категорії надійності електропостачання (</w:t>
            </w:r>
            <w:hyperlink r:id="rId24" w:anchor="n152" w:history="1">
              <w:r>
                <w:rPr>
                  <w:sz w:val="24"/>
                  <w:szCs w:val="24"/>
                  <w:lang w:eastAsia="en-US"/>
                </w:rPr>
                <w:t>додаток 3</w:t>
              </w:r>
            </w:hyperlink>
            <w:r>
              <w:rPr>
                <w:sz w:val="24"/>
                <w:szCs w:val="24"/>
                <w:lang w:eastAsia="en-US"/>
              </w:rPr>
              <w:t xml:space="preserve"> до цієї Методики);</w:t>
            </w:r>
          </w:p>
          <w:p w:rsidR="00686A9B" w:rsidRDefault="00686A9B" w:rsidP="008E4104">
            <w:pPr>
              <w:widowControl w:val="0"/>
              <w:ind w:firstLine="578"/>
              <w:jc w:val="both"/>
            </w:pPr>
            <w:r>
              <w:rPr>
                <w:sz w:val="24"/>
                <w:szCs w:val="24"/>
                <w:lang w:eastAsia="en-US"/>
              </w:rPr>
              <w:t>Кн - коефіцієнт ступеня напруги в точці приєднання (0,4 (0,23), 6(10)20 кВ) (</w:t>
            </w:r>
            <w:hyperlink r:id="rId25" w:anchor="n155" w:history="1">
              <w:r>
                <w:rPr>
                  <w:sz w:val="24"/>
                  <w:szCs w:val="24"/>
                  <w:lang w:eastAsia="en-US"/>
                </w:rPr>
                <w:t>додаток 4</w:t>
              </w:r>
            </w:hyperlink>
            <w:r>
              <w:rPr>
                <w:sz w:val="24"/>
                <w:szCs w:val="24"/>
                <w:lang w:eastAsia="en-US"/>
              </w:rPr>
              <w:t xml:space="preserve"> до цієї Методики);</w:t>
            </w:r>
          </w:p>
          <w:p w:rsidR="00686A9B" w:rsidRDefault="00686A9B" w:rsidP="008E4104">
            <w:pPr>
              <w:widowControl w:val="0"/>
              <w:ind w:firstLine="578"/>
              <w:jc w:val="both"/>
            </w:pPr>
            <w:r>
              <w:rPr>
                <w:sz w:val="24"/>
                <w:szCs w:val="24"/>
                <w:lang w:eastAsia="en-US"/>
              </w:rPr>
              <w:t>Кф - коефіцієнт схеми електрозабезпечення (</w:t>
            </w:r>
            <w:hyperlink r:id="rId26" w:anchor="n158" w:history="1">
              <w:r>
                <w:rPr>
                  <w:sz w:val="24"/>
                  <w:szCs w:val="24"/>
                  <w:lang w:eastAsia="en-US"/>
                </w:rPr>
                <w:t>додаток 5</w:t>
              </w:r>
            </w:hyperlink>
            <w:r>
              <w:rPr>
                <w:sz w:val="24"/>
                <w:szCs w:val="24"/>
                <w:lang w:eastAsia="en-US"/>
              </w:rPr>
              <w:t xml:space="preserve"> до цієї Методики);</w:t>
            </w:r>
          </w:p>
          <w:p w:rsidR="00686A9B" w:rsidRDefault="00686A9B" w:rsidP="008E4104">
            <w:pPr>
              <w:widowControl w:val="0"/>
              <w:ind w:firstLine="578"/>
              <w:jc w:val="both"/>
              <w:rPr>
                <w:b/>
                <w:bCs/>
                <w:sz w:val="24"/>
                <w:szCs w:val="24"/>
              </w:rPr>
            </w:pPr>
          </w:p>
          <w:p w:rsidR="00686A9B" w:rsidRPr="000D57A8" w:rsidRDefault="00686A9B" w:rsidP="008E4104">
            <w:pPr>
              <w:widowControl w:val="0"/>
              <w:ind w:firstLine="578"/>
              <w:jc w:val="both"/>
              <w:rPr>
                <w:b/>
                <w:bCs/>
                <w:color w:val="0070C0"/>
                <w:sz w:val="24"/>
                <w:szCs w:val="24"/>
              </w:rPr>
            </w:pPr>
            <w:bookmarkStart w:id="4" w:name="_Hlk161074294"/>
            <w:bookmarkEnd w:id="4"/>
            <w:r w:rsidRPr="000D57A8">
              <w:rPr>
                <w:b/>
                <w:bCs/>
                <w:color w:val="0070C0"/>
                <w:sz w:val="24"/>
                <w:szCs w:val="24"/>
                <w:lang w:eastAsia="en-US"/>
              </w:rPr>
              <w:lastRenderedPageBreak/>
              <w:t xml:space="preserve">для </w:t>
            </w:r>
            <w:r w:rsidRPr="000D57A8">
              <w:rPr>
                <w:b/>
                <w:bCs/>
                <w:color w:val="0070C0"/>
                <w:sz w:val="24"/>
                <w:szCs w:val="24"/>
                <w:u w:val="single"/>
                <w:lang w:eastAsia="en-US"/>
              </w:rPr>
              <w:t>другого ступеня</w:t>
            </w:r>
            <w:r w:rsidRPr="000D57A8">
              <w:rPr>
                <w:b/>
                <w:bCs/>
                <w:color w:val="0070C0"/>
                <w:sz w:val="24"/>
                <w:szCs w:val="24"/>
                <w:lang w:eastAsia="en-US"/>
              </w:rPr>
              <w:t xml:space="preserve"> приєднання </w:t>
            </w:r>
          </w:p>
          <w:p w:rsidR="00686A9B" w:rsidRPr="00D056E7" w:rsidRDefault="00686A9B" w:rsidP="008E4104">
            <w:pPr>
              <w:contextualSpacing/>
              <w:jc w:val="both"/>
              <w:rPr>
                <w:b/>
                <w:sz w:val="24"/>
                <w:szCs w:val="24"/>
                <w:u w:val="single"/>
              </w:rPr>
            </w:pPr>
            <w:r>
              <w:rPr>
                <w:noProof/>
              </w:rPr>
              <w:drawing>
                <wp:inline distT="0" distB="0" distL="0" distR="0" wp14:anchorId="727DB184" wp14:editId="5B100724">
                  <wp:extent cx="2732567" cy="520065"/>
                  <wp:effectExtent l="0" t="0" r="0" b="0"/>
                  <wp:docPr id="15" name="Зображення1" descr="https://zakon.rada.gov.ua/laws/file/imgs/98/p480243n325-4.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Зображення1" descr="https://zakon.rada.gov.ua/laws/file/imgs/98/p480243n325-4.gif">
                            <a:hlinkClick r:id="rId27"/>
                          </pic:cNvPr>
                          <pic:cNvPicPr>
                            <a:picLocks noChangeAspect="1" noChangeArrowheads="1"/>
                          </pic:cNvPicPr>
                        </pic:nvPicPr>
                        <pic:blipFill>
                          <a:blip r:embed="rId28"/>
                          <a:stretch>
                            <a:fillRect/>
                          </a:stretch>
                        </pic:blipFill>
                        <pic:spPr bwMode="auto">
                          <a:xfrm>
                            <a:off x="0" y="0"/>
                            <a:ext cx="2786175" cy="530268"/>
                          </a:xfrm>
                          <a:prstGeom prst="rect">
                            <a:avLst/>
                          </a:prstGeom>
                        </pic:spPr>
                      </pic:pic>
                    </a:graphicData>
                  </a:graphic>
                </wp:inline>
              </w:drawing>
            </w:r>
          </w:p>
        </w:tc>
        <w:tc>
          <w:tcPr>
            <w:tcW w:w="3685" w:type="dxa"/>
          </w:tcPr>
          <w:p w:rsidR="00686A9B" w:rsidRDefault="00686A9B" w:rsidP="008E4104">
            <w:pPr>
              <w:widowControl w:val="0"/>
              <w:ind w:firstLine="589"/>
              <w:jc w:val="both"/>
              <w:rPr>
                <w:sz w:val="24"/>
                <w:szCs w:val="24"/>
              </w:rPr>
            </w:pPr>
            <w:r>
              <w:rPr>
                <w:sz w:val="24"/>
                <w:szCs w:val="24"/>
                <w:lang w:eastAsia="en-US"/>
              </w:rPr>
              <w:lastRenderedPageBreak/>
              <w:t xml:space="preserve">Пропонуємо </w:t>
            </w:r>
            <w:r>
              <w:rPr>
                <w:b/>
                <w:bCs/>
                <w:sz w:val="24"/>
                <w:szCs w:val="24"/>
                <w:lang w:eastAsia="en-US"/>
              </w:rPr>
              <w:t>першу ступінь</w:t>
            </w:r>
            <w:r>
              <w:rPr>
                <w:sz w:val="24"/>
                <w:szCs w:val="24"/>
                <w:lang w:eastAsia="en-US"/>
              </w:rPr>
              <w:t xml:space="preserve"> приєднання вважати соціальною та встановлювати  НКРЕКП, а </w:t>
            </w:r>
            <w:r>
              <w:rPr>
                <w:b/>
                <w:bCs/>
                <w:sz w:val="24"/>
                <w:szCs w:val="24"/>
                <w:lang w:eastAsia="en-US"/>
              </w:rPr>
              <w:t xml:space="preserve">другу ступінь </w:t>
            </w:r>
            <w:r>
              <w:rPr>
                <w:sz w:val="24"/>
                <w:szCs w:val="24"/>
                <w:lang w:eastAsia="en-US"/>
              </w:rPr>
              <w:t>економічно обгрунтованою</w:t>
            </w:r>
            <w:r>
              <w:rPr>
                <w:b/>
                <w:bCs/>
                <w:sz w:val="24"/>
                <w:szCs w:val="24"/>
                <w:lang w:eastAsia="en-US"/>
              </w:rPr>
              <w:t xml:space="preserve"> </w:t>
            </w:r>
            <w:r>
              <w:rPr>
                <w:sz w:val="24"/>
                <w:szCs w:val="24"/>
                <w:lang w:eastAsia="en-US"/>
              </w:rPr>
              <w:t>та розраховувати виходячи із фактичних витрат, о</w:t>
            </w:r>
            <w:r>
              <w:rPr>
                <w:color w:val="000000"/>
                <w:sz w:val="24"/>
                <w:szCs w:val="24"/>
                <w:lang w:eastAsia="en-US"/>
              </w:rPr>
              <w:t xml:space="preserve">скільки приєднання другого ступеню  є </w:t>
            </w:r>
            <w:r>
              <w:rPr>
                <w:color w:val="000000"/>
                <w:sz w:val="24"/>
                <w:szCs w:val="24"/>
                <w:lang w:eastAsia="en-US"/>
              </w:rPr>
              <w:lastRenderedPageBreak/>
              <w:t xml:space="preserve">найбільш дефіцитним. </w:t>
            </w:r>
          </w:p>
          <w:p w:rsidR="00686A9B" w:rsidRDefault="00686A9B" w:rsidP="008E4104">
            <w:pPr>
              <w:widowControl w:val="0"/>
              <w:ind w:firstLine="589"/>
              <w:jc w:val="both"/>
              <w:rPr>
                <w:sz w:val="24"/>
                <w:szCs w:val="24"/>
              </w:rPr>
            </w:pPr>
            <w:r>
              <w:rPr>
                <w:color w:val="000000"/>
                <w:sz w:val="24"/>
                <w:szCs w:val="24"/>
                <w:lang w:eastAsia="en-US"/>
              </w:rPr>
              <w:t>При цьому надаємо розрахунок витрат за 2021 рак По АТ “Хмельницькобленерго”:</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cs="Calibri"/>
                <w:color w:val="000000"/>
                <w:sz w:val="24"/>
                <w:szCs w:val="24"/>
              </w:rPr>
              <w:t xml:space="preserve">ОСР в 2021р приєднало на </w:t>
            </w:r>
            <w:r>
              <w:rPr>
                <w:rFonts w:ascii="Times New Roman" w:hAnsi="Times New Roman" w:cs="Calibri"/>
                <w:b/>
                <w:bCs/>
                <w:color w:val="000000"/>
                <w:sz w:val="24"/>
                <w:szCs w:val="24"/>
              </w:rPr>
              <w:t xml:space="preserve">першому ступені </w:t>
            </w:r>
            <w:r>
              <w:rPr>
                <w:rFonts w:ascii="Times New Roman" w:hAnsi="Times New Roman" w:cs="Calibri"/>
                <w:color w:val="000000"/>
                <w:sz w:val="24"/>
                <w:szCs w:val="24"/>
              </w:rPr>
              <w:t>приєднання:</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cs="Calibri"/>
                <w:color w:val="000000"/>
                <w:sz w:val="24"/>
                <w:szCs w:val="24"/>
              </w:rPr>
              <w:t>- 1506 замовників ,</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cs="Calibri"/>
                <w:color w:val="000000"/>
                <w:sz w:val="24"/>
                <w:szCs w:val="24"/>
              </w:rPr>
              <w:t>- потужністю 10 441кВт</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sz w:val="24"/>
                <w:szCs w:val="24"/>
              </w:rPr>
              <w:t>- фактичні витрати на приєднання — 29 084,011 тис.грн. Без ПДВ</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sz w:val="24"/>
                <w:szCs w:val="24"/>
              </w:rPr>
              <w:t>- отримана плата за приєднання — 12 419,370 тис.грн без ПДВ</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cs="Calibri"/>
                <w:color w:val="000000"/>
                <w:sz w:val="24"/>
                <w:szCs w:val="24"/>
              </w:rPr>
              <w:t>- дефіцит коштів</w:t>
            </w:r>
          </w:p>
          <w:p w:rsidR="00686A9B" w:rsidRDefault="00686A9B" w:rsidP="008E4104">
            <w:pPr>
              <w:pStyle w:val="ae"/>
              <w:widowControl w:val="0"/>
              <w:spacing w:line="240" w:lineRule="auto"/>
              <w:jc w:val="both"/>
              <w:rPr>
                <w:rFonts w:ascii="Times New Roman" w:hAnsi="Times New Roman"/>
                <w:sz w:val="24"/>
                <w:szCs w:val="24"/>
              </w:rPr>
            </w:pPr>
            <w:r>
              <w:rPr>
                <w:rFonts w:ascii="Times New Roman" w:hAnsi="Times New Roman" w:cs="Calibri"/>
                <w:color w:val="000000"/>
                <w:sz w:val="24"/>
                <w:szCs w:val="24"/>
              </w:rPr>
              <w:t xml:space="preserve"> “</w:t>
            </w:r>
            <w:r>
              <w:rPr>
                <w:rFonts w:ascii="Times New Roman" w:hAnsi="Times New Roman" w:cs="Calibri"/>
                <w:b/>
                <w:bCs/>
                <w:color w:val="000000"/>
                <w:sz w:val="24"/>
                <w:szCs w:val="24"/>
              </w:rPr>
              <w:t>— 16 664,641” тис.грн</w:t>
            </w:r>
          </w:p>
          <w:p w:rsidR="00686A9B" w:rsidRDefault="00686A9B" w:rsidP="008E4104">
            <w:pPr>
              <w:widowControl w:val="0"/>
              <w:jc w:val="both"/>
              <w:rPr>
                <w:sz w:val="24"/>
                <w:szCs w:val="24"/>
              </w:rPr>
            </w:pPr>
            <w:r>
              <w:rPr>
                <w:rFonts w:cs="Calibri"/>
                <w:color w:val="000000"/>
                <w:sz w:val="24"/>
                <w:szCs w:val="24"/>
              </w:rPr>
              <w:t xml:space="preserve">ОСР в 2021р приєднало на </w:t>
            </w:r>
            <w:r>
              <w:rPr>
                <w:rFonts w:cs="Calibri"/>
                <w:b/>
                <w:bCs/>
                <w:color w:val="000000"/>
                <w:sz w:val="24"/>
                <w:szCs w:val="24"/>
              </w:rPr>
              <w:t xml:space="preserve">другому ступені </w:t>
            </w:r>
            <w:r>
              <w:rPr>
                <w:rFonts w:cs="Calibri"/>
                <w:color w:val="000000"/>
                <w:sz w:val="24"/>
                <w:szCs w:val="24"/>
              </w:rPr>
              <w:t>приєднання:</w:t>
            </w:r>
          </w:p>
          <w:p w:rsidR="00686A9B" w:rsidRDefault="00686A9B" w:rsidP="008E4104">
            <w:pPr>
              <w:widowControl w:val="0"/>
              <w:jc w:val="both"/>
              <w:rPr>
                <w:sz w:val="24"/>
                <w:szCs w:val="24"/>
              </w:rPr>
            </w:pPr>
            <w:r>
              <w:rPr>
                <w:rFonts w:cs="Calibri"/>
                <w:color w:val="000000"/>
                <w:sz w:val="24"/>
                <w:szCs w:val="24"/>
              </w:rPr>
              <w:t>- 885 замовників ,</w:t>
            </w:r>
          </w:p>
          <w:p w:rsidR="00686A9B" w:rsidRDefault="00686A9B" w:rsidP="008E4104">
            <w:pPr>
              <w:widowControl w:val="0"/>
              <w:jc w:val="both"/>
              <w:rPr>
                <w:sz w:val="24"/>
                <w:szCs w:val="24"/>
              </w:rPr>
            </w:pPr>
            <w:r>
              <w:rPr>
                <w:rFonts w:cs="Calibri"/>
                <w:color w:val="000000"/>
                <w:sz w:val="24"/>
                <w:szCs w:val="24"/>
              </w:rPr>
              <w:t>- потужністю 24 884,410кВт</w:t>
            </w:r>
          </w:p>
          <w:p w:rsidR="00686A9B" w:rsidRDefault="00686A9B" w:rsidP="008E4104">
            <w:pPr>
              <w:widowControl w:val="0"/>
              <w:tabs>
                <w:tab w:val="left" w:pos="288"/>
              </w:tabs>
              <w:jc w:val="both"/>
              <w:rPr>
                <w:rFonts w:cs="Calibri"/>
                <w:color w:val="000000"/>
                <w:sz w:val="24"/>
                <w:szCs w:val="24"/>
              </w:rPr>
            </w:pPr>
            <w:r>
              <w:rPr>
                <w:rFonts w:cs="Calibri"/>
                <w:color w:val="000000"/>
                <w:sz w:val="24"/>
                <w:szCs w:val="24"/>
              </w:rPr>
              <w:t>- фактичні витрати на приєднання — 85 226,295  тис.грн. Без ПДВ</w:t>
            </w:r>
          </w:p>
          <w:p w:rsidR="00686A9B" w:rsidRDefault="00686A9B" w:rsidP="008E4104">
            <w:pPr>
              <w:widowControl w:val="0"/>
              <w:jc w:val="both"/>
              <w:rPr>
                <w:rFonts w:cs="Calibri"/>
                <w:color w:val="000000"/>
                <w:sz w:val="24"/>
                <w:szCs w:val="24"/>
              </w:rPr>
            </w:pPr>
            <w:r>
              <w:rPr>
                <w:rFonts w:cs="Calibri"/>
                <w:color w:val="000000"/>
                <w:sz w:val="24"/>
                <w:szCs w:val="24"/>
              </w:rPr>
              <w:t>- отримана плата за приєднання — 29 907,901 тис.грн без ПДВ</w:t>
            </w:r>
          </w:p>
          <w:p w:rsidR="00686A9B" w:rsidRDefault="00686A9B" w:rsidP="008E4104">
            <w:pPr>
              <w:widowControl w:val="0"/>
              <w:jc w:val="both"/>
              <w:rPr>
                <w:sz w:val="24"/>
                <w:szCs w:val="24"/>
              </w:rPr>
            </w:pPr>
            <w:r>
              <w:rPr>
                <w:rFonts w:cs="Calibri"/>
                <w:bCs/>
                <w:color w:val="000000"/>
                <w:sz w:val="24"/>
                <w:szCs w:val="24"/>
              </w:rPr>
              <w:t>- дефіцит коштів</w:t>
            </w:r>
          </w:p>
          <w:p w:rsidR="00686A9B" w:rsidRDefault="00686A9B" w:rsidP="008E4104">
            <w:pPr>
              <w:ind w:firstLine="567"/>
              <w:jc w:val="both"/>
              <w:rPr>
                <w:sz w:val="24"/>
                <w:szCs w:val="24"/>
              </w:rPr>
            </w:pPr>
            <w:r>
              <w:rPr>
                <w:rFonts w:cs="Calibri"/>
                <w:bCs/>
                <w:color w:val="000000"/>
                <w:sz w:val="24"/>
                <w:szCs w:val="24"/>
              </w:rPr>
              <w:t xml:space="preserve"> “</w:t>
            </w:r>
            <w:r>
              <w:rPr>
                <w:rFonts w:cs="Calibri"/>
                <w:b/>
                <w:bCs/>
                <w:color w:val="000000"/>
                <w:sz w:val="24"/>
                <w:szCs w:val="24"/>
              </w:rPr>
              <w:t>— 55 318,394” тис.грн</w:t>
            </w:r>
          </w:p>
        </w:tc>
        <w:tc>
          <w:tcPr>
            <w:tcW w:w="3119" w:type="dxa"/>
          </w:tcPr>
          <w:p w:rsidR="00686A9B" w:rsidRDefault="00686A9B"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Pr="004F3A51" w:rsidRDefault="005E0659" w:rsidP="008E4104">
            <w:pPr>
              <w:jc w:val="both"/>
              <w:rPr>
                <w:b/>
                <w:sz w:val="24"/>
                <w:szCs w:val="24"/>
                <w:lang w:eastAsia="uk-UA"/>
              </w:rPr>
            </w:pPr>
            <w:r>
              <w:rPr>
                <w:b/>
                <w:sz w:val="24"/>
                <w:szCs w:val="24"/>
                <w:lang w:eastAsia="uk-UA"/>
              </w:rPr>
              <w:t>Пропонується відхилити</w:t>
            </w:r>
          </w:p>
        </w:tc>
      </w:tr>
      <w:tr w:rsidR="00686A9B" w:rsidRPr="004F3A51" w:rsidTr="00F05B07">
        <w:trPr>
          <w:trHeight w:val="218"/>
        </w:trPr>
        <w:tc>
          <w:tcPr>
            <w:tcW w:w="4395" w:type="dxa"/>
            <w:vMerge/>
          </w:tcPr>
          <w:p w:rsidR="00686A9B" w:rsidRPr="00EF1540" w:rsidRDefault="00686A9B" w:rsidP="008E4104">
            <w:pPr>
              <w:ind w:firstLine="589"/>
              <w:jc w:val="both"/>
              <w:rPr>
                <w:sz w:val="24"/>
                <w:szCs w:val="24"/>
              </w:rPr>
            </w:pPr>
          </w:p>
        </w:tc>
        <w:tc>
          <w:tcPr>
            <w:tcW w:w="4394" w:type="dxa"/>
          </w:tcPr>
          <w:p w:rsidR="00686A9B" w:rsidRPr="00EC7B35" w:rsidRDefault="00686A9B" w:rsidP="008E4104">
            <w:pPr>
              <w:ind w:firstLine="224"/>
              <w:contextualSpacing/>
              <w:jc w:val="both"/>
              <w:rPr>
                <w:b/>
                <w:sz w:val="24"/>
                <w:szCs w:val="24"/>
                <w:u w:val="single"/>
              </w:rPr>
            </w:pPr>
            <w:r w:rsidRPr="00EC7B35">
              <w:rPr>
                <w:b/>
                <w:sz w:val="24"/>
                <w:szCs w:val="24"/>
                <w:u w:val="single"/>
              </w:rPr>
              <w:t>АТ «Прикарпаттяобленерго»</w:t>
            </w:r>
          </w:p>
          <w:p w:rsidR="00686A9B" w:rsidRPr="008E4104" w:rsidRDefault="00686A9B" w:rsidP="008E4104">
            <w:pPr>
              <w:ind w:firstLine="224"/>
              <w:contextualSpacing/>
              <w:jc w:val="both"/>
              <w:rPr>
                <w:b/>
                <w:sz w:val="24"/>
                <w:szCs w:val="24"/>
              </w:rPr>
            </w:pPr>
            <w:r w:rsidRPr="008E4104">
              <w:rPr>
                <w:b/>
                <w:sz w:val="24"/>
                <w:szCs w:val="24"/>
              </w:rPr>
              <w:t xml:space="preserve">Пункт 3.2 </w:t>
            </w:r>
            <w:r>
              <w:rPr>
                <w:b/>
                <w:sz w:val="24"/>
                <w:szCs w:val="24"/>
              </w:rPr>
              <w:t>д</w:t>
            </w:r>
            <w:r w:rsidRPr="008E4104">
              <w:rPr>
                <w:b/>
                <w:sz w:val="24"/>
                <w:szCs w:val="24"/>
              </w:rPr>
              <w:t>опрацювати або вилучити</w:t>
            </w:r>
          </w:p>
        </w:tc>
        <w:tc>
          <w:tcPr>
            <w:tcW w:w="3685" w:type="dxa"/>
          </w:tcPr>
          <w:p w:rsidR="00686A9B" w:rsidRPr="008E4104" w:rsidRDefault="00686A9B" w:rsidP="008E4104">
            <w:pPr>
              <w:ind w:firstLine="182"/>
              <w:jc w:val="both"/>
              <w:rPr>
                <w:sz w:val="24"/>
                <w:szCs w:val="24"/>
              </w:rPr>
            </w:pPr>
            <w:r w:rsidRPr="008E4104">
              <w:rPr>
                <w:sz w:val="24"/>
                <w:szCs w:val="24"/>
              </w:rPr>
              <w:t xml:space="preserve">Методика  є нормативним документом, згідно якого визначається плата за приєднання як на період введення в Україні воєнного стану, так і після нього. </w:t>
            </w:r>
          </w:p>
          <w:p w:rsidR="00686A9B" w:rsidRDefault="00686A9B" w:rsidP="008E4104">
            <w:pPr>
              <w:widowControl w:val="0"/>
              <w:ind w:firstLine="182"/>
              <w:jc w:val="both"/>
              <w:rPr>
                <w:sz w:val="24"/>
                <w:szCs w:val="24"/>
                <w:lang w:eastAsia="en-US"/>
              </w:rPr>
            </w:pPr>
            <w:r w:rsidRPr="008E4104">
              <w:rPr>
                <w:sz w:val="24"/>
                <w:szCs w:val="24"/>
              </w:rPr>
              <w:t xml:space="preserve">Величину </w:t>
            </w: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Pr="008E4104">
              <w:rPr>
                <w:rFonts w:eastAsiaTheme="minorEastAsia"/>
                <w:b/>
                <w:sz w:val="24"/>
                <w:szCs w:val="24"/>
              </w:rPr>
              <w:t xml:space="preserve"> на сьогодні визначено окремою постановою НКРЕКП яка регулює порядок дій по приєднання на період воєнного стану. Пропонуємо або долучити порядок визначення </w:t>
            </w: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Pr="008E4104">
              <w:rPr>
                <w:rFonts w:eastAsiaTheme="minorEastAsia"/>
                <w:b/>
                <w:sz w:val="24"/>
                <w:szCs w:val="24"/>
              </w:rPr>
              <w:t xml:space="preserve"> в Методику окремим розділом (з врахуванням коефіцієнтів інфляції та ринкових цін на матеріали та обладнання), або не вводити його в Методику</w:t>
            </w:r>
          </w:p>
        </w:tc>
        <w:tc>
          <w:tcPr>
            <w:tcW w:w="3119" w:type="dxa"/>
          </w:tcPr>
          <w:p w:rsidR="00686A9B" w:rsidRPr="004F3A51" w:rsidRDefault="005E0659" w:rsidP="008E4104">
            <w:pPr>
              <w:jc w:val="both"/>
              <w:rPr>
                <w:b/>
                <w:sz w:val="24"/>
                <w:szCs w:val="24"/>
                <w:lang w:eastAsia="uk-UA"/>
              </w:rPr>
            </w:pPr>
            <w:r>
              <w:rPr>
                <w:b/>
                <w:sz w:val="24"/>
                <w:szCs w:val="24"/>
                <w:lang w:eastAsia="uk-UA"/>
              </w:rPr>
              <w:t>Пропонується відхилити</w:t>
            </w:r>
          </w:p>
        </w:tc>
      </w:tr>
      <w:tr w:rsidR="00686A9B" w:rsidRPr="004F3A51" w:rsidTr="00F05B07">
        <w:trPr>
          <w:trHeight w:val="218"/>
        </w:trPr>
        <w:tc>
          <w:tcPr>
            <w:tcW w:w="4395" w:type="dxa"/>
            <w:vMerge/>
          </w:tcPr>
          <w:p w:rsidR="00686A9B" w:rsidRPr="00EF1540" w:rsidRDefault="00686A9B" w:rsidP="008E4104">
            <w:pPr>
              <w:ind w:firstLine="589"/>
              <w:jc w:val="both"/>
              <w:rPr>
                <w:sz w:val="24"/>
                <w:szCs w:val="24"/>
              </w:rPr>
            </w:pPr>
          </w:p>
        </w:tc>
        <w:tc>
          <w:tcPr>
            <w:tcW w:w="4394" w:type="dxa"/>
          </w:tcPr>
          <w:p w:rsidR="00686A9B" w:rsidRDefault="00686A9B" w:rsidP="00686A9B">
            <w:pPr>
              <w:ind w:firstLine="224"/>
              <w:contextualSpacing/>
              <w:jc w:val="both"/>
              <w:rPr>
                <w:b/>
                <w:sz w:val="24"/>
                <w:szCs w:val="24"/>
                <w:u w:val="single"/>
              </w:rPr>
            </w:pPr>
            <w:r>
              <w:rPr>
                <w:b/>
                <w:sz w:val="24"/>
                <w:szCs w:val="24"/>
                <w:u w:val="single"/>
              </w:rPr>
              <w:t>ПрАТ «Львівобленерго»</w:t>
            </w:r>
          </w:p>
          <w:p w:rsidR="00686A9B" w:rsidRPr="00EC7B35" w:rsidRDefault="00686A9B" w:rsidP="008E4104">
            <w:pPr>
              <w:ind w:firstLine="224"/>
              <w:contextualSpacing/>
              <w:jc w:val="both"/>
              <w:rPr>
                <w:b/>
                <w:sz w:val="24"/>
                <w:szCs w:val="24"/>
                <w:u w:val="single"/>
              </w:rPr>
            </w:pPr>
            <w:r>
              <w:rPr>
                <w:sz w:val="24"/>
                <w:szCs w:val="24"/>
              </w:rPr>
              <w:t>Залишити чинну редакцію</w:t>
            </w:r>
          </w:p>
        </w:tc>
        <w:tc>
          <w:tcPr>
            <w:tcW w:w="3685" w:type="dxa"/>
          </w:tcPr>
          <w:p w:rsidR="00686A9B" w:rsidRPr="008E4104" w:rsidRDefault="00686A9B" w:rsidP="008E4104">
            <w:pPr>
              <w:ind w:firstLine="182"/>
              <w:jc w:val="both"/>
              <w:rPr>
                <w:sz w:val="24"/>
                <w:szCs w:val="24"/>
              </w:rPr>
            </w:pPr>
            <w:r>
              <w:rPr>
                <w:sz w:val="24"/>
                <w:szCs w:val="24"/>
              </w:rPr>
              <w:t>Не оприлюднена Методика розрахунку</w:t>
            </w:r>
            <w:r>
              <w:t xml:space="preserve"> </w:t>
            </w:r>
            <w:r>
              <w:rPr>
                <w:sz w:val="24"/>
                <w:szCs w:val="24"/>
              </w:rPr>
              <w:t>питомої вартості приєднання 1 кВт потужності електроустановок замовника стандартного приєднання, а відтак неможливо визначити чи вона відповідає реальним понесеним затратам компанії</w:t>
            </w:r>
          </w:p>
        </w:tc>
        <w:tc>
          <w:tcPr>
            <w:tcW w:w="3119" w:type="dxa"/>
          </w:tcPr>
          <w:p w:rsidR="00686A9B" w:rsidRPr="004F3A51" w:rsidRDefault="005E0659" w:rsidP="008E4104">
            <w:pPr>
              <w:jc w:val="both"/>
              <w:rPr>
                <w:b/>
                <w:sz w:val="24"/>
                <w:szCs w:val="24"/>
                <w:lang w:eastAsia="uk-UA"/>
              </w:rPr>
            </w:pPr>
            <w:r>
              <w:rPr>
                <w:b/>
                <w:sz w:val="24"/>
                <w:szCs w:val="24"/>
                <w:lang w:eastAsia="uk-UA"/>
              </w:rPr>
              <w:t>Пропонується відхилити</w:t>
            </w:r>
          </w:p>
        </w:tc>
      </w:tr>
      <w:tr w:rsidR="008E4104" w:rsidRPr="004F3A51" w:rsidTr="00F05B07">
        <w:trPr>
          <w:trHeight w:val="218"/>
        </w:trPr>
        <w:tc>
          <w:tcPr>
            <w:tcW w:w="4395" w:type="dxa"/>
          </w:tcPr>
          <w:p w:rsidR="008E4104" w:rsidRPr="00EF1540" w:rsidRDefault="008E4104" w:rsidP="008E4104">
            <w:pPr>
              <w:pStyle w:val="rvps2"/>
              <w:spacing w:before="0" w:beforeAutospacing="0" w:after="0" w:afterAutospacing="0"/>
              <w:ind w:firstLine="326"/>
              <w:jc w:val="both"/>
            </w:pPr>
            <w:r w:rsidRPr="00EF1540">
              <w:t xml:space="preserve">3.3. </w:t>
            </w:r>
            <w:bookmarkStart w:id="5" w:name="_Hlk161074586"/>
            <w:r w:rsidRPr="00EF1540">
              <w:t xml:space="preserve">Різниця між обсягом надходження коштів від надання послуг зі стандартних приєднань та фактичними </w:t>
            </w:r>
            <w:r w:rsidRPr="00EF1540">
              <w:lastRenderedPageBreak/>
              <w:t xml:space="preserve">витратами на приєднання </w:t>
            </w:r>
            <w:bookmarkStart w:id="6" w:name="_Hlk161406852"/>
            <m:oMath>
              <m:sSubSup>
                <m:sSubSupPr>
                  <m:ctrlPr>
                    <w:rPr>
                      <w:rFonts w:ascii="Cambria Math" w:hAnsi="Cambria Math"/>
                      <w:b/>
                    </w:rPr>
                  </m:ctrlPr>
                </m:sSubSupPr>
                <m:e>
                  <m:r>
                    <m:rPr>
                      <m:sty m:val="bi"/>
                    </m:rPr>
                    <w:rPr>
                      <w:rFonts w:ascii="Cambria Math" w:hAnsi="Cambria Math"/>
                    </w:rPr>
                    <m:t>∆</m:t>
                  </m:r>
                </m:e>
                <m:sub>
                  <m:r>
                    <m:rPr>
                      <m:sty m:val="bi"/>
                    </m:rPr>
                    <w:rPr>
                      <w:rFonts w:ascii="Cambria Math" w:hAnsi="Cambria Math"/>
                    </w:rPr>
                    <m:t>В</m:t>
                  </m:r>
                </m:sub>
                <m:sup>
                  <m:r>
                    <m:rPr>
                      <m:sty m:val="bi"/>
                    </m:rPr>
                    <w:rPr>
                      <w:rFonts w:ascii="Cambria Math" w:hAnsi="Cambria Math"/>
                    </w:rPr>
                    <m:t>місц</m:t>
                  </m:r>
                </m:sup>
              </m:sSubSup>
            </m:oMath>
            <w:bookmarkEnd w:id="6"/>
            <w:r w:rsidRPr="00EF1540">
              <w:t xml:space="preserve"> визначається окремо для міської та сільської місцевості за першим та другим ступенями стандартного приєднання за формулою</w:t>
            </w:r>
          </w:p>
          <w:bookmarkEnd w:id="5"/>
          <w:p w:rsidR="008E4104" w:rsidRDefault="008E4104" w:rsidP="008E4104">
            <w:pPr>
              <w:shd w:val="clear" w:color="auto" w:fill="FFFFFF"/>
              <w:ind w:firstLine="448"/>
              <w:jc w:val="both"/>
              <w:rPr>
                <w:sz w:val="24"/>
                <w:szCs w:val="24"/>
              </w:rPr>
            </w:pPr>
            <w:r>
              <w:rPr>
                <w:sz w:val="24"/>
                <w:szCs w:val="24"/>
              </w:rPr>
              <w:t>…</w:t>
            </w:r>
          </w:p>
          <w:tbl>
            <w:tblPr>
              <w:tblW w:w="4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6"/>
              <w:gridCol w:w="317"/>
              <w:gridCol w:w="3228"/>
            </w:tblGrid>
            <w:tr w:rsidR="008E4104" w:rsidRPr="00A17353" w:rsidTr="00F3198F">
              <w:tc>
                <w:tcPr>
                  <w:tcW w:w="566" w:type="dxa"/>
                </w:tcPr>
                <w:p w:rsidR="008E4104" w:rsidRDefault="008E4104" w:rsidP="00F8553D">
                  <w:pPr>
                    <w:framePr w:hSpace="180" w:wrap="around" w:vAnchor="text" w:hAnchor="margin" w:y="416"/>
                    <w:spacing w:before="100" w:beforeAutospacing="1" w:after="100" w:afterAutospacing="1"/>
                    <w:ind w:firstLine="3"/>
                    <w:jc w:val="both"/>
                    <w:rPr>
                      <w:b/>
                      <w:sz w:val="24"/>
                      <w:szCs w:val="28"/>
                      <w:vertAlign w:val="subscript"/>
                    </w:rPr>
                  </w:pPr>
                  <w:r w:rsidRPr="00A17353">
                    <w:rPr>
                      <w:b/>
                      <w:sz w:val="24"/>
                      <w:szCs w:val="28"/>
                    </w:rPr>
                    <w:t>К</w:t>
                  </w:r>
                  <w:r w:rsidRPr="00A17353">
                    <w:rPr>
                      <w:b/>
                      <w:sz w:val="24"/>
                      <w:szCs w:val="28"/>
                      <w:vertAlign w:val="subscript"/>
                    </w:rPr>
                    <w:t>ДД</w:t>
                  </w: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Default="008E4104" w:rsidP="00F8553D">
                  <w:pPr>
                    <w:framePr w:hSpace="180" w:wrap="around" w:vAnchor="text" w:hAnchor="margin" w:y="416"/>
                    <w:spacing w:before="100" w:beforeAutospacing="1" w:after="100" w:afterAutospacing="1"/>
                    <w:ind w:firstLine="3"/>
                    <w:jc w:val="both"/>
                    <w:rPr>
                      <w:noProof/>
                      <w:sz w:val="24"/>
                      <w:szCs w:val="24"/>
                    </w:rPr>
                  </w:pPr>
                </w:p>
                <w:p w:rsidR="008E4104" w:rsidRPr="00EF1540" w:rsidRDefault="008E4104" w:rsidP="00F8553D">
                  <w:pPr>
                    <w:framePr w:hSpace="180" w:wrap="around" w:vAnchor="text" w:hAnchor="margin" w:y="416"/>
                    <w:spacing w:before="100" w:beforeAutospacing="1" w:after="100" w:afterAutospacing="1"/>
                    <w:ind w:firstLine="3"/>
                    <w:jc w:val="both"/>
                    <w:rPr>
                      <w:noProof/>
                      <w:sz w:val="24"/>
                      <w:szCs w:val="24"/>
                    </w:rPr>
                  </w:pPr>
                </w:p>
              </w:tc>
              <w:tc>
                <w:tcPr>
                  <w:tcW w:w="317" w:type="dxa"/>
                </w:tcPr>
                <w:p w:rsidR="008E4104" w:rsidRPr="00EF1540" w:rsidRDefault="008E4104" w:rsidP="00F8553D">
                  <w:pPr>
                    <w:framePr w:hSpace="180" w:wrap="around" w:vAnchor="text" w:hAnchor="margin" w:y="416"/>
                    <w:spacing w:before="100" w:beforeAutospacing="1" w:after="100" w:afterAutospacing="1"/>
                    <w:ind w:firstLine="26"/>
                    <w:jc w:val="both"/>
                    <w:rPr>
                      <w:sz w:val="24"/>
                      <w:szCs w:val="24"/>
                    </w:rPr>
                  </w:pPr>
                  <w:r>
                    <w:rPr>
                      <w:sz w:val="24"/>
                      <w:szCs w:val="24"/>
                    </w:rPr>
                    <w:t>-</w:t>
                  </w:r>
                </w:p>
              </w:tc>
              <w:tc>
                <w:tcPr>
                  <w:tcW w:w="3228"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4"/>
                    <w:gridCol w:w="849"/>
                  </w:tblGrid>
                  <w:tr w:rsidR="008E4104" w:rsidRPr="00A17353" w:rsidTr="00F3198F">
                    <w:tc>
                      <w:tcPr>
                        <w:tcW w:w="2264" w:type="dxa"/>
                      </w:tcPr>
                      <w:p w:rsidR="008E4104" w:rsidRPr="00A17353" w:rsidRDefault="008E4104" w:rsidP="00F8553D">
                        <w:pPr>
                          <w:pStyle w:val="rvps14"/>
                          <w:framePr w:hSpace="180" w:wrap="around" w:vAnchor="text" w:hAnchor="margin" w:y="416"/>
                          <w:spacing w:before="0" w:beforeAutospacing="0" w:after="0" w:afterAutospacing="0"/>
                          <w:ind w:right="-108" w:firstLine="326"/>
                          <w:jc w:val="center"/>
                          <w:rPr>
                            <w:b/>
                            <w:szCs w:val="28"/>
                          </w:rPr>
                        </w:pPr>
                        <w:r w:rsidRPr="00A17353">
                          <w:rPr>
                            <w:b/>
                            <w:szCs w:val="28"/>
                          </w:rPr>
                          <w:t>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інформація**, %</w:t>
                        </w:r>
                      </w:p>
                    </w:tc>
                    <w:tc>
                      <w:tcPr>
                        <w:tcW w:w="849" w:type="dxa"/>
                      </w:tcPr>
                      <w:p w:rsidR="008E4104" w:rsidRPr="00A17353" w:rsidRDefault="008E4104" w:rsidP="00F8553D">
                        <w:pPr>
                          <w:pStyle w:val="rvps14"/>
                          <w:framePr w:hSpace="180" w:wrap="around" w:vAnchor="text" w:hAnchor="margin" w:y="416"/>
                          <w:spacing w:before="0" w:beforeAutospacing="0" w:after="0" w:afterAutospacing="0"/>
                          <w:ind w:firstLine="42"/>
                          <w:jc w:val="center"/>
                          <w:rPr>
                            <w:b/>
                            <w:szCs w:val="28"/>
                          </w:rPr>
                        </w:pPr>
                        <w:r w:rsidRPr="00A17353">
                          <w:rPr>
                            <w:b/>
                            <w:noProof/>
                            <w:szCs w:val="28"/>
                          </w:rPr>
                          <w:t>К</w:t>
                        </w:r>
                        <w:r w:rsidRPr="00A17353">
                          <w:rPr>
                            <w:b/>
                            <w:noProof/>
                            <w:szCs w:val="28"/>
                            <w:vertAlign w:val="subscript"/>
                          </w:rPr>
                          <w:t>ДД</w:t>
                        </w:r>
                      </w:p>
                    </w:tc>
                  </w:tr>
                  <w:tr w:rsidR="008E4104" w:rsidRPr="00A17353" w:rsidTr="00F3198F">
                    <w:tc>
                      <w:tcPr>
                        <w:tcW w:w="2264" w:type="dxa"/>
                      </w:tcPr>
                      <w:p w:rsidR="008E4104" w:rsidRPr="00A17353" w:rsidRDefault="008E4104" w:rsidP="00F8553D">
                        <w:pPr>
                          <w:pStyle w:val="rvps14"/>
                          <w:framePr w:hSpace="180" w:wrap="around" w:vAnchor="text" w:hAnchor="margin" w:y="416"/>
                          <w:spacing w:before="0" w:beforeAutospacing="0" w:after="0" w:afterAutospacing="0"/>
                          <w:ind w:right="531"/>
                          <w:rPr>
                            <w:b/>
                            <w:szCs w:val="28"/>
                          </w:rPr>
                        </w:pPr>
                        <w:r w:rsidRPr="00A17353">
                          <w:rPr>
                            <w:b/>
                            <w:szCs w:val="28"/>
                          </w:rPr>
                          <w:t>до 0,5 (включно)</w:t>
                        </w:r>
                      </w:p>
                    </w:tc>
                    <w:tc>
                      <w:tcPr>
                        <w:tcW w:w="849" w:type="dxa"/>
                      </w:tcPr>
                      <w:p w:rsidR="008E4104" w:rsidRPr="00A17353" w:rsidRDefault="008E4104" w:rsidP="00F8553D">
                        <w:pPr>
                          <w:pStyle w:val="rvps14"/>
                          <w:framePr w:hSpace="180" w:wrap="around" w:vAnchor="text" w:hAnchor="margin" w:y="416"/>
                          <w:spacing w:before="0" w:beforeAutospacing="0" w:after="0" w:afterAutospacing="0"/>
                          <w:ind w:firstLine="42"/>
                          <w:jc w:val="center"/>
                          <w:rPr>
                            <w:b/>
                            <w:szCs w:val="28"/>
                          </w:rPr>
                        </w:pPr>
                        <w:r w:rsidRPr="00A17353">
                          <w:rPr>
                            <w:b/>
                            <w:szCs w:val="28"/>
                          </w:rPr>
                          <w:t>0,05</w:t>
                        </w:r>
                      </w:p>
                    </w:tc>
                  </w:tr>
                  <w:tr w:rsidR="008E4104" w:rsidRPr="00A17353" w:rsidTr="00F3198F">
                    <w:tc>
                      <w:tcPr>
                        <w:tcW w:w="2264" w:type="dxa"/>
                      </w:tcPr>
                      <w:p w:rsidR="008E4104" w:rsidRPr="00A17353" w:rsidRDefault="008E4104" w:rsidP="00F8553D">
                        <w:pPr>
                          <w:pStyle w:val="rvps14"/>
                          <w:framePr w:hSpace="180" w:wrap="around" w:vAnchor="text" w:hAnchor="margin" w:y="416"/>
                          <w:spacing w:before="0" w:beforeAutospacing="0" w:after="0" w:afterAutospacing="0"/>
                          <w:ind w:right="531"/>
                          <w:rPr>
                            <w:b/>
                            <w:szCs w:val="28"/>
                          </w:rPr>
                        </w:pPr>
                        <w:r w:rsidRPr="00647D68">
                          <w:rPr>
                            <w:b/>
                            <w:szCs w:val="28"/>
                            <w:lang w:val="ru-RU"/>
                          </w:rPr>
                          <w:t>в</w:t>
                        </w:r>
                        <w:r w:rsidRPr="00A17353">
                          <w:rPr>
                            <w:b/>
                            <w:szCs w:val="28"/>
                          </w:rPr>
                          <w:t>ід 0,5 до 1,5 (включно)</w:t>
                        </w:r>
                      </w:p>
                    </w:tc>
                    <w:tc>
                      <w:tcPr>
                        <w:tcW w:w="849" w:type="dxa"/>
                      </w:tcPr>
                      <w:p w:rsidR="008E4104" w:rsidRPr="00A17353" w:rsidRDefault="008E4104" w:rsidP="00F8553D">
                        <w:pPr>
                          <w:pStyle w:val="rvps14"/>
                          <w:framePr w:hSpace="180" w:wrap="around" w:vAnchor="text" w:hAnchor="margin" w:y="416"/>
                          <w:spacing w:before="0" w:beforeAutospacing="0" w:after="0" w:afterAutospacing="0"/>
                          <w:ind w:firstLine="42"/>
                          <w:jc w:val="center"/>
                          <w:rPr>
                            <w:b/>
                            <w:szCs w:val="28"/>
                          </w:rPr>
                        </w:pPr>
                        <w:r w:rsidRPr="00A17353">
                          <w:rPr>
                            <w:b/>
                            <w:szCs w:val="28"/>
                          </w:rPr>
                          <w:t>0,10</w:t>
                        </w:r>
                      </w:p>
                    </w:tc>
                  </w:tr>
                  <w:tr w:rsidR="008E4104" w:rsidRPr="00A17353" w:rsidTr="00F3198F">
                    <w:tc>
                      <w:tcPr>
                        <w:tcW w:w="2264" w:type="dxa"/>
                      </w:tcPr>
                      <w:p w:rsidR="008E4104" w:rsidRPr="00A17353" w:rsidRDefault="008E4104" w:rsidP="00F8553D">
                        <w:pPr>
                          <w:pStyle w:val="rvps14"/>
                          <w:framePr w:hSpace="180" w:wrap="around" w:vAnchor="text" w:hAnchor="margin" w:y="416"/>
                          <w:spacing w:before="0" w:beforeAutospacing="0" w:after="0" w:afterAutospacing="0"/>
                          <w:ind w:right="531"/>
                          <w:rPr>
                            <w:b/>
                            <w:szCs w:val="28"/>
                          </w:rPr>
                        </w:pPr>
                        <w:r w:rsidRPr="00647D68">
                          <w:rPr>
                            <w:b/>
                            <w:szCs w:val="28"/>
                            <w:lang w:val="ru-RU"/>
                          </w:rPr>
                          <w:t>в</w:t>
                        </w:r>
                        <w:r w:rsidRPr="00A17353">
                          <w:rPr>
                            <w:b/>
                            <w:szCs w:val="28"/>
                          </w:rPr>
                          <w:t>ід 1,5 до 3 (включно)</w:t>
                        </w:r>
                      </w:p>
                    </w:tc>
                    <w:tc>
                      <w:tcPr>
                        <w:tcW w:w="849" w:type="dxa"/>
                      </w:tcPr>
                      <w:p w:rsidR="008E4104" w:rsidRPr="00A17353" w:rsidRDefault="008E4104" w:rsidP="00F8553D">
                        <w:pPr>
                          <w:pStyle w:val="rvps14"/>
                          <w:framePr w:hSpace="180" w:wrap="around" w:vAnchor="text" w:hAnchor="margin" w:y="416"/>
                          <w:spacing w:before="0" w:beforeAutospacing="0" w:after="0" w:afterAutospacing="0"/>
                          <w:ind w:firstLine="42"/>
                          <w:jc w:val="center"/>
                          <w:rPr>
                            <w:b/>
                            <w:szCs w:val="28"/>
                          </w:rPr>
                        </w:pPr>
                        <w:r w:rsidRPr="00A17353">
                          <w:rPr>
                            <w:b/>
                            <w:szCs w:val="28"/>
                          </w:rPr>
                          <w:t>0,15</w:t>
                        </w:r>
                      </w:p>
                    </w:tc>
                  </w:tr>
                  <w:tr w:rsidR="008E4104" w:rsidRPr="00A17353" w:rsidTr="00F3198F">
                    <w:tc>
                      <w:tcPr>
                        <w:tcW w:w="2264" w:type="dxa"/>
                      </w:tcPr>
                      <w:p w:rsidR="008E4104" w:rsidRPr="00A17353" w:rsidRDefault="008E4104" w:rsidP="00F8553D">
                        <w:pPr>
                          <w:pStyle w:val="rvps14"/>
                          <w:framePr w:hSpace="180" w:wrap="around" w:vAnchor="text" w:hAnchor="margin" w:y="416"/>
                          <w:spacing w:before="0" w:beforeAutospacing="0" w:after="0" w:afterAutospacing="0"/>
                          <w:ind w:right="531"/>
                          <w:rPr>
                            <w:b/>
                            <w:szCs w:val="28"/>
                          </w:rPr>
                        </w:pPr>
                        <w:r w:rsidRPr="00A17353">
                          <w:rPr>
                            <w:b/>
                            <w:szCs w:val="28"/>
                          </w:rPr>
                          <w:t>більше 3</w:t>
                        </w:r>
                      </w:p>
                    </w:tc>
                    <w:tc>
                      <w:tcPr>
                        <w:tcW w:w="849" w:type="dxa"/>
                      </w:tcPr>
                      <w:p w:rsidR="008E4104" w:rsidRPr="00A17353" w:rsidRDefault="008E4104" w:rsidP="00F8553D">
                        <w:pPr>
                          <w:pStyle w:val="rvps14"/>
                          <w:framePr w:hSpace="180" w:wrap="around" w:vAnchor="text" w:hAnchor="margin" w:y="416"/>
                          <w:spacing w:before="0" w:beforeAutospacing="0" w:after="0" w:afterAutospacing="0"/>
                          <w:ind w:firstLine="42"/>
                          <w:jc w:val="center"/>
                          <w:rPr>
                            <w:b/>
                            <w:szCs w:val="28"/>
                          </w:rPr>
                        </w:pPr>
                        <w:r w:rsidRPr="00A17353">
                          <w:rPr>
                            <w:b/>
                            <w:szCs w:val="28"/>
                          </w:rPr>
                          <w:t>0,20</w:t>
                        </w:r>
                      </w:p>
                    </w:tc>
                  </w:tr>
                </w:tbl>
                <w:p w:rsidR="008E4104" w:rsidRPr="00A17353" w:rsidRDefault="008E4104" w:rsidP="00F8553D">
                  <w:pPr>
                    <w:framePr w:hSpace="180" w:wrap="around" w:vAnchor="text" w:hAnchor="margin" w:y="416"/>
                    <w:ind w:firstLine="590"/>
                    <w:jc w:val="both"/>
                    <w:rPr>
                      <w:b/>
                      <w:sz w:val="24"/>
                      <w:szCs w:val="24"/>
                    </w:rPr>
                  </w:pPr>
                  <w:r w:rsidRPr="00A17353">
                    <w:rPr>
                      <w:b/>
                      <w:sz w:val="24"/>
                      <w:szCs w:val="24"/>
                    </w:rPr>
                    <w:t>Примітки:</w:t>
                  </w:r>
                </w:p>
                <w:p w:rsidR="008E4104" w:rsidRPr="00A17353" w:rsidRDefault="008E4104" w:rsidP="00F8553D">
                  <w:pPr>
                    <w:framePr w:hSpace="180" w:wrap="around" w:vAnchor="text" w:hAnchor="margin" w:y="416"/>
                    <w:ind w:firstLine="590"/>
                    <w:jc w:val="both"/>
                    <w:rPr>
                      <w:b/>
                      <w:sz w:val="24"/>
                      <w:szCs w:val="24"/>
                    </w:rPr>
                  </w:pPr>
                  <w:r w:rsidRPr="00A17353">
                    <w:rPr>
                      <w:b/>
                      <w:sz w:val="24"/>
                      <w:szCs w:val="24"/>
                    </w:rPr>
                    <w:t xml:space="preserve">* – у звіті щодо надання послуг з приєднань за формою, наведеною в додатку 1 до цієї Методики, </w:t>
                  </w:r>
                  <w:r w:rsidRPr="00A17353">
                    <w:rPr>
                      <w:b/>
                      <w:sz w:val="24"/>
                      <w:szCs w:val="24"/>
                    </w:rPr>
                    <w:lastRenderedPageBreak/>
                    <w:t>що наданий оператором системи до 01 лютого/ в інформації для розрахунку коефіцієнта оптимізації коштів щодо витрат, пов'язаних з наданням послуг зі стандартних приєднань електроустановок замовників до електричних мереж)</w:t>
                  </w:r>
                </w:p>
                <w:p w:rsidR="008E4104" w:rsidRPr="00A17353" w:rsidRDefault="008E4104" w:rsidP="00F8553D">
                  <w:pPr>
                    <w:framePr w:hSpace="180" w:wrap="around" w:vAnchor="text" w:hAnchor="margin" w:y="416"/>
                    <w:ind w:firstLine="590"/>
                    <w:jc w:val="both"/>
                    <w:rPr>
                      <w:b/>
                      <w:sz w:val="24"/>
                      <w:szCs w:val="24"/>
                    </w:rPr>
                  </w:pPr>
                  <w:r w:rsidRPr="00A17353">
                    <w:rPr>
                      <w:b/>
                      <w:sz w:val="24"/>
                      <w:szCs w:val="24"/>
                    </w:rPr>
                    <w:t>** – без урахування надання операторами систем скоригованих даних.</w:t>
                  </w:r>
                </w:p>
              </w:tc>
            </w:tr>
          </w:tbl>
          <w:p w:rsidR="008E4104" w:rsidRDefault="008E4104" w:rsidP="008E4104">
            <w:pPr>
              <w:shd w:val="clear" w:color="auto" w:fill="FFFFFF"/>
              <w:ind w:firstLine="448"/>
              <w:jc w:val="both"/>
              <w:rPr>
                <w:sz w:val="24"/>
                <w:szCs w:val="24"/>
              </w:rPr>
            </w:pPr>
          </w:p>
        </w:tc>
        <w:tc>
          <w:tcPr>
            <w:tcW w:w="4394" w:type="dxa"/>
          </w:tcPr>
          <w:p w:rsidR="00686A9B" w:rsidRDefault="008E4104" w:rsidP="00686A9B">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w:t>
            </w:r>
            <w:r>
              <w:rPr>
                <w:b/>
                <w:sz w:val="24"/>
                <w:szCs w:val="24"/>
                <w:u w:val="single"/>
              </w:rPr>
              <w:lastRenderedPageBreak/>
              <w:t xml:space="preserve">«ДТЕК Київські електромережі», ПрАТ «ДТЕК Київські регіональні електромережі», АТ «ДТЕК Одеські електромережі», </w:t>
            </w:r>
            <w:r w:rsidRPr="00D056E7">
              <w:rPr>
                <w:b/>
                <w:sz w:val="24"/>
                <w:szCs w:val="24"/>
                <w:u w:val="single"/>
              </w:rPr>
              <w:t>ГС «Розумні електромережі України»</w:t>
            </w:r>
            <w:r>
              <w:rPr>
                <w:b/>
                <w:sz w:val="24"/>
                <w:szCs w:val="24"/>
                <w:u w:val="single"/>
              </w:rPr>
              <w:t xml:space="preserve">,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r w:rsidR="00686A9B">
              <w:rPr>
                <w:b/>
                <w:sz w:val="24"/>
                <w:szCs w:val="24"/>
                <w:u w:val="single"/>
              </w:rPr>
              <w:t>, ПрАТ «Львівобленерго»</w:t>
            </w:r>
          </w:p>
          <w:p w:rsidR="008E4104" w:rsidRDefault="008E4104" w:rsidP="008E4104">
            <w:pPr>
              <w:ind w:firstLine="224"/>
              <w:contextualSpacing/>
              <w:jc w:val="both"/>
              <w:rPr>
                <w:b/>
                <w:sz w:val="24"/>
                <w:szCs w:val="24"/>
                <w:u w:val="single"/>
              </w:rPr>
            </w:pPr>
          </w:p>
          <w:p w:rsidR="008E4104" w:rsidRDefault="008E4104" w:rsidP="008E4104">
            <w:pPr>
              <w:ind w:firstLine="224"/>
              <w:contextualSpacing/>
              <w:jc w:val="both"/>
              <w:rPr>
                <w:b/>
                <w:sz w:val="24"/>
                <w:szCs w:val="24"/>
                <w:u w:val="single"/>
              </w:rPr>
            </w:pPr>
          </w:p>
          <w:p w:rsidR="008E4104" w:rsidRPr="00F05B07" w:rsidRDefault="008E4104" w:rsidP="008E4104">
            <w:pPr>
              <w:ind w:firstLine="224"/>
              <w:contextualSpacing/>
              <w:jc w:val="both"/>
              <w:rPr>
                <w:b/>
                <w:sz w:val="24"/>
                <w:szCs w:val="24"/>
                <w:u w:val="single"/>
              </w:rPr>
            </w:pPr>
          </w:p>
          <w:p w:rsidR="008E4104" w:rsidRPr="00F3198F" w:rsidRDefault="008E4104" w:rsidP="008E4104">
            <w:pPr>
              <w:ind w:firstLine="224"/>
              <w:contextualSpacing/>
              <w:jc w:val="both"/>
              <w:rPr>
                <w:b/>
                <w:sz w:val="24"/>
                <w:szCs w:val="24"/>
              </w:rPr>
            </w:pPr>
            <w:r w:rsidRPr="00F3198F">
              <w:rPr>
                <w:b/>
                <w:sz w:val="24"/>
                <w:szCs w:val="24"/>
              </w:rPr>
              <w:t>Вилучити КДД з формули</w:t>
            </w:r>
          </w:p>
        </w:tc>
        <w:tc>
          <w:tcPr>
            <w:tcW w:w="3685" w:type="dxa"/>
          </w:tcPr>
          <w:p w:rsidR="008E4104" w:rsidRPr="00F05B07" w:rsidRDefault="008E4104"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w:t>
            </w:r>
            <w:r>
              <w:rPr>
                <w:b/>
                <w:sz w:val="24"/>
                <w:szCs w:val="24"/>
                <w:u w:val="single"/>
              </w:rPr>
              <w:lastRenderedPageBreak/>
              <w:t>ПрАТ «ДТЕК Київські електромережі», ПрАТ «ДТЕК Київські регіональні електромережі», АТ «ДТЕК Одеські електромережі»</w:t>
            </w:r>
          </w:p>
          <w:p w:rsidR="008E4104" w:rsidRPr="000B2616" w:rsidRDefault="008E4104" w:rsidP="008E4104">
            <w:pPr>
              <w:pStyle w:val="a6"/>
              <w:ind w:firstLine="324"/>
              <w:jc w:val="both"/>
              <w:rPr>
                <w:rStyle w:val="cf01"/>
                <w:rFonts w:ascii="Times New Roman" w:hAnsi="Times New Roman" w:cs="Times New Roman"/>
                <w:sz w:val="24"/>
                <w:szCs w:val="24"/>
              </w:rPr>
            </w:pPr>
            <w:r w:rsidRPr="000B2616">
              <w:rPr>
                <w:rStyle w:val="cf01"/>
                <w:rFonts w:ascii="Times New Roman" w:hAnsi="Times New Roman" w:cs="Times New Roman"/>
                <w:sz w:val="24"/>
                <w:szCs w:val="24"/>
              </w:rPr>
              <w:t>Недостовірність даних не має впливати на розрахунок дефіциту-профіциту</w:t>
            </w:r>
          </w:p>
          <w:p w:rsidR="008E4104" w:rsidRDefault="008E4104" w:rsidP="008E4104">
            <w:pPr>
              <w:pStyle w:val="a6"/>
              <w:ind w:firstLine="324"/>
              <w:jc w:val="both"/>
              <w:rPr>
                <w:rStyle w:val="cf01"/>
                <w:rFonts w:ascii="Times New Roman" w:hAnsi="Times New Roman" w:cs="Times New Roman"/>
                <w:sz w:val="24"/>
                <w:szCs w:val="24"/>
              </w:rPr>
            </w:pPr>
            <w:r w:rsidRPr="000B2616">
              <w:rPr>
                <w:rStyle w:val="cf01"/>
                <w:rFonts w:ascii="Times New Roman" w:hAnsi="Times New Roman" w:cs="Times New Roman"/>
                <w:sz w:val="24"/>
                <w:szCs w:val="24"/>
              </w:rPr>
              <w:t>Не визначено критерії які данні вважаються достовірними а які недостовірні.</w:t>
            </w:r>
          </w:p>
          <w:p w:rsidR="008E4104" w:rsidRDefault="008E4104" w:rsidP="008E4104">
            <w:pPr>
              <w:ind w:firstLine="224"/>
              <w:contextualSpacing/>
              <w:jc w:val="both"/>
              <w:rPr>
                <w:b/>
                <w:sz w:val="24"/>
                <w:szCs w:val="24"/>
                <w:u w:val="single"/>
              </w:rPr>
            </w:pPr>
            <w:r w:rsidRPr="00D056E7">
              <w:rPr>
                <w:b/>
                <w:sz w:val="24"/>
                <w:szCs w:val="24"/>
                <w:u w:val="single"/>
              </w:rPr>
              <w:t>ГС «Розумні електромережі України»</w:t>
            </w:r>
          </w:p>
          <w:p w:rsidR="008E4104" w:rsidRPr="00D056E7" w:rsidRDefault="008E4104" w:rsidP="008E4104">
            <w:pPr>
              <w:ind w:firstLine="224"/>
              <w:contextualSpacing/>
              <w:jc w:val="both"/>
              <w:rPr>
                <w:rStyle w:val="cf01"/>
                <w:rFonts w:ascii="Times New Roman" w:hAnsi="Times New Roman" w:cs="Times New Roman"/>
                <w:b/>
                <w:sz w:val="24"/>
                <w:szCs w:val="24"/>
                <w:u w:val="single"/>
              </w:rPr>
            </w:pPr>
            <w:r>
              <w:rPr>
                <w:rStyle w:val="cf01"/>
                <w:rFonts w:ascii="Times New Roman" w:hAnsi="Times New Roman" w:cs="Times New Roman"/>
                <w:sz w:val="24"/>
                <w:szCs w:val="24"/>
              </w:rPr>
              <w:t xml:space="preserve">Розрахунок дефіциту/ профіциту відображає реальну кількість грошових коштів за результатами діяльності з приєднання електроустановок споживачів та не повинен залежати від «умовного» чинника, достовірність і правильність якого ще повинна додатково підтверджуватися. </w:t>
            </w:r>
          </w:p>
          <w:p w:rsidR="008E4104" w:rsidRDefault="008E4104" w:rsidP="008E4104">
            <w:pPr>
              <w:pStyle w:val="a6"/>
              <w:ind w:firstLine="324"/>
              <w:jc w:val="both"/>
              <w:rPr>
                <w:rStyle w:val="cf01"/>
                <w:rFonts w:ascii="Times New Roman" w:hAnsi="Times New Roman" w:cs="Times New Roman"/>
                <w:sz w:val="24"/>
                <w:szCs w:val="24"/>
              </w:rPr>
            </w:pPr>
            <w:r>
              <w:rPr>
                <w:rStyle w:val="cf01"/>
                <w:rFonts w:ascii="Times New Roman" w:hAnsi="Times New Roman" w:cs="Times New Roman"/>
                <w:sz w:val="24"/>
                <w:szCs w:val="24"/>
              </w:rPr>
              <w:t>Більше того, наразі немає методології чи критеріїв визначення недостовірності інформації щодо приєднань, яка надається операторами.</w:t>
            </w:r>
          </w:p>
          <w:p w:rsidR="008E4104" w:rsidRPr="000B2616" w:rsidRDefault="008E4104" w:rsidP="008E4104">
            <w:pPr>
              <w:pStyle w:val="a6"/>
              <w:ind w:firstLine="324"/>
              <w:jc w:val="both"/>
              <w:rPr>
                <w:rStyle w:val="cf01"/>
                <w:rFonts w:ascii="Times New Roman" w:hAnsi="Times New Roman" w:cs="Times New Roman"/>
                <w:sz w:val="24"/>
                <w:szCs w:val="24"/>
              </w:rPr>
            </w:pPr>
          </w:p>
          <w:p w:rsidR="008E4104" w:rsidRPr="00F3198F" w:rsidRDefault="008E4104" w:rsidP="008E4104">
            <w:pPr>
              <w:jc w:val="both"/>
              <w:rPr>
                <w:sz w:val="24"/>
                <w:szCs w:val="24"/>
                <w:lang w:val="ru-RU"/>
              </w:rPr>
            </w:pPr>
          </w:p>
        </w:tc>
        <w:tc>
          <w:tcPr>
            <w:tcW w:w="3119" w:type="dxa"/>
          </w:tcPr>
          <w:p w:rsidR="008E4104" w:rsidRDefault="008E4104"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2D02AC" w:rsidRPr="00165FA5" w:rsidRDefault="005E0659" w:rsidP="008E4104">
            <w:pPr>
              <w:jc w:val="both"/>
              <w:rPr>
                <w:b/>
                <w:sz w:val="24"/>
                <w:szCs w:val="24"/>
                <w:lang w:val="en-US" w:eastAsia="uk-UA"/>
              </w:rPr>
            </w:pPr>
            <w:r>
              <w:rPr>
                <w:b/>
                <w:sz w:val="24"/>
                <w:szCs w:val="24"/>
                <w:lang w:eastAsia="uk-UA"/>
              </w:rPr>
              <w:t>Пропонується відхилити</w:t>
            </w:r>
            <w:r w:rsidRPr="00F200D1">
              <w:rPr>
                <w:b/>
                <w:sz w:val="24"/>
                <w:szCs w:val="24"/>
                <w:highlight w:val="yellow"/>
                <w:lang w:val="en-US" w:eastAsia="uk-UA"/>
              </w:rPr>
              <w:t xml:space="preserve"> </w:t>
            </w:r>
          </w:p>
        </w:tc>
      </w:tr>
      <w:tr w:rsidR="009F0239" w:rsidRPr="004F3A51" w:rsidTr="00F05B07">
        <w:trPr>
          <w:trHeight w:val="218"/>
        </w:trPr>
        <w:tc>
          <w:tcPr>
            <w:tcW w:w="4395" w:type="dxa"/>
          </w:tcPr>
          <w:p w:rsidR="009F0239" w:rsidRDefault="009F0239" w:rsidP="008E4104">
            <w:pPr>
              <w:ind w:firstLine="447"/>
              <w:jc w:val="both"/>
              <w:rPr>
                <w:b/>
                <w:sz w:val="24"/>
                <w:szCs w:val="24"/>
              </w:rPr>
            </w:pPr>
            <w:bookmarkStart w:id="7" w:name="_Hlk161075746"/>
            <w:r w:rsidRPr="00EF1540">
              <w:rPr>
                <w:sz w:val="24"/>
                <w:szCs w:val="24"/>
              </w:rPr>
              <w:lastRenderedPageBreak/>
              <w:t xml:space="preserve">3.4. Для розрахунку </w:t>
            </w:r>
            <w:r w:rsidRPr="00EF1540">
              <w:rPr>
                <w:strike/>
                <w:sz w:val="24"/>
                <w:szCs w:val="24"/>
              </w:rPr>
              <w:t>ставок плати за стандартне приєднання та</w:t>
            </w:r>
            <w:r w:rsidRPr="00EF1540">
              <w:rPr>
                <w:sz w:val="24"/>
                <w:szCs w:val="24"/>
              </w:rPr>
              <w:t xml:space="preserve"> величини дефіциту або профіциту коштів щодо надходжень та витрат, пов'язаних з наданням послуг зі стандартних приєднань, оператор системи розподілу формує </w:t>
            </w:r>
            <w:r w:rsidRPr="00EF1540">
              <w:rPr>
                <w:strike/>
                <w:sz w:val="24"/>
                <w:szCs w:val="24"/>
              </w:rPr>
              <w:t>розширений</w:t>
            </w:r>
            <w:r w:rsidRPr="00EF1540">
              <w:rPr>
                <w:sz w:val="24"/>
                <w:szCs w:val="24"/>
              </w:rPr>
              <w:t xml:space="preserve"> звіт за формою, наведеною в додатку 1 до цієї Методики </w:t>
            </w:r>
            <w:r w:rsidRPr="00EF1540">
              <w:rPr>
                <w:strike/>
                <w:sz w:val="24"/>
                <w:szCs w:val="24"/>
              </w:rPr>
              <w:t>(з урахуванням граф 64-108)</w:t>
            </w:r>
            <w:r w:rsidRPr="00EF1540">
              <w:rPr>
                <w:sz w:val="24"/>
                <w:szCs w:val="24"/>
              </w:rPr>
              <w:t>, із зазначенням фактичних витрат (без ПДВ) на приєднання електроустановок замовників, які за ознаками відповідають першому та другому ступеням стандартного приєднання, та пояснювальну записку, що містить обґрунтування витрат.</w:t>
            </w:r>
            <w:bookmarkEnd w:id="7"/>
          </w:p>
        </w:tc>
        <w:tc>
          <w:tcPr>
            <w:tcW w:w="4394" w:type="dxa"/>
          </w:tcPr>
          <w:p w:rsidR="009F0239" w:rsidRPr="00EC7B35" w:rsidRDefault="009F0239" w:rsidP="009F0239">
            <w:pPr>
              <w:ind w:firstLine="224"/>
              <w:contextualSpacing/>
              <w:jc w:val="both"/>
              <w:rPr>
                <w:b/>
                <w:sz w:val="24"/>
                <w:szCs w:val="24"/>
                <w:u w:val="single"/>
              </w:rPr>
            </w:pPr>
            <w:r w:rsidRPr="00EC7B35">
              <w:rPr>
                <w:b/>
                <w:sz w:val="24"/>
                <w:szCs w:val="24"/>
                <w:u w:val="single"/>
              </w:rPr>
              <w:t>АТ «Прикарпаттяобленерго»</w:t>
            </w:r>
          </w:p>
          <w:p w:rsidR="009F0239" w:rsidRPr="00F05B07" w:rsidRDefault="009F0239" w:rsidP="008E4104">
            <w:pPr>
              <w:ind w:firstLine="224"/>
              <w:contextualSpacing/>
              <w:jc w:val="both"/>
              <w:rPr>
                <w:b/>
                <w:sz w:val="24"/>
                <w:szCs w:val="24"/>
                <w:u w:val="single"/>
              </w:rPr>
            </w:pPr>
            <w:r w:rsidRPr="00823F4E">
              <w:rPr>
                <w:sz w:val="24"/>
                <w:szCs w:val="24"/>
              </w:rPr>
              <w:t xml:space="preserve">3.4. Для розрахунку ставок плати за стандартне приєднання та величини дефіциту або профіциту коштів щодо надходжень та витрат, пов'язаних з наданням послуг зі стандартних приєднань, оператор системи розподілу формує розширений звіт за формою, наведеною в додатку 1 до цієї Методики (з урахуванням граф 64-108), із зазначенням фактичних витрат (без ПДВ) на приєднання електроустановок замовників, які за ознаками відповідають першому та другому ступеням стандартного приєднання, </w:t>
            </w:r>
            <w:r w:rsidRPr="009F0239">
              <w:rPr>
                <w:strike/>
                <w:color w:val="0070C0"/>
                <w:sz w:val="24"/>
                <w:szCs w:val="24"/>
              </w:rPr>
              <w:t>та пояснювальну записку, що містить обґрунтування витрат.</w:t>
            </w:r>
          </w:p>
        </w:tc>
        <w:tc>
          <w:tcPr>
            <w:tcW w:w="3685" w:type="dxa"/>
          </w:tcPr>
          <w:p w:rsidR="009F0239" w:rsidRPr="00861611" w:rsidRDefault="009F0239" w:rsidP="008E4104">
            <w:pPr>
              <w:pStyle w:val="a6"/>
              <w:jc w:val="both"/>
              <w:rPr>
                <w:lang w:val="uk-UA"/>
              </w:rPr>
            </w:pPr>
            <w:r w:rsidRPr="00823F4E">
              <w:t xml:space="preserve">ОСР не проводить розрахунок ставок плати за стандартне приєднання і відповідно не готує пояснювальну записку.  </w:t>
            </w:r>
          </w:p>
        </w:tc>
        <w:tc>
          <w:tcPr>
            <w:tcW w:w="3119" w:type="dxa"/>
          </w:tcPr>
          <w:p w:rsidR="009F0239" w:rsidRDefault="009F0239"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Default="00335D6A" w:rsidP="008E4104">
            <w:pPr>
              <w:jc w:val="both"/>
              <w:rPr>
                <w:b/>
                <w:sz w:val="24"/>
                <w:szCs w:val="24"/>
                <w:lang w:eastAsia="uk-UA"/>
              </w:rPr>
            </w:pPr>
          </w:p>
          <w:p w:rsidR="00335D6A" w:rsidRPr="004F3A51" w:rsidRDefault="00335D6A" w:rsidP="008E4104">
            <w:pPr>
              <w:jc w:val="both"/>
              <w:rPr>
                <w:b/>
                <w:sz w:val="24"/>
                <w:szCs w:val="24"/>
                <w:lang w:eastAsia="uk-UA"/>
              </w:rPr>
            </w:pPr>
            <w:r>
              <w:rPr>
                <w:b/>
                <w:sz w:val="24"/>
                <w:szCs w:val="24"/>
                <w:lang w:eastAsia="uk-UA"/>
              </w:rPr>
              <w:t>Пропонується врахувати</w:t>
            </w:r>
          </w:p>
        </w:tc>
      </w:tr>
      <w:tr w:rsidR="00E85CB2" w:rsidRPr="004F3A51" w:rsidTr="00F05B07">
        <w:trPr>
          <w:trHeight w:val="218"/>
        </w:trPr>
        <w:tc>
          <w:tcPr>
            <w:tcW w:w="4395" w:type="dxa"/>
            <w:vMerge w:val="restart"/>
          </w:tcPr>
          <w:p w:rsidR="00E85CB2" w:rsidRDefault="00E85CB2" w:rsidP="008E4104">
            <w:pPr>
              <w:ind w:firstLine="447"/>
              <w:jc w:val="both"/>
              <w:rPr>
                <w:b/>
                <w:sz w:val="24"/>
                <w:szCs w:val="24"/>
              </w:rPr>
            </w:pPr>
            <w:bookmarkStart w:id="8" w:name="_Hlk161075784"/>
          </w:p>
          <w:p w:rsidR="00E85CB2" w:rsidRDefault="00E85CB2" w:rsidP="008E4104">
            <w:pPr>
              <w:ind w:firstLine="447"/>
              <w:jc w:val="both"/>
              <w:rPr>
                <w:b/>
                <w:sz w:val="24"/>
                <w:szCs w:val="24"/>
              </w:rPr>
            </w:pPr>
          </w:p>
          <w:p w:rsidR="00E85CB2" w:rsidRPr="00EF1540" w:rsidRDefault="00E85CB2" w:rsidP="008E4104">
            <w:pPr>
              <w:ind w:firstLine="447"/>
              <w:jc w:val="both"/>
              <w:rPr>
                <w:sz w:val="24"/>
                <w:szCs w:val="24"/>
              </w:rPr>
            </w:pPr>
            <w:r w:rsidRPr="00A17353">
              <w:rPr>
                <w:b/>
                <w:sz w:val="24"/>
                <w:szCs w:val="24"/>
              </w:rPr>
              <w:lastRenderedPageBreak/>
              <w:t>3.6.</w:t>
            </w:r>
            <w:r w:rsidRPr="00EF1540">
              <w:rPr>
                <w:sz w:val="24"/>
                <w:szCs w:val="24"/>
              </w:rPr>
              <w:t xml:space="preserve"> Розрахунок коефіцієнта оптимізації </w:t>
            </w:r>
            <w:r w:rsidRPr="00EF1540">
              <w:rPr>
                <w:noProof/>
                <w:sz w:val="24"/>
                <w:szCs w:val="24"/>
              </w:rPr>
              <w:drawing>
                <wp:inline distT="0" distB="0" distL="0" distR="0" wp14:anchorId="79F32757" wp14:editId="003939C2">
                  <wp:extent cx="666750" cy="285750"/>
                  <wp:effectExtent l="0" t="0" r="0" b="0"/>
                  <wp:docPr id="9" name="Рисунок 9" descr="https://zakon.rada.gov.ua/laws/file/imgs/98/p480243n382-19.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sz w:val="24"/>
                <w:szCs w:val="24"/>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E85CB2" w:rsidRPr="00A17353" w:rsidRDefault="00E85CB2" w:rsidP="008E4104">
            <w:pPr>
              <w:ind w:firstLine="447"/>
              <w:jc w:val="both"/>
              <w:rPr>
                <w:b/>
                <w:sz w:val="24"/>
                <w:szCs w:val="24"/>
              </w:rPr>
            </w:pPr>
            <w:r w:rsidRPr="00A17353">
              <w:rPr>
                <w:sz w:val="24"/>
                <w:szCs w:val="24"/>
              </w:rPr>
              <w:t>Додатково проводиться окремий аналіз</w:t>
            </w:r>
            <w:r w:rsidRPr="00A17353">
              <w:rPr>
                <w:b/>
                <w:sz w:val="24"/>
                <w:szCs w:val="24"/>
              </w:rPr>
              <w:t xml:space="preserve"> не менш як по п’яти </w:t>
            </w:r>
            <w:r w:rsidRPr="00A17353">
              <w:rPr>
                <w:sz w:val="24"/>
                <w:szCs w:val="24"/>
              </w:rPr>
              <w:t>кошторисах з найбільшими витратами</w:t>
            </w:r>
            <w:r w:rsidRPr="00A17353">
              <w:rPr>
                <w:b/>
                <w:sz w:val="24"/>
                <w:szCs w:val="24"/>
              </w:rPr>
              <w:t>:</w:t>
            </w:r>
          </w:p>
          <w:p w:rsidR="00E85CB2" w:rsidRPr="00A17353" w:rsidRDefault="00E85CB2" w:rsidP="008E4104">
            <w:pPr>
              <w:ind w:firstLine="447"/>
              <w:jc w:val="both"/>
              <w:rPr>
                <w:b/>
                <w:sz w:val="24"/>
                <w:szCs w:val="24"/>
              </w:rPr>
            </w:pPr>
            <w:r w:rsidRPr="00A17353">
              <w:rPr>
                <w:b/>
                <w:sz w:val="24"/>
                <w:szCs w:val="24"/>
              </w:rPr>
              <w:t>для стандартних приєднань для міської та сільської місцевостей, виконаних підрядним способом;</w:t>
            </w:r>
          </w:p>
          <w:p w:rsidR="00E85CB2" w:rsidRPr="00A17353" w:rsidRDefault="00E85CB2" w:rsidP="008E4104">
            <w:pPr>
              <w:ind w:firstLine="447"/>
              <w:jc w:val="both"/>
              <w:rPr>
                <w:b/>
                <w:sz w:val="24"/>
                <w:szCs w:val="24"/>
              </w:rPr>
            </w:pPr>
            <w:r w:rsidRPr="00A17353">
              <w:rPr>
                <w:b/>
                <w:sz w:val="24"/>
                <w:szCs w:val="24"/>
              </w:rPr>
              <w:t>для стандартних приєднань для міської та сільської місцевостей, виконаних господарським способом.</w:t>
            </w:r>
          </w:p>
          <w:p w:rsidR="00E85CB2" w:rsidRDefault="00E85CB2" w:rsidP="008E4104">
            <w:pPr>
              <w:ind w:firstLine="447"/>
              <w:jc w:val="both"/>
              <w:rPr>
                <w:b/>
                <w:sz w:val="24"/>
                <w:szCs w:val="24"/>
              </w:rPr>
            </w:pPr>
            <w:r w:rsidRPr="00A17353">
              <w:rPr>
                <w:b/>
                <w:sz w:val="24"/>
                <w:szCs w:val="24"/>
              </w:rPr>
              <w:t>У разі, якщо фактична кількість наданих ОСР послуг зі стандартних приєднань у базовому періоді залежно від способу виконання та/або місцевості менша п’яти, аналіз по кошторисах виконаних приєднань проводиться по фактичній кількості наданих ОСР послуг зі стандартних приєднань у базовому періоді.</w:t>
            </w:r>
          </w:p>
          <w:p w:rsidR="00E85CB2" w:rsidRPr="00EF1540" w:rsidRDefault="00E85CB2" w:rsidP="008E4104">
            <w:pPr>
              <w:ind w:firstLine="447"/>
              <w:jc w:val="both"/>
              <w:rPr>
                <w:b/>
                <w:sz w:val="24"/>
                <w:szCs w:val="24"/>
              </w:rPr>
            </w:pPr>
            <w:r w:rsidRPr="00EF1540">
              <w:rPr>
                <w:sz w:val="24"/>
                <w:szCs w:val="24"/>
              </w:rPr>
              <w:t xml:space="preserve">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w:t>
            </w:r>
            <w:r w:rsidRPr="00EF1540">
              <w:rPr>
                <w:sz w:val="24"/>
                <w:szCs w:val="24"/>
              </w:rPr>
              <w:lastRenderedPageBreak/>
              <w:t>надання послуг з приєднань</w:t>
            </w:r>
            <w:r w:rsidRPr="00EF1540">
              <w:rPr>
                <w:b/>
                <w:sz w:val="24"/>
                <w:szCs w:val="24"/>
              </w:rPr>
              <w:t xml:space="preserve">, </w:t>
            </w:r>
            <w:r w:rsidRPr="001B16A7">
              <w:rPr>
                <w:b/>
                <w:sz w:val="24"/>
                <w:szCs w:val="24"/>
              </w:rPr>
              <w:t>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Pr="00EF1540">
              <w:rPr>
                <w:b/>
                <w:sz w:val="24"/>
                <w:szCs w:val="24"/>
              </w:rPr>
              <w:t>.</w:t>
            </w:r>
          </w:p>
          <w:p w:rsidR="00E85CB2" w:rsidRPr="00EF1540" w:rsidRDefault="00E85CB2" w:rsidP="008E4104">
            <w:pPr>
              <w:ind w:firstLine="447"/>
              <w:jc w:val="both"/>
              <w:rPr>
                <w:sz w:val="24"/>
                <w:szCs w:val="24"/>
              </w:rPr>
            </w:pPr>
            <w:r w:rsidRPr="00EF1540">
              <w:rPr>
                <w:sz w:val="24"/>
                <w:szCs w:val="24"/>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E85CB2" w:rsidRDefault="00E85CB2" w:rsidP="008E4104">
            <w:pPr>
              <w:shd w:val="clear" w:color="auto" w:fill="FFFFFF"/>
              <w:ind w:firstLine="448"/>
              <w:jc w:val="both"/>
              <w:rPr>
                <w:sz w:val="24"/>
                <w:szCs w:val="24"/>
              </w:rPr>
            </w:pPr>
            <w:r w:rsidRPr="00EF1540">
              <w:rPr>
                <w:sz w:val="24"/>
                <w:szCs w:val="24"/>
              </w:rPr>
              <w:t>Результати аналізу застосовуються пропорційно до кожного напряму для визначення 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bookmarkEnd w:id="8"/>
          </w:p>
        </w:tc>
        <w:tc>
          <w:tcPr>
            <w:tcW w:w="4394" w:type="dxa"/>
          </w:tcPr>
          <w:p w:rsidR="00E85CB2" w:rsidRPr="00F05B07" w:rsidRDefault="00E85CB2"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w:t>
            </w:r>
            <w:r>
              <w:rPr>
                <w:b/>
                <w:sz w:val="24"/>
                <w:szCs w:val="24"/>
                <w:u w:val="single"/>
              </w:rPr>
              <w:lastRenderedPageBreak/>
              <w:t>«ДТЕК Київські електромережі», АТ «ДТЕК Одеські електромережі»</w:t>
            </w:r>
          </w:p>
          <w:p w:rsidR="00E85CB2" w:rsidRDefault="00E85CB2" w:rsidP="008E4104">
            <w:pPr>
              <w:ind w:firstLine="317"/>
              <w:jc w:val="both"/>
              <w:rPr>
                <w:sz w:val="24"/>
                <w:szCs w:val="24"/>
              </w:rPr>
            </w:pPr>
            <w:r w:rsidRPr="00A17353">
              <w:rPr>
                <w:b/>
                <w:sz w:val="24"/>
                <w:szCs w:val="24"/>
              </w:rPr>
              <w:t>3.6.</w:t>
            </w:r>
            <w:r w:rsidRPr="00EF1540">
              <w:rPr>
                <w:sz w:val="24"/>
                <w:szCs w:val="24"/>
              </w:rPr>
              <w:t xml:space="preserve"> Розрахунок коефіцієнта оптимізації </w:t>
            </w:r>
            <w:r w:rsidRPr="00EF1540">
              <w:rPr>
                <w:noProof/>
                <w:sz w:val="24"/>
                <w:szCs w:val="24"/>
              </w:rPr>
              <w:drawing>
                <wp:inline distT="0" distB="0" distL="0" distR="0" wp14:anchorId="2E697269" wp14:editId="1E57030F">
                  <wp:extent cx="666750" cy="285750"/>
                  <wp:effectExtent l="0" t="0" r="0" b="0"/>
                  <wp:docPr id="3" name="Рисунок 3" descr="https://zakon.rada.gov.ua/laws/file/imgs/98/p480243n382-19.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sz w:val="24"/>
                <w:szCs w:val="24"/>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E85CB2" w:rsidRPr="00861611" w:rsidRDefault="00E85CB2" w:rsidP="008E4104">
            <w:pPr>
              <w:ind w:firstLine="317"/>
              <w:jc w:val="both"/>
              <w:rPr>
                <w:sz w:val="24"/>
                <w:szCs w:val="24"/>
              </w:rPr>
            </w:pPr>
            <w:r w:rsidRPr="00861611">
              <w:rPr>
                <w:sz w:val="24"/>
                <w:szCs w:val="24"/>
              </w:rPr>
              <w:t>Додатково проводиться окремий аналіз</w:t>
            </w:r>
            <w:r w:rsidRPr="000B2616">
              <w:rPr>
                <w:color w:val="C00000"/>
                <w:sz w:val="24"/>
                <w:szCs w:val="24"/>
              </w:rPr>
              <w:t xml:space="preserve"> </w:t>
            </w:r>
            <w:r w:rsidRPr="00861611">
              <w:rPr>
                <w:sz w:val="24"/>
                <w:szCs w:val="24"/>
              </w:rPr>
              <w:t xml:space="preserve">по кошторисах </w:t>
            </w:r>
            <w:r w:rsidRPr="00861611">
              <w:rPr>
                <w:b/>
                <w:color w:val="0070C0"/>
                <w:sz w:val="24"/>
                <w:szCs w:val="24"/>
              </w:rPr>
              <w:t>виконаних приєднань господарським і підрядним способами</w:t>
            </w:r>
            <w:r w:rsidRPr="000B2616">
              <w:rPr>
                <w:color w:val="C00000"/>
                <w:sz w:val="24"/>
                <w:szCs w:val="24"/>
              </w:rPr>
              <w:t xml:space="preserve"> </w:t>
            </w:r>
            <w:r w:rsidRPr="00861611">
              <w:rPr>
                <w:b/>
                <w:bCs/>
                <w:strike/>
                <w:color w:val="0070C0"/>
                <w:sz w:val="24"/>
                <w:szCs w:val="24"/>
              </w:rPr>
              <w:t>з найбільшими</w:t>
            </w:r>
            <w:r w:rsidRPr="00861611">
              <w:rPr>
                <w:color w:val="0070C0"/>
                <w:sz w:val="24"/>
                <w:szCs w:val="24"/>
              </w:rPr>
              <w:t xml:space="preserve"> </w:t>
            </w:r>
            <w:r w:rsidRPr="00861611">
              <w:rPr>
                <w:b/>
                <w:bCs/>
                <w:color w:val="0070C0"/>
                <w:sz w:val="24"/>
                <w:szCs w:val="24"/>
              </w:rPr>
              <w:t>усередненими</w:t>
            </w:r>
            <w:r w:rsidRPr="00861611">
              <w:rPr>
                <w:color w:val="0070C0"/>
                <w:sz w:val="24"/>
                <w:szCs w:val="24"/>
              </w:rPr>
              <w:t xml:space="preserve"> </w:t>
            </w:r>
            <w:r w:rsidRPr="00861611">
              <w:rPr>
                <w:sz w:val="24"/>
                <w:szCs w:val="24"/>
              </w:rPr>
              <w:t>витратами:</w:t>
            </w:r>
          </w:p>
          <w:p w:rsidR="00E85CB2" w:rsidRPr="00861611" w:rsidRDefault="00E85CB2" w:rsidP="008E4104">
            <w:pPr>
              <w:pStyle w:val="rvps2"/>
              <w:shd w:val="clear" w:color="auto" w:fill="FFFFFF"/>
              <w:spacing w:before="0" w:beforeAutospacing="0" w:after="0" w:afterAutospacing="0"/>
              <w:ind w:firstLine="317"/>
              <w:jc w:val="both"/>
              <w:rPr>
                <w:rFonts w:eastAsiaTheme="minorHAnsi"/>
                <w:color w:val="0070C0"/>
                <w:shd w:val="clear" w:color="auto" w:fill="FFFFFF"/>
                <w:lang w:eastAsia="en-US"/>
              </w:rPr>
            </w:pPr>
            <w:r w:rsidRPr="00861611">
              <w:rPr>
                <w:rFonts w:eastAsiaTheme="minorHAnsi"/>
                <w:color w:val="0070C0"/>
                <w:shd w:val="clear" w:color="auto" w:fill="FFFFFF"/>
                <w:lang w:eastAsia="en-US"/>
              </w:rPr>
              <w:t xml:space="preserve">по </w:t>
            </w:r>
            <w:r w:rsidRPr="00861611">
              <w:rPr>
                <w:b/>
                <w:bCs/>
                <w:strike/>
                <w:color w:val="0070C0"/>
              </w:rPr>
              <w:t>п’ять</w:t>
            </w:r>
            <w:r w:rsidRPr="00861611">
              <w:rPr>
                <w:rFonts w:eastAsiaTheme="minorHAnsi"/>
                <w:b/>
                <w:color w:val="0070C0"/>
                <w:lang w:eastAsia="en-US"/>
              </w:rPr>
              <w:t xml:space="preserve"> шість</w:t>
            </w:r>
            <w:r w:rsidRPr="00861611">
              <w:rPr>
                <w:rFonts w:eastAsiaTheme="minorHAnsi"/>
                <w:color w:val="0070C0"/>
                <w:shd w:val="clear" w:color="auto" w:fill="FFFFFF"/>
                <w:lang w:eastAsia="en-US"/>
              </w:rPr>
              <w:t xml:space="preserve"> кошторисів для стандартних приєднань для міської та сільської місцевостей, виконаних підрядним способом </w:t>
            </w:r>
            <w:r w:rsidRPr="00861611">
              <w:rPr>
                <w:rFonts w:eastAsiaTheme="minorHAnsi"/>
                <w:b/>
                <w:color w:val="0070C0"/>
                <w:lang w:eastAsia="en-US"/>
              </w:rPr>
              <w:t>з найбільшими</w:t>
            </w:r>
            <w:r w:rsidRPr="00861611">
              <w:rPr>
                <w:rFonts w:eastAsiaTheme="minorHAnsi"/>
                <w:b/>
                <w:color w:val="0070C0"/>
                <w:lang w:val="ru-RU" w:eastAsia="en-US"/>
              </w:rPr>
              <w:t xml:space="preserve"> </w:t>
            </w:r>
            <w:r w:rsidRPr="00861611">
              <w:rPr>
                <w:rFonts w:eastAsiaTheme="minorHAnsi"/>
                <w:b/>
                <w:color w:val="0070C0"/>
                <w:lang w:eastAsia="en-US"/>
              </w:rPr>
              <w:t xml:space="preserve">та найменшими  витратами (по </w:t>
            </w:r>
            <w:r w:rsidRPr="00861611">
              <w:rPr>
                <w:rFonts w:eastAsiaTheme="minorHAnsi"/>
                <w:b/>
                <w:color w:val="0070C0"/>
                <w:lang w:val="ru-RU" w:eastAsia="en-US"/>
              </w:rPr>
              <w:t>3</w:t>
            </w:r>
            <w:r w:rsidRPr="00861611">
              <w:rPr>
                <w:rFonts w:eastAsiaTheme="minorHAnsi"/>
                <w:b/>
                <w:color w:val="0070C0"/>
                <w:lang w:eastAsia="en-US"/>
              </w:rPr>
              <w:t xml:space="preserve"> кошториси з кожної групи)</w:t>
            </w:r>
            <w:r w:rsidRPr="00861611">
              <w:rPr>
                <w:rFonts w:eastAsiaTheme="minorHAnsi"/>
                <w:color w:val="0070C0"/>
                <w:shd w:val="clear" w:color="auto" w:fill="FFFFFF"/>
                <w:lang w:eastAsia="en-US"/>
              </w:rPr>
              <w:t>;</w:t>
            </w:r>
          </w:p>
          <w:p w:rsidR="00E85CB2" w:rsidRPr="00861611" w:rsidRDefault="00E85CB2" w:rsidP="008E4104">
            <w:pPr>
              <w:shd w:val="clear" w:color="auto" w:fill="FFFFFF"/>
              <w:ind w:firstLine="317"/>
              <w:jc w:val="both"/>
              <w:rPr>
                <w:color w:val="0070C0"/>
                <w:sz w:val="24"/>
                <w:szCs w:val="24"/>
                <w:shd w:val="clear" w:color="auto" w:fill="FFFFFF"/>
              </w:rPr>
            </w:pPr>
            <w:r w:rsidRPr="00861611">
              <w:rPr>
                <w:color w:val="0070C0"/>
                <w:sz w:val="24"/>
                <w:szCs w:val="24"/>
                <w:shd w:val="clear" w:color="auto" w:fill="FFFFFF"/>
              </w:rPr>
              <w:t xml:space="preserve">по </w:t>
            </w:r>
            <w:r w:rsidRPr="00861611">
              <w:rPr>
                <w:b/>
                <w:bCs/>
                <w:strike/>
                <w:color w:val="0070C0"/>
                <w:sz w:val="24"/>
                <w:szCs w:val="24"/>
              </w:rPr>
              <w:t>п’ять</w:t>
            </w:r>
            <w:r w:rsidRPr="00861611">
              <w:rPr>
                <w:b/>
                <w:color w:val="0070C0"/>
                <w:sz w:val="24"/>
                <w:szCs w:val="24"/>
              </w:rPr>
              <w:t xml:space="preserve"> шість</w:t>
            </w:r>
            <w:r w:rsidRPr="00861611">
              <w:rPr>
                <w:color w:val="0070C0"/>
                <w:sz w:val="24"/>
                <w:szCs w:val="24"/>
                <w:shd w:val="clear" w:color="auto" w:fill="FFFFFF"/>
              </w:rPr>
              <w:t xml:space="preserve"> кошторисів для стандартних приєднань для міської та сільської місцевостей, виконаних господарським способом </w:t>
            </w:r>
            <w:r w:rsidRPr="00861611">
              <w:rPr>
                <w:b/>
                <w:color w:val="0070C0"/>
                <w:sz w:val="24"/>
                <w:szCs w:val="24"/>
              </w:rPr>
              <w:t>з найбільшими</w:t>
            </w:r>
            <w:r w:rsidRPr="00861611">
              <w:rPr>
                <w:b/>
                <w:color w:val="0070C0"/>
                <w:sz w:val="24"/>
                <w:szCs w:val="24"/>
                <w:lang w:val="ru-RU"/>
              </w:rPr>
              <w:t xml:space="preserve"> </w:t>
            </w:r>
            <w:r w:rsidRPr="00861611">
              <w:rPr>
                <w:b/>
                <w:color w:val="0070C0"/>
                <w:sz w:val="24"/>
                <w:szCs w:val="24"/>
              </w:rPr>
              <w:t xml:space="preserve">та найменшими витратами (по </w:t>
            </w:r>
            <w:r w:rsidRPr="00861611">
              <w:rPr>
                <w:b/>
                <w:color w:val="0070C0"/>
                <w:sz w:val="24"/>
                <w:szCs w:val="24"/>
                <w:lang w:val="ru-RU"/>
              </w:rPr>
              <w:t>3</w:t>
            </w:r>
            <w:r w:rsidRPr="00861611">
              <w:rPr>
                <w:b/>
                <w:color w:val="0070C0"/>
                <w:sz w:val="24"/>
                <w:szCs w:val="24"/>
              </w:rPr>
              <w:t xml:space="preserve"> кошториси з кожної групи)</w:t>
            </w:r>
            <w:r w:rsidRPr="00861611">
              <w:rPr>
                <w:color w:val="0070C0"/>
                <w:sz w:val="24"/>
                <w:szCs w:val="24"/>
                <w:shd w:val="clear" w:color="auto" w:fill="FFFFFF"/>
              </w:rPr>
              <w:t>.</w:t>
            </w:r>
          </w:p>
          <w:p w:rsidR="00E85CB2" w:rsidRPr="00861611" w:rsidRDefault="00E85CB2" w:rsidP="008E4104">
            <w:pPr>
              <w:shd w:val="clear" w:color="auto" w:fill="FFFFFF"/>
              <w:ind w:firstLine="317"/>
              <w:jc w:val="both"/>
              <w:rPr>
                <w:b/>
                <w:bCs/>
                <w:color w:val="0070C0"/>
                <w:sz w:val="24"/>
                <w:szCs w:val="24"/>
                <w:shd w:val="clear" w:color="auto" w:fill="FFFFFF"/>
              </w:rPr>
            </w:pPr>
            <w:r w:rsidRPr="00861611">
              <w:rPr>
                <w:b/>
                <w:bCs/>
                <w:color w:val="0070C0"/>
                <w:sz w:val="24"/>
                <w:szCs w:val="24"/>
                <w:shd w:val="clear" w:color="auto" w:fill="FFFFFF"/>
              </w:rPr>
              <w:t xml:space="preserve">У разі якщо кошториси, згідно з якими проведено аналіз не є типовими щодо групи кошторисів, щодо яких </w:t>
            </w:r>
            <w:r w:rsidRPr="00861611">
              <w:rPr>
                <w:b/>
                <w:bCs/>
                <w:color w:val="0070C0"/>
                <w:sz w:val="24"/>
                <w:szCs w:val="24"/>
                <w:shd w:val="clear" w:color="auto" w:fill="FFFFFF"/>
              </w:rPr>
              <w:lastRenderedPageBreak/>
              <w:t>проводиться аналіз, за зверненням ОСР проводиться аналіз по додаткових типових проектам.</w:t>
            </w:r>
          </w:p>
          <w:p w:rsidR="00E85CB2" w:rsidRPr="00861611" w:rsidRDefault="00E85CB2" w:rsidP="008E4104">
            <w:pPr>
              <w:shd w:val="clear" w:color="auto" w:fill="FFFFFF"/>
              <w:ind w:firstLine="317"/>
              <w:jc w:val="both"/>
              <w:rPr>
                <w:b/>
                <w:bCs/>
                <w:color w:val="0070C0"/>
                <w:sz w:val="24"/>
                <w:szCs w:val="24"/>
              </w:rPr>
            </w:pPr>
            <w:r w:rsidRPr="00861611">
              <w:rPr>
                <w:b/>
                <w:bCs/>
                <w:color w:val="0070C0"/>
                <w:sz w:val="24"/>
                <w:szCs w:val="24"/>
              </w:rPr>
              <w:t xml:space="preserve">Вартісні показники на матеріали та обладнання, які враховуються із застосуванням коефіцієнта 1,1. </w:t>
            </w:r>
          </w:p>
          <w:p w:rsidR="00E85CB2" w:rsidRPr="00861611" w:rsidRDefault="00E85CB2" w:rsidP="008E4104">
            <w:pPr>
              <w:ind w:firstLine="317"/>
              <w:jc w:val="both"/>
              <w:rPr>
                <w:b/>
                <w:bCs/>
                <w:color w:val="0070C0"/>
                <w:sz w:val="24"/>
                <w:szCs w:val="24"/>
              </w:rPr>
            </w:pPr>
            <w:r w:rsidRPr="00861611">
              <w:rPr>
                <w:b/>
                <w:bCs/>
                <w:color w:val="0070C0"/>
                <w:sz w:val="24"/>
                <w:szCs w:val="24"/>
              </w:rPr>
              <w:t>Вартісні показники доводяться до ОСР до 10 січня поточного року на поточний рік, з вказанням джерел формування таких цін. Вартісні показники публікуються на сайті НКРЕКП.</w:t>
            </w:r>
          </w:p>
          <w:p w:rsidR="00E85CB2" w:rsidRPr="000B2616" w:rsidRDefault="00E85CB2" w:rsidP="008E4104">
            <w:pPr>
              <w:ind w:firstLine="317"/>
              <w:jc w:val="both"/>
              <w:rPr>
                <w:b/>
                <w:bCs/>
                <w:color w:val="C00000"/>
                <w:sz w:val="24"/>
                <w:szCs w:val="24"/>
              </w:rPr>
            </w:pPr>
            <w:r w:rsidRPr="00861611">
              <w:rPr>
                <w:sz w:val="24"/>
                <w:szCs w:val="24"/>
              </w:rPr>
              <w:t xml:space="preserve">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w:t>
            </w:r>
            <w:r w:rsidRPr="00861611">
              <w:rPr>
                <w:b/>
                <w:bCs/>
                <w:color w:val="0070C0"/>
                <w:sz w:val="24"/>
                <w:szCs w:val="24"/>
              </w:rPr>
              <w:t>та  з урахуванням цін від виробника згідно договору закупки,  підтвердженими товарними накладними, комерційними пропозиціями та обумовленими технічними характеристиками проектно-кошторисної документації.</w:t>
            </w:r>
          </w:p>
          <w:p w:rsidR="00E85CB2" w:rsidRPr="00861611" w:rsidRDefault="00E85CB2" w:rsidP="008E4104">
            <w:pPr>
              <w:ind w:firstLine="317"/>
              <w:jc w:val="both"/>
              <w:rPr>
                <w:b/>
                <w:bCs/>
                <w:color w:val="C00000"/>
                <w:sz w:val="24"/>
                <w:szCs w:val="24"/>
              </w:rPr>
            </w:pPr>
            <w:r w:rsidRPr="00861611">
              <w:rPr>
                <w:sz w:val="24"/>
                <w:szCs w:val="24"/>
                <w:shd w:val="clear" w:color="auto" w:fill="FFFFFF"/>
              </w:rPr>
              <w:t xml:space="preserve">Результати аналізу застосовуються пропорційно до кожного напряму для визначення 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w:t>
            </w:r>
            <w:r w:rsidRPr="00861611">
              <w:rPr>
                <w:sz w:val="24"/>
                <w:szCs w:val="24"/>
                <w:shd w:val="clear" w:color="auto" w:fill="FFFFFF"/>
              </w:rPr>
              <w:lastRenderedPageBreak/>
              <w:t>проводився аналіз.</w:t>
            </w:r>
            <w:r w:rsidRPr="00861611">
              <w:rPr>
                <w:sz w:val="24"/>
                <w:szCs w:val="24"/>
                <w:shd w:val="clear" w:color="auto" w:fill="FFFFFF"/>
                <w:lang w:val="ru-RU"/>
              </w:rPr>
              <w:t xml:space="preserve"> </w:t>
            </w:r>
            <w:r w:rsidRPr="00861611">
              <w:rPr>
                <w:b/>
                <w:bCs/>
                <w:color w:val="0070C0"/>
                <w:sz w:val="24"/>
                <w:szCs w:val="24"/>
                <w:shd w:val="clear" w:color="auto" w:fill="FFFFFF"/>
              </w:rPr>
              <w:t>Результати аналізу, що утворюються за рахунок різниці між вартістю матеріалів та обладнання, використаних під час надання послуг з приєднань, та вартісними показниками, повинні враховувати всі відхилення вартостей,  як від’ємні так і плюсові значення. У разі отримання плюсового значення, визнати результати аналізу</w:t>
            </w:r>
            <w:r w:rsidRPr="00861611">
              <w:rPr>
                <w:b/>
                <w:bCs/>
                <w:color w:val="0070C0"/>
                <w:sz w:val="24"/>
                <w:szCs w:val="24"/>
                <w:shd w:val="clear" w:color="auto" w:fill="FFFFFF"/>
                <w:lang w:val="ru-RU"/>
              </w:rPr>
              <w:t xml:space="preserve"> такими</w:t>
            </w:r>
            <w:r w:rsidRPr="00861611">
              <w:rPr>
                <w:b/>
                <w:bCs/>
                <w:color w:val="0070C0"/>
                <w:sz w:val="24"/>
                <w:szCs w:val="24"/>
                <w:shd w:val="clear" w:color="auto" w:fill="FFFFFF"/>
              </w:rPr>
              <w:t>, що дорівнюють 1.</w:t>
            </w:r>
          </w:p>
        </w:tc>
        <w:tc>
          <w:tcPr>
            <w:tcW w:w="3685" w:type="dxa"/>
          </w:tcPr>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lang w:val="uk-UA"/>
              </w:rPr>
            </w:pPr>
          </w:p>
          <w:p w:rsidR="00E85CB2" w:rsidRPr="00861611" w:rsidRDefault="00E85CB2" w:rsidP="008E4104">
            <w:pPr>
              <w:pStyle w:val="a6"/>
              <w:jc w:val="both"/>
              <w:rPr>
                <w:shd w:val="clear" w:color="auto" w:fill="FFFFFF"/>
                <w:lang w:val="uk-UA"/>
              </w:rPr>
            </w:pPr>
            <w:r w:rsidRPr="00861611">
              <w:rPr>
                <w:lang w:val="uk-UA"/>
              </w:rPr>
              <w:t xml:space="preserve">Пропонуємо для розрахунку Копт збільшити кількість критеріїв для аналізу кошторисів </w:t>
            </w:r>
            <w:r w:rsidRPr="00861611">
              <w:rPr>
                <w:shd w:val="clear" w:color="auto" w:fill="FFFFFF"/>
                <w:lang w:val="uk-UA"/>
              </w:rPr>
              <w:t>виконаних приєднань, що дозволить зробити даний коефіцієнт більш точним (достовірним).</w:t>
            </w:r>
          </w:p>
          <w:p w:rsidR="00E85CB2" w:rsidRPr="00861611" w:rsidRDefault="00E85CB2" w:rsidP="008E4104">
            <w:pPr>
              <w:pStyle w:val="a6"/>
              <w:jc w:val="both"/>
              <w:rPr>
                <w:shd w:val="clear" w:color="auto" w:fill="FFFFFF"/>
                <w:lang w:val="uk-UA"/>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p>
          <w:p w:rsidR="00E85CB2" w:rsidRPr="00861611" w:rsidRDefault="00E85CB2" w:rsidP="008E4104">
            <w:pPr>
              <w:ind w:firstLine="447"/>
              <w:jc w:val="both"/>
              <w:rPr>
                <w:sz w:val="24"/>
                <w:szCs w:val="24"/>
              </w:rPr>
            </w:pPr>
            <w:r w:rsidRPr="00861611">
              <w:rPr>
                <w:sz w:val="24"/>
                <w:szCs w:val="24"/>
              </w:rPr>
              <w:t>Немає точної інформації по вартості матеріалів та обладнання, якою можливо б було користуватися при закупівлі матеріалів та складанні договорів на придбання даних матеріалів та обладнання.</w:t>
            </w: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p>
          <w:p w:rsidR="00E85CB2" w:rsidRPr="00861611" w:rsidRDefault="00E85CB2" w:rsidP="008E4104">
            <w:pPr>
              <w:jc w:val="both"/>
              <w:rPr>
                <w:sz w:val="24"/>
                <w:szCs w:val="24"/>
              </w:rPr>
            </w:pPr>
            <w:r w:rsidRPr="00861611">
              <w:rPr>
                <w:sz w:val="24"/>
                <w:szCs w:val="24"/>
              </w:rPr>
              <w:t>Уточнення щодо застосування Копт.</w:t>
            </w:r>
          </w:p>
          <w:p w:rsidR="00E85CB2" w:rsidRPr="00861611" w:rsidRDefault="00E85CB2" w:rsidP="008E4104">
            <w:pPr>
              <w:jc w:val="both"/>
              <w:rPr>
                <w:sz w:val="24"/>
                <w:szCs w:val="24"/>
              </w:rPr>
            </w:pPr>
          </w:p>
        </w:tc>
        <w:tc>
          <w:tcPr>
            <w:tcW w:w="3119" w:type="dxa"/>
            <w:vMerge w:val="restart"/>
          </w:tcPr>
          <w:p w:rsidR="00E85CB2" w:rsidRDefault="00E85CB2" w:rsidP="008E4104">
            <w:pPr>
              <w:jc w:val="both"/>
              <w:rPr>
                <w:b/>
                <w:sz w:val="24"/>
                <w:szCs w:val="24"/>
                <w:lang w:eastAsia="uk-UA"/>
              </w:rPr>
            </w:pPr>
          </w:p>
          <w:p w:rsidR="00E85CB2" w:rsidRDefault="00E85CB2" w:rsidP="008E4104">
            <w:pPr>
              <w:jc w:val="both"/>
              <w:rPr>
                <w:b/>
                <w:sz w:val="24"/>
                <w:szCs w:val="24"/>
                <w:lang w:eastAsia="uk-UA"/>
              </w:rPr>
            </w:pPr>
          </w:p>
          <w:p w:rsidR="00E85CB2" w:rsidRDefault="00E85CB2" w:rsidP="008E4104">
            <w:pPr>
              <w:jc w:val="both"/>
              <w:rPr>
                <w:b/>
                <w:sz w:val="24"/>
                <w:szCs w:val="24"/>
                <w:lang w:eastAsia="uk-UA"/>
              </w:rPr>
            </w:pPr>
          </w:p>
          <w:p w:rsidR="00E85CB2" w:rsidRDefault="00E85CB2" w:rsidP="008E4104">
            <w:pPr>
              <w:jc w:val="both"/>
              <w:rPr>
                <w:b/>
                <w:sz w:val="24"/>
                <w:szCs w:val="24"/>
                <w:lang w:eastAsia="uk-UA"/>
              </w:rPr>
            </w:pPr>
          </w:p>
          <w:p w:rsidR="00E85CB2" w:rsidRPr="00F8553D" w:rsidRDefault="00E85CB2" w:rsidP="008E4104">
            <w:pPr>
              <w:jc w:val="both"/>
              <w:rPr>
                <w:b/>
                <w:sz w:val="24"/>
                <w:szCs w:val="24"/>
                <w:lang w:eastAsia="uk-UA"/>
              </w:rPr>
            </w:pPr>
            <w:r w:rsidRPr="00F8553D">
              <w:rPr>
                <w:b/>
                <w:sz w:val="24"/>
                <w:szCs w:val="24"/>
                <w:lang w:eastAsia="uk-UA"/>
              </w:rPr>
              <w:lastRenderedPageBreak/>
              <w:t>Пропонується викласти в редакції:</w:t>
            </w:r>
          </w:p>
          <w:p w:rsidR="00E85CB2" w:rsidRPr="00EF1540" w:rsidRDefault="00E85CB2" w:rsidP="00E85CB2">
            <w:pPr>
              <w:ind w:firstLine="447"/>
              <w:jc w:val="both"/>
              <w:rPr>
                <w:sz w:val="24"/>
                <w:szCs w:val="24"/>
              </w:rPr>
            </w:pPr>
            <w:r w:rsidRPr="00A17353">
              <w:rPr>
                <w:b/>
                <w:sz w:val="24"/>
                <w:szCs w:val="24"/>
              </w:rPr>
              <w:t>3.6.</w:t>
            </w:r>
            <w:r w:rsidRPr="00EF1540">
              <w:rPr>
                <w:sz w:val="24"/>
                <w:szCs w:val="24"/>
              </w:rPr>
              <w:t xml:space="preserve"> Розрахунок коефіцієнта </w:t>
            </w:r>
            <w:bookmarkStart w:id="9" w:name="_GoBack"/>
            <w:bookmarkEnd w:id="9"/>
            <w:r w:rsidRPr="00EF1540">
              <w:rPr>
                <w:sz w:val="24"/>
                <w:szCs w:val="24"/>
              </w:rPr>
              <w:t xml:space="preserve">оптимізації </w:t>
            </w:r>
            <w:r w:rsidRPr="00EF1540">
              <w:rPr>
                <w:noProof/>
                <w:sz w:val="24"/>
                <w:szCs w:val="24"/>
              </w:rPr>
              <w:drawing>
                <wp:inline distT="0" distB="0" distL="0" distR="0" wp14:anchorId="0B1D214E" wp14:editId="7793726B">
                  <wp:extent cx="666750" cy="285750"/>
                  <wp:effectExtent l="0" t="0" r="0" b="0"/>
                  <wp:docPr id="6" name="Рисунок 6" descr="https://zakon.rada.gov.ua/laws/file/imgs/98/p480243n382-19.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sz w:val="24"/>
                <w:szCs w:val="24"/>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E85CB2" w:rsidRPr="00E85CB2" w:rsidRDefault="00E85CB2" w:rsidP="00E85CB2">
            <w:pPr>
              <w:pStyle w:val="rvps2"/>
              <w:shd w:val="clear" w:color="auto" w:fill="FFFFFF"/>
              <w:spacing w:before="0" w:beforeAutospacing="0" w:after="0" w:afterAutospacing="0"/>
              <w:ind w:firstLine="450"/>
              <w:jc w:val="both"/>
              <w:rPr>
                <w:rFonts w:eastAsiaTheme="minorHAnsi"/>
                <w:shd w:val="clear" w:color="auto" w:fill="FFFFFF"/>
                <w:lang w:eastAsia="en-US"/>
              </w:rPr>
            </w:pPr>
            <w:r w:rsidRPr="00E85CB2">
              <w:rPr>
                <w:rFonts w:eastAsiaTheme="minorHAnsi"/>
                <w:shd w:val="clear" w:color="auto" w:fill="FFFFFF"/>
                <w:lang w:eastAsia="en-US"/>
              </w:rPr>
              <w:t>Додатково проводиться окремий аналіз по кошторисах виконаних приєднань господарським і підрядним способами з найбільшими витратами:</w:t>
            </w:r>
          </w:p>
          <w:p w:rsidR="00E85CB2" w:rsidRPr="00E85CB2" w:rsidRDefault="00E85CB2" w:rsidP="00E85CB2">
            <w:pPr>
              <w:pStyle w:val="rvps2"/>
              <w:spacing w:before="0" w:beforeAutospacing="0" w:after="0" w:afterAutospacing="0"/>
              <w:ind w:firstLine="450"/>
              <w:jc w:val="both"/>
              <w:rPr>
                <w:rFonts w:eastAsiaTheme="minorHAnsi"/>
                <w:b/>
                <w:bCs/>
                <w:color w:val="00B050"/>
                <w:shd w:val="clear" w:color="auto" w:fill="FFFFFF"/>
                <w:lang w:eastAsia="en-US"/>
              </w:rPr>
            </w:pPr>
            <w:r w:rsidRPr="00E85CB2">
              <w:rPr>
                <w:rFonts w:eastAsiaTheme="minorHAnsi"/>
                <w:b/>
                <w:color w:val="00B050"/>
                <w:shd w:val="clear" w:color="auto" w:fill="FFFFFF"/>
                <w:lang w:eastAsia="en-US"/>
              </w:rPr>
              <w:t xml:space="preserve">по чотири кошториси для стандартних приєднань для міської та сільської місцевостей, виконаних </w:t>
            </w:r>
            <w:r w:rsidRPr="00E85CB2">
              <w:rPr>
                <w:rFonts w:eastAsiaTheme="minorHAnsi"/>
                <w:b/>
                <w:bCs/>
                <w:color w:val="00B050"/>
                <w:shd w:val="clear" w:color="auto" w:fill="FFFFFF"/>
                <w:lang w:eastAsia="en-US"/>
              </w:rPr>
              <w:t>підрядним способом</w:t>
            </w:r>
            <w:r w:rsidRPr="00E85CB2">
              <w:rPr>
                <w:rFonts w:eastAsiaTheme="minorHAnsi"/>
                <w:b/>
                <w:color w:val="00B050"/>
                <w:shd w:val="clear" w:color="auto" w:fill="FFFFFF"/>
                <w:lang w:eastAsia="en-US"/>
              </w:rPr>
              <w:t xml:space="preserve"> </w:t>
            </w:r>
            <w:r w:rsidRPr="00E85CB2">
              <w:rPr>
                <w:rFonts w:eastAsiaTheme="minorHAnsi"/>
                <w:b/>
                <w:bCs/>
                <w:color w:val="00B050"/>
                <w:shd w:val="clear" w:color="auto" w:fill="FFFFFF"/>
                <w:lang w:eastAsia="en-US"/>
              </w:rPr>
              <w:t>без урахування приєднань з заміною/встановленням силових трансформаторів;</w:t>
            </w:r>
          </w:p>
          <w:p w:rsidR="00E85CB2" w:rsidRPr="00E85CB2" w:rsidRDefault="00E85CB2" w:rsidP="00E85CB2">
            <w:pPr>
              <w:ind w:firstLine="450"/>
              <w:jc w:val="both"/>
              <w:rPr>
                <w:b/>
                <w:bCs/>
                <w:color w:val="00B050"/>
                <w:sz w:val="24"/>
                <w:szCs w:val="24"/>
                <w:shd w:val="clear" w:color="auto" w:fill="FFFFFF"/>
              </w:rPr>
            </w:pPr>
            <w:r w:rsidRPr="00E85CB2">
              <w:rPr>
                <w:b/>
                <w:color w:val="00B050"/>
                <w:sz w:val="24"/>
                <w:szCs w:val="24"/>
                <w:shd w:val="clear" w:color="auto" w:fill="FFFFFF"/>
              </w:rPr>
              <w:lastRenderedPageBreak/>
              <w:t xml:space="preserve">по чотири кошториси для стандартних приєднань для міської та сільської місцевостей, виконаних </w:t>
            </w:r>
            <w:r w:rsidRPr="00E85CB2">
              <w:rPr>
                <w:b/>
                <w:bCs/>
                <w:color w:val="00B050"/>
                <w:sz w:val="24"/>
                <w:szCs w:val="24"/>
                <w:shd w:val="clear" w:color="auto" w:fill="FFFFFF"/>
              </w:rPr>
              <w:t>господарським способом</w:t>
            </w:r>
            <w:r w:rsidRPr="00E85CB2">
              <w:rPr>
                <w:b/>
                <w:color w:val="00B050"/>
                <w:sz w:val="24"/>
                <w:szCs w:val="24"/>
                <w:shd w:val="clear" w:color="auto" w:fill="FFFFFF"/>
              </w:rPr>
              <w:t xml:space="preserve"> </w:t>
            </w:r>
            <w:r w:rsidRPr="00E85CB2">
              <w:rPr>
                <w:b/>
                <w:bCs/>
                <w:color w:val="00B050"/>
                <w:sz w:val="24"/>
                <w:szCs w:val="24"/>
                <w:shd w:val="clear" w:color="auto" w:fill="FFFFFF"/>
              </w:rPr>
              <w:t>без урахування приєднань з заміною/встановленням силових трансформаторів;</w:t>
            </w:r>
          </w:p>
          <w:p w:rsidR="00E85CB2" w:rsidRPr="00E85CB2" w:rsidRDefault="00E85CB2" w:rsidP="00E85CB2">
            <w:pPr>
              <w:ind w:firstLine="450"/>
              <w:jc w:val="both"/>
              <w:rPr>
                <w:b/>
                <w:bCs/>
                <w:color w:val="00B050"/>
                <w:sz w:val="24"/>
                <w:szCs w:val="24"/>
                <w:shd w:val="clear" w:color="auto" w:fill="FFFFFF"/>
              </w:rPr>
            </w:pPr>
            <w:r w:rsidRPr="00E85CB2">
              <w:rPr>
                <w:b/>
                <w:bCs/>
                <w:color w:val="00B050"/>
                <w:sz w:val="24"/>
                <w:szCs w:val="24"/>
                <w:shd w:val="clear" w:color="auto" w:fill="FFFFFF"/>
              </w:rPr>
              <w:t>по чотири кошториси для стандартних приєднань для міської та сільської місцевостей, виконаних господарським способом з урахування приєднань з заміною/встановленням силових трансформаторів;</w:t>
            </w:r>
          </w:p>
          <w:p w:rsidR="00E85CB2" w:rsidRPr="00E85CB2" w:rsidRDefault="00E85CB2" w:rsidP="00E85CB2">
            <w:pPr>
              <w:ind w:firstLine="450"/>
              <w:jc w:val="both"/>
              <w:rPr>
                <w:b/>
                <w:bCs/>
                <w:color w:val="00B050"/>
                <w:sz w:val="24"/>
                <w:szCs w:val="24"/>
                <w:shd w:val="clear" w:color="auto" w:fill="FFFFFF"/>
              </w:rPr>
            </w:pPr>
            <w:r w:rsidRPr="00E85CB2">
              <w:rPr>
                <w:b/>
                <w:bCs/>
                <w:color w:val="00B050"/>
                <w:sz w:val="24"/>
                <w:szCs w:val="24"/>
                <w:shd w:val="clear" w:color="auto" w:fill="FFFFFF"/>
              </w:rPr>
              <w:t>по чотири кошториси для стандартних приєднань для міської та сільської місцевостей, виконаних підрядним способом з урахування приєднань з заміною/встановленням силових трансформаторів.</w:t>
            </w:r>
          </w:p>
          <w:p w:rsidR="00E85CB2" w:rsidRDefault="00E85CB2" w:rsidP="00E85CB2">
            <w:pPr>
              <w:ind w:firstLine="447"/>
              <w:jc w:val="both"/>
              <w:rPr>
                <w:b/>
                <w:sz w:val="24"/>
                <w:szCs w:val="24"/>
              </w:rPr>
            </w:pPr>
            <w:r w:rsidRPr="00A17353">
              <w:rPr>
                <w:b/>
                <w:sz w:val="24"/>
                <w:szCs w:val="24"/>
              </w:rPr>
              <w:t xml:space="preserve">У разі, якщо фактична кількість наданих ОСР послуг зі стандартних приєднань у базовому періоді залежно від способу виконання та/або місцевості менша </w:t>
            </w:r>
            <w:r w:rsidR="000A2E29" w:rsidRPr="000A2E29">
              <w:rPr>
                <w:b/>
                <w:color w:val="00B050"/>
                <w:sz w:val="24"/>
                <w:szCs w:val="24"/>
              </w:rPr>
              <w:lastRenderedPageBreak/>
              <w:t>чотирьох</w:t>
            </w:r>
            <w:r w:rsidRPr="00A17353">
              <w:rPr>
                <w:b/>
                <w:sz w:val="24"/>
                <w:szCs w:val="24"/>
              </w:rPr>
              <w:t>, аналіз по кошторисах виконаних приєднань проводиться по фактичній кількості наданих ОСР послуг зі стандартних приєднань у базовому періоді.</w:t>
            </w:r>
          </w:p>
          <w:p w:rsidR="004048C0" w:rsidRPr="004048C0" w:rsidRDefault="004048C0" w:rsidP="00E85CB2">
            <w:pPr>
              <w:ind w:firstLine="447"/>
              <w:jc w:val="both"/>
              <w:rPr>
                <w:b/>
                <w:color w:val="00B050"/>
                <w:sz w:val="24"/>
                <w:szCs w:val="24"/>
              </w:rPr>
            </w:pPr>
            <w:r w:rsidRPr="004048C0">
              <w:rPr>
                <w:b/>
                <w:color w:val="00B050"/>
                <w:sz w:val="24"/>
                <w:szCs w:val="24"/>
              </w:rPr>
              <w:t>Вартісні показники на матеріали, обладнання та роботи, що застосовуються при розрахунку дефіциту/профіциту коштів щодо надходжень та витрат, пов'язаних з наданням послуг з приєднання, застосовуються відповідно до показників, врахованих при виконанні/плануванні проєктів нового будівництва, реконструкції та технічного переоснащення об'єктів енергетики у складі інвестиційних програм операторів систем розподілу на відповідний період, у якому завершено надання послуги з приєднання.</w:t>
            </w:r>
          </w:p>
          <w:p w:rsidR="00E85CB2" w:rsidRPr="00EF1540" w:rsidRDefault="00E85CB2" w:rsidP="00E85CB2">
            <w:pPr>
              <w:ind w:firstLine="447"/>
              <w:jc w:val="both"/>
              <w:rPr>
                <w:b/>
                <w:sz w:val="24"/>
                <w:szCs w:val="24"/>
              </w:rPr>
            </w:pPr>
            <w:r w:rsidRPr="00EF1540">
              <w:rPr>
                <w:sz w:val="24"/>
                <w:szCs w:val="24"/>
              </w:rPr>
              <w:t xml:space="preserve">Вартісні показники на матеріали та обладнання враховуються із </w:t>
            </w:r>
            <w:r w:rsidRPr="00EF1540">
              <w:rPr>
                <w:sz w:val="24"/>
                <w:szCs w:val="24"/>
              </w:rPr>
              <w:lastRenderedPageBreak/>
              <w:t>застосуванням коефіцієнта 1,1 для всього переліку матеріалів та обладнання, використаних під час надання послуг з приєднань</w:t>
            </w:r>
            <w:r w:rsidRPr="00EF1540">
              <w:rPr>
                <w:b/>
                <w:sz w:val="24"/>
                <w:szCs w:val="24"/>
              </w:rPr>
              <w:t xml:space="preserve">, </w:t>
            </w:r>
            <w:r w:rsidRPr="001B16A7">
              <w:rPr>
                <w:b/>
                <w:sz w:val="24"/>
                <w:szCs w:val="24"/>
              </w:rPr>
              <w:t>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Pr="00EF1540">
              <w:rPr>
                <w:b/>
                <w:sz w:val="24"/>
                <w:szCs w:val="24"/>
              </w:rPr>
              <w:t>.</w:t>
            </w:r>
          </w:p>
          <w:p w:rsidR="00E85CB2" w:rsidRPr="00EF1540" w:rsidRDefault="00E85CB2" w:rsidP="00E85CB2">
            <w:pPr>
              <w:ind w:firstLine="447"/>
              <w:jc w:val="both"/>
              <w:rPr>
                <w:sz w:val="24"/>
                <w:szCs w:val="24"/>
              </w:rPr>
            </w:pPr>
            <w:r w:rsidRPr="00EF1540">
              <w:rPr>
                <w:sz w:val="24"/>
                <w:szCs w:val="24"/>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E85CB2" w:rsidRPr="004F3A51" w:rsidRDefault="00E85CB2" w:rsidP="00E85CB2">
            <w:pPr>
              <w:jc w:val="both"/>
              <w:rPr>
                <w:b/>
                <w:sz w:val="24"/>
                <w:szCs w:val="24"/>
                <w:lang w:eastAsia="uk-UA"/>
              </w:rPr>
            </w:pPr>
            <w:r w:rsidRPr="00EF1540">
              <w:rPr>
                <w:sz w:val="24"/>
                <w:szCs w:val="24"/>
              </w:rPr>
              <w:t xml:space="preserve">Результати аналізу застосовуються пропорційно до кожного напряму для визначення </w:t>
            </w:r>
            <w:r w:rsidRPr="00EF1540">
              <w:rPr>
                <w:sz w:val="24"/>
                <w:szCs w:val="24"/>
              </w:rPr>
              <w:lastRenderedPageBreak/>
              <w:t>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p>
          <w:p w:rsidR="00E85CB2" w:rsidRDefault="00E85CB2" w:rsidP="008E4104">
            <w:pPr>
              <w:jc w:val="both"/>
              <w:rPr>
                <w:b/>
                <w:sz w:val="24"/>
                <w:szCs w:val="24"/>
                <w:highlight w:val="yellow"/>
                <w:lang w:eastAsia="uk-UA"/>
              </w:rPr>
            </w:pPr>
          </w:p>
          <w:p w:rsidR="00E85CB2" w:rsidRPr="004F3A51" w:rsidRDefault="00E85CB2" w:rsidP="00E85CB2">
            <w:pPr>
              <w:jc w:val="both"/>
              <w:rPr>
                <w:b/>
                <w:sz w:val="24"/>
                <w:szCs w:val="24"/>
                <w:lang w:eastAsia="uk-UA"/>
              </w:rPr>
            </w:pPr>
          </w:p>
        </w:tc>
      </w:tr>
      <w:tr w:rsidR="00E85CB2" w:rsidRPr="004F3A51" w:rsidTr="00F05B07">
        <w:trPr>
          <w:trHeight w:val="218"/>
        </w:trPr>
        <w:tc>
          <w:tcPr>
            <w:tcW w:w="4395" w:type="dxa"/>
            <w:vMerge/>
          </w:tcPr>
          <w:p w:rsidR="00E85CB2" w:rsidRDefault="00E85CB2" w:rsidP="008E4104">
            <w:pPr>
              <w:ind w:firstLine="447"/>
              <w:jc w:val="both"/>
              <w:rPr>
                <w:b/>
                <w:sz w:val="24"/>
                <w:szCs w:val="24"/>
              </w:rPr>
            </w:pPr>
          </w:p>
        </w:tc>
        <w:tc>
          <w:tcPr>
            <w:tcW w:w="4394" w:type="dxa"/>
          </w:tcPr>
          <w:p w:rsidR="00E85CB2" w:rsidRDefault="00E85CB2" w:rsidP="008E4104">
            <w:pPr>
              <w:ind w:firstLine="224"/>
              <w:contextualSpacing/>
              <w:jc w:val="both"/>
              <w:rPr>
                <w:b/>
                <w:sz w:val="24"/>
                <w:szCs w:val="24"/>
                <w:u w:val="single"/>
              </w:rPr>
            </w:pPr>
            <w:r>
              <w:rPr>
                <w:b/>
                <w:sz w:val="24"/>
                <w:szCs w:val="24"/>
                <w:u w:val="single"/>
              </w:rPr>
              <w:t xml:space="preserve">ПрАТ «ДТЕК Київські регіональні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E85CB2" w:rsidRPr="00F05B07" w:rsidRDefault="00E85CB2" w:rsidP="008E4104">
            <w:pPr>
              <w:ind w:firstLine="224"/>
              <w:contextualSpacing/>
              <w:jc w:val="both"/>
              <w:rPr>
                <w:b/>
                <w:sz w:val="24"/>
                <w:szCs w:val="24"/>
                <w:u w:val="single"/>
              </w:rPr>
            </w:pPr>
          </w:p>
          <w:p w:rsidR="00E85CB2" w:rsidRPr="00EF1540" w:rsidRDefault="00E85CB2" w:rsidP="008E4104">
            <w:pPr>
              <w:ind w:firstLine="447"/>
              <w:jc w:val="both"/>
              <w:rPr>
                <w:sz w:val="24"/>
                <w:szCs w:val="24"/>
              </w:rPr>
            </w:pPr>
            <w:r w:rsidRPr="00A17353">
              <w:rPr>
                <w:b/>
                <w:sz w:val="24"/>
                <w:szCs w:val="24"/>
              </w:rPr>
              <w:t>3.6.</w:t>
            </w:r>
            <w:r w:rsidRPr="00EF1540">
              <w:rPr>
                <w:sz w:val="24"/>
                <w:szCs w:val="24"/>
              </w:rPr>
              <w:t xml:space="preserve"> Розрахунок коефіцієнта оптимізації </w:t>
            </w:r>
            <w:r w:rsidRPr="00EF1540">
              <w:rPr>
                <w:noProof/>
                <w:sz w:val="24"/>
                <w:szCs w:val="24"/>
              </w:rPr>
              <w:drawing>
                <wp:inline distT="0" distB="0" distL="0" distR="0" wp14:anchorId="6E995ED7" wp14:editId="0CD85492">
                  <wp:extent cx="666750" cy="285750"/>
                  <wp:effectExtent l="0" t="0" r="0" b="0"/>
                  <wp:docPr id="7" name="Рисунок 7" descr="https://zakon.rada.gov.ua/laws/file/imgs/98/p480243n382-19.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sz w:val="24"/>
                <w:szCs w:val="24"/>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E85CB2" w:rsidRPr="0064032E" w:rsidRDefault="00E85CB2" w:rsidP="008E4104">
            <w:pPr>
              <w:shd w:val="clear" w:color="auto" w:fill="FFFFFF"/>
              <w:ind w:firstLine="317"/>
              <w:jc w:val="both"/>
              <w:rPr>
                <w:b/>
                <w:bCs/>
                <w:color w:val="0070C0"/>
                <w:sz w:val="24"/>
                <w:szCs w:val="24"/>
              </w:rPr>
            </w:pPr>
            <w:r w:rsidRPr="0064032E">
              <w:rPr>
                <w:b/>
                <w:bCs/>
                <w:color w:val="0070C0"/>
                <w:sz w:val="24"/>
                <w:szCs w:val="24"/>
              </w:rPr>
              <w:t>1 варіант.</w:t>
            </w:r>
          </w:p>
          <w:p w:rsidR="00E85CB2" w:rsidRPr="0064032E" w:rsidRDefault="00E85CB2" w:rsidP="008E4104">
            <w:pPr>
              <w:shd w:val="clear" w:color="auto" w:fill="FFFFFF"/>
              <w:jc w:val="both"/>
              <w:rPr>
                <w:color w:val="0070C0"/>
                <w:sz w:val="24"/>
                <w:szCs w:val="24"/>
              </w:rPr>
            </w:pPr>
            <w:r w:rsidRPr="0064032E">
              <w:rPr>
                <w:color w:val="0070C0"/>
                <w:sz w:val="24"/>
                <w:szCs w:val="24"/>
              </w:rPr>
              <w:t xml:space="preserve"> Додатково проводиться окремий аналіз по кошторисах виконаних приєднань господарським і підрядним способами </w:t>
            </w:r>
            <w:r w:rsidRPr="0064032E">
              <w:rPr>
                <w:b/>
                <w:bCs/>
                <w:strike/>
                <w:color w:val="0070C0"/>
                <w:sz w:val="24"/>
                <w:szCs w:val="24"/>
              </w:rPr>
              <w:t>з найбільшими</w:t>
            </w:r>
            <w:r w:rsidRPr="0064032E">
              <w:rPr>
                <w:color w:val="0070C0"/>
                <w:sz w:val="24"/>
                <w:szCs w:val="24"/>
              </w:rPr>
              <w:t xml:space="preserve"> </w:t>
            </w:r>
            <w:r w:rsidRPr="0064032E">
              <w:rPr>
                <w:b/>
                <w:bCs/>
                <w:color w:val="0070C0"/>
                <w:sz w:val="24"/>
                <w:szCs w:val="24"/>
              </w:rPr>
              <w:t>усередненими</w:t>
            </w:r>
            <w:r w:rsidRPr="0064032E">
              <w:rPr>
                <w:color w:val="0070C0"/>
                <w:sz w:val="24"/>
                <w:szCs w:val="24"/>
              </w:rPr>
              <w:t xml:space="preserve"> витратами:</w:t>
            </w:r>
          </w:p>
          <w:p w:rsidR="00E85CB2" w:rsidRPr="0064032E" w:rsidRDefault="00E85CB2" w:rsidP="008E4104">
            <w:pPr>
              <w:pStyle w:val="rvps2"/>
              <w:shd w:val="clear" w:color="auto" w:fill="FFFFFF"/>
              <w:spacing w:before="0" w:beforeAutospacing="0" w:after="0" w:afterAutospacing="0"/>
              <w:ind w:firstLine="450"/>
              <w:jc w:val="both"/>
              <w:rPr>
                <w:rFonts w:eastAsiaTheme="minorHAnsi"/>
                <w:color w:val="0070C0"/>
                <w:shd w:val="clear" w:color="auto" w:fill="FFFFFF"/>
                <w:lang w:eastAsia="en-US"/>
              </w:rPr>
            </w:pPr>
            <w:r w:rsidRPr="0064032E">
              <w:rPr>
                <w:rFonts w:eastAsiaTheme="minorHAnsi"/>
                <w:color w:val="0070C0"/>
                <w:shd w:val="clear" w:color="auto" w:fill="FFFFFF"/>
                <w:lang w:eastAsia="en-US"/>
              </w:rPr>
              <w:lastRenderedPageBreak/>
              <w:t xml:space="preserve">по </w:t>
            </w:r>
            <w:r w:rsidRPr="0064032E">
              <w:rPr>
                <w:b/>
                <w:bCs/>
                <w:strike/>
                <w:color w:val="0070C0"/>
              </w:rPr>
              <w:t>п’ять</w:t>
            </w:r>
            <w:r w:rsidRPr="0064032E">
              <w:rPr>
                <w:rFonts w:eastAsiaTheme="minorHAnsi"/>
                <w:b/>
                <w:color w:val="0070C0"/>
                <w:lang w:eastAsia="en-US"/>
              </w:rPr>
              <w:t xml:space="preserve"> шість</w:t>
            </w:r>
            <w:r w:rsidRPr="0064032E">
              <w:rPr>
                <w:rFonts w:eastAsiaTheme="minorHAnsi"/>
                <w:color w:val="0070C0"/>
                <w:shd w:val="clear" w:color="auto" w:fill="FFFFFF"/>
                <w:lang w:eastAsia="en-US"/>
              </w:rPr>
              <w:t xml:space="preserve"> кошторисів для стандартних приєднань для міської та сільської місцевостей, виконаних підрядним способом </w:t>
            </w:r>
            <w:r w:rsidRPr="0064032E">
              <w:rPr>
                <w:rFonts w:eastAsiaTheme="minorHAnsi"/>
                <w:b/>
                <w:color w:val="0070C0"/>
                <w:lang w:eastAsia="en-US"/>
              </w:rPr>
              <w:t>з найбільшими</w:t>
            </w:r>
            <w:r w:rsidRPr="0064032E">
              <w:rPr>
                <w:rFonts w:eastAsiaTheme="minorHAnsi"/>
                <w:b/>
                <w:color w:val="0070C0"/>
                <w:lang w:val="ru-RU" w:eastAsia="en-US"/>
              </w:rPr>
              <w:t xml:space="preserve"> </w:t>
            </w:r>
            <w:r w:rsidRPr="0064032E">
              <w:rPr>
                <w:rFonts w:eastAsiaTheme="minorHAnsi"/>
                <w:b/>
                <w:color w:val="0070C0"/>
                <w:lang w:eastAsia="en-US"/>
              </w:rPr>
              <w:t xml:space="preserve">та найменшими  витратами (по </w:t>
            </w:r>
            <w:r w:rsidRPr="0064032E">
              <w:rPr>
                <w:rFonts w:eastAsiaTheme="minorHAnsi"/>
                <w:b/>
                <w:color w:val="0070C0"/>
                <w:lang w:val="ru-RU" w:eastAsia="en-US"/>
              </w:rPr>
              <w:t>3</w:t>
            </w:r>
            <w:r w:rsidRPr="0064032E">
              <w:rPr>
                <w:rFonts w:eastAsiaTheme="minorHAnsi"/>
                <w:b/>
                <w:color w:val="0070C0"/>
                <w:lang w:eastAsia="en-US"/>
              </w:rPr>
              <w:t xml:space="preserve"> кошториси з кожної групи)</w:t>
            </w:r>
            <w:r w:rsidRPr="0064032E">
              <w:rPr>
                <w:rFonts w:eastAsiaTheme="minorHAnsi"/>
                <w:color w:val="0070C0"/>
                <w:shd w:val="clear" w:color="auto" w:fill="FFFFFF"/>
                <w:lang w:eastAsia="en-US"/>
              </w:rPr>
              <w:t>;</w:t>
            </w:r>
          </w:p>
          <w:p w:rsidR="00E85CB2" w:rsidRPr="0064032E" w:rsidRDefault="00E85CB2" w:rsidP="008E4104">
            <w:pPr>
              <w:shd w:val="clear" w:color="auto" w:fill="FFFFFF"/>
              <w:ind w:firstLine="450"/>
              <w:jc w:val="both"/>
              <w:rPr>
                <w:color w:val="0070C0"/>
                <w:sz w:val="24"/>
                <w:szCs w:val="24"/>
                <w:shd w:val="clear" w:color="auto" w:fill="FFFFFF"/>
              </w:rPr>
            </w:pPr>
            <w:r w:rsidRPr="0064032E">
              <w:rPr>
                <w:color w:val="0070C0"/>
                <w:sz w:val="24"/>
                <w:szCs w:val="24"/>
                <w:shd w:val="clear" w:color="auto" w:fill="FFFFFF"/>
              </w:rPr>
              <w:t xml:space="preserve">по </w:t>
            </w:r>
            <w:r w:rsidRPr="0064032E">
              <w:rPr>
                <w:b/>
                <w:bCs/>
                <w:strike/>
                <w:color w:val="0070C0"/>
                <w:sz w:val="24"/>
                <w:szCs w:val="24"/>
              </w:rPr>
              <w:t>п’ять</w:t>
            </w:r>
            <w:r w:rsidRPr="0064032E">
              <w:rPr>
                <w:b/>
                <w:color w:val="0070C0"/>
                <w:sz w:val="24"/>
                <w:szCs w:val="24"/>
              </w:rPr>
              <w:t xml:space="preserve"> шість</w:t>
            </w:r>
            <w:r w:rsidRPr="0064032E">
              <w:rPr>
                <w:color w:val="0070C0"/>
                <w:sz w:val="24"/>
                <w:szCs w:val="24"/>
                <w:shd w:val="clear" w:color="auto" w:fill="FFFFFF"/>
              </w:rPr>
              <w:t xml:space="preserve"> кошторисів для стандартних приєднань для міської та сільської місцевостей, виконаних господарським способом </w:t>
            </w:r>
            <w:r w:rsidRPr="0064032E">
              <w:rPr>
                <w:b/>
                <w:color w:val="0070C0"/>
                <w:sz w:val="24"/>
                <w:szCs w:val="24"/>
              </w:rPr>
              <w:t>з найбільшими</w:t>
            </w:r>
            <w:r w:rsidRPr="0064032E">
              <w:rPr>
                <w:b/>
                <w:color w:val="0070C0"/>
                <w:sz w:val="24"/>
                <w:szCs w:val="24"/>
                <w:lang w:val="ru-RU"/>
              </w:rPr>
              <w:t xml:space="preserve"> </w:t>
            </w:r>
            <w:r w:rsidRPr="0064032E">
              <w:rPr>
                <w:b/>
                <w:color w:val="0070C0"/>
                <w:sz w:val="24"/>
                <w:szCs w:val="24"/>
              </w:rPr>
              <w:t xml:space="preserve">та найменшими витратами (по </w:t>
            </w:r>
            <w:r w:rsidRPr="0064032E">
              <w:rPr>
                <w:b/>
                <w:color w:val="0070C0"/>
                <w:sz w:val="24"/>
                <w:szCs w:val="24"/>
                <w:lang w:val="ru-RU"/>
              </w:rPr>
              <w:t>3</w:t>
            </w:r>
            <w:r w:rsidRPr="0064032E">
              <w:rPr>
                <w:b/>
                <w:color w:val="0070C0"/>
                <w:sz w:val="24"/>
                <w:szCs w:val="24"/>
              </w:rPr>
              <w:t xml:space="preserve"> кошториси з кожної групи)</w:t>
            </w:r>
            <w:r w:rsidRPr="0064032E">
              <w:rPr>
                <w:color w:val="0070C0"/>
                <w:sz w:val="24"/>
                <w:szCs w:val="24"/>
                <w:shd w:val="clear" w:color="auto" w:fill="FFFFFF"/>
              </w:rPr>
              <w:t>.</w:t>
            </w:r>
          </w:p>
          <w:p w:rsidR="00E85CB2" w:rsidRPr="0064032E" w:rsidRDefault="00E85CB2" w:rsidP="008E4104">
            <w:pPr>
              <w:shd w:val="clear" w:color="auto" w:fill="FFFFFF"/>
              <w:ind w:firstLine="450"/>
              <w:jc w:val="both"/>
              <w:rPr>
                <w:b/>
                <w:bCs/>
                <w:color w:val="0070C0"/>
                <w:sz w:val="24"/>
                <w:szCs w:val="24"/>
                <w:shd w:val="clear" w:color="auto" w:fill="FFFFFF"/>
              </w:rPr>
            </w:pPr>
            <w:r w:rsidRPr="0064032E">
              <w:rPr>
                <w:b/>
                <w:bCs/>
                <w:color w:val="0070C0"/>
                <w:sz w:val="24"/>
                <w:szCs w:val="24"/>
                <w:shd w:val="clear" w:color="auto" w:fill="FFFFFF"/>
              </w:rPr>
              <w:t>У разі якщо кошториси, згідно з якими проведено аналіз не є типовими щодо групи кошторисів, щодо яких проводиться аналіз, за зверненням ОСР проводиться аналіз по додаткових типових проектам.</w:t>
            </w:r>
          </w:p>
          <w:p w:rsidR="00E85CB2" w:rsidRPr="0064032E" w:rsidRDefault="00E85CB2" w:rsidP="008E4104">
            <w:pPr>
              <w:shd w:val="clear" w:color="auto" w:fill="FFFFFF"/>
              <w:ind w:firstLine="450"/>
              <w:jc w:val="both"/>
              <w:rPr>
                <w:b/>
                <w:bCs/>
                <w:color w:val="0070C0"/>
                <w:sz w:val="24"/>
                <w:szCs w:val="24"/>
                <w:shd w:val="clear" w:color="auto" w:fill="FFFFFF"/>
              </w:rPr>
            </w:pPr>
          </w:p>
          <w:p w:rsidR="00E85CB2" w:rsidRPr="0064032E" w:rsidRDefault="00E85CB2" w:rsidP="008E4104">
            <w:pPr>
              <w:shd w:val="clear" w:color="auto" w:fill="FFFFFF"/>
              <w:jc w:val="both"/>
              <w:rPr>
                <w:b/>
                <w:bCs/>
                <w:color w:val="0070C0"/>
                <w:sz w:val="24"/>
                <w:szCs w:val="24"/>
                <w:shd w:val="clear" w:color="auto" w:fill="FFFFFF"/>
              </w:rPr>
            </w:pPr>
            <w:r w:rsidRPr="0064032E">
              <w:rPr>
                <w:b/>
                <w:bCs/>
                <w:color w:val="0070C0"/>
                <w:sz w:val="24"/>
                <w:szCs w:val="24"/>
                <w:shd w:val="clear" w:color="auto" w:fill="FFFFFF"/>
              </w:rPr>
              <w:t>2 Варіант.</w:t>
            </w:r>
          </w:p>
          <w:p w:rsidR="00E85CB2" w:rsidRPr="0064032E" w:rsidRDefault="00E85CB2" w:rsidP="008E4104">
            <w:pPr>
              <w:pStyle w:val="rvps2"/>
              <w:shd w:val="clear" w:color="auto" w:fill="FFFFFF"/>
              <w:spacing w:before="0" w:beforeAutospacing="0" w:after="0" w:afterAutospacing="0"/>
              <w:ind w:firstLine="450"/>
              <w:jc w:val="both"/>
              <w:rPr>
                <w:rFonts w:eastAsiaTheme="minorHAnsi"/>
                <w:color w:val="0070C0"/>
                <w:shd w:val="clear" w:color="auto" w:fill="FFFFFF"/>
                <w:lang w:eastAsia="en-US"/>
              </w:rPr>
            </w:pPr>
            <w:r w:rsidRPr="0064032E">
              <w:rPr>
                <w:rFonts w:eastAsiaTheme="minorHAnsi"/>
                <w:color w:val="0070C0"/>
                <w:shd w:val="clear" w:color="auto" w:fill="FFFFFF"/>
                <w:lang w:eastAsia="en-US"/>
              </w:rPr>
              <w:t>Додатково проводиться окремий аналіз по кошторисах виконаних приєднань господарським і підрядним способами з найбільшими витратами:</w:t>
            </w:r>
          </w:p>
          <w:p w:rsidR="00E85CB2" w:rsidRPr="0064032E" w:rsidRDefault="00E85CB2" w:rsidP="008E4104">
            <w:pPr>
              <w:pStyle w:val="rvps2"/>
              <w:spacing w:before="0" w:beforeAutospacing="0" w:after="0" w:afterAutospacing="0"/>
              <w:ind w:firstLine="450"/>
              <w:jc w:val="both"/>
              <w:rPr>
                <w:rFonts w:eastAsiaTheme="minorHAnsi"/>
                <w:b/>
                <w:bCs/>
                <w:color w:val="0070C0"/>
                <w:shd w:val="clear" w:color="auto" w:fill="FFFFFF"/>
                <w:lang w:eastAsia="en-US"/>
              </w:rPr>
            </w:pPr>
            <w:r w:rsidRPr="0064032E">
              <w:rPr>
                <w:rFonts w:eastAsiaTheme="minorHAnsi"/>
                <w:color w:val="0070C0"/>
                <w:shd w:val="clear" w:color="auto" w:fill="FFFFFF"/>
                <w:lang w:eastAsia="en-US"/>
              </w:rPr>
              <w:t xml:space="preserve">по п’ять кошторисів для стандартних приєднань для міської та сільської місцевостей, виконаних </w:t>
            </w:r>
            <w:r w:rsidRPr="0064032E">
              <w:rPr>
                <w:rFonts w:eastAsiaTheme="minorHAnsi"/>
                <w:b/>
                <w:bCs/>
                <w:color w:val="0070C0"/>
                <w:shd w:val="clear" w:color="auto" w:fill="FFFFFF"/>
                <w:lang w:eastAsia="en-US"/>
              </w:rPr>
              <w:t>підрядним способом</w:t>
            </w:r>
            <w:r w:rsidRPr="0064032E">
              <w:rPr>
                <w:rFonts w:eastAsiaTheme="minorHAnsi"/>
                <w:color w:val="0070C0"/>
                <w:shd w:val="clear" w:color="auto" w:fill="FFFFFF"/>
                <w:lang w:eastAsia="en-US"/>
              </w:rPr>
              <w:t xml:space="preserve"> </w:t>
            </w:r>
            <w:r w:rsidRPr="0064032E">
              <w:rPr>
                <w:rFonts w:eastAsiaTheme="minorHAnsi"/>
                <w:b/>
                <w:bCs/>
                <w:color w:val="0070C0"/>
                <w:shd w:val="clear" w:color="auto" w:fill="FFFFFF"/>
                <w:lang w:eastAsia="en-US"/>
              </w:rPr>
              <w:t>без урахування приєднань з заміною/встановленням силових трансформаторів;</w:t>
            </w:r>
          </w:p>
          <w:p w:rsidR="00E85CB2" w:rsidRPr="0064032E" w:rsidRDefault="00E85CB2" w:rsidP="008E4104">
            <w:pPr>
              <w:ind w:firstLine="450"/>
              <w:jc w:val="both"/>
              <w:rPr>
                <w:b/>
                <w:bCs/>
                <w:color w:val="0070C0"/>
                <w:sz w:val="24"/>
                <w:szCs w:val="24"/>
                <w:shd w:val="clear" w:color="auto" w:fill="FFFFFF"/>
              </w:rPr>
            </w:pPr>
            <w:r w:rsidRPr="0064032E">
              <w:rPr>
                <w:color w:val="0070C0"/>
                <w:sz w:val="24"/>
                <w:szCs w:val="24"/>
                <w:shd w:val="clear" w:color="auto" w:fill="FFFFFF"/>
              </w:rPr>
              <w:t xml:space="preserve">по п’ять кошторисів для стандартних приєднань для міської та сільської місцевостей, виконаних </w:t>
            </w:r>
            <w:r w:rsidRPr="0064032E">
              <w:rPr>
                <w:b/>
                <w:bCs/>
                <w:color w:val="0070C0"/>
                <w:sz w:val="24"/>
                <w:szCs w:val="24"/>
                <w:shd w:val="clear" w:color="auto" w:fill="FFFFFF"/>
              </w:rPr>
              <w:lastRenderedPageBreak/>
              <w:t>господарським способом</w:t>
            </w:r>
            <w:r w:rsidRPr="0064032E">
              <w:rPr>
                <w:color w:val="0070C0"/>
                <w:sz w:val="24"/>
                <w:szCs w:val="24"/>
                <w:shd w:val="clear" w:color="auto" w:fill="FFFFFF"/>
              </w:rPr>
              <w:t xml:space="preserve"> </w:t>
            </w:r>
            <w:r w:rsidRPr="0064032E">
              <w:rPr>
                <w:b/>
                <w:bCs/>
                <w:color w:val="0070C0"/>
                <w:sz w:val="24"/>
                <w:szCs w:val="24"/>
                <w:shd w:val="clear" w:color="auto" w:fill="FFFFFF"/>
              </w:rPr>
              <w:t>без урахування приєднань з заміною/встановленням силових трансформаторів;</w:t>
            </w:r>
          </w:p>
          <w:p w:rsidR="00E85CB2" w:rsidRDefault="00E85CB2" w:rsidP="008E4104">
            <w:pPr>
              <w:ind w:firstLine="450"/>
              <w:jc w:val="both"/>
              <w:rPr>
                <w:b/>
                <w:bCs/>
                <w:color w:val="0070C0"/>
                <w:sz w:val="24"/>
                <w:szCs w:val="24"/>
                <w:shd w:val="clear" w:color="auto" w:fill="FFFFFF"/>
              </w:rPr>
            </w:pPr>
            <w:r w:rsidRPr="0064032E">
              <w:rPr>
                <w:b/>
                <w:bCs/>
                <w:color w:val="0070C0"/>
                <w:sz w:val="24"/>
                <w:szCs w:val="24"/>
                <w:shd w:val="clear" w:color="auto" w:fill="FFFFFF"/>
              </w:rPr>
              <w:t xml:space="preserve">по п’ять кошторисів для стандартних приєднань для міської та сільської місцевостей, виконаних </w:t>
            </w:r>
            <w:r w:rsidRPr="0064032E">
              <w:rPr>
                <w:b/>
                <w:bCs/>
                <w:color w:val="0070C0"/>
                <w:sz w:val="24"/>
                <w:szCs w:val="24"/>
                <w:u w:val="single"/>
                <w:shd w:val="clear" w:color="auto" w:fill="FFFFFF"/>
              </w:rPr>
              <w:t>господарським способом</w:t>
            </w:r>
            <w:r w:rsidRPr="0064032E">
              <w:rPr>
                <w:b/>
                <w:bCs/>
                <w:color w:val="0070C0"/>
                <w:sz w:val="24"/>
                <w:szCs w:val="24"/>
                <w:shd w:val="clear" w:color="auto" w:fill="FFFFFF"/>
              </w:rPr>
              <w:t xml:space="preserve"> з урахування приєднань з заміною/встановленням силових трансформаторів;</w:t>
            </w:r>
          </w:p>
          <w:p w:rsidR="00E85CB2" w:rsidRPr="0064032E" w:rsidRDefault="00E85CB2" w:rsidP="008E4104">
            <w:pPr>
              <w:ind w:firstLine="450"/>
              <w:jc w:val="both"/>
              <w:rPr>
                <w:b/>
                <w:bCs/>
                <w:color w:val="0070C0"/>
                <w:sz w:val="24"/>
                <w:szCs w:val="24"/>
                <w:shd w:val="clear" w:color="auto" w:fill="FFFFFF"/>
              </w:rPr>
            </w:pPr>
            <w:r w:rsidRPr="0064032E">
              <w:rPr>
                <w:b/>
                <w:bCs/>
                <w:color w:val="0070C0"/>
                <w:sz w:val="24"/>
                <w:szCs w:val="24"/>
                <w:shd w:val="clear" w:color="auto" w:fill="FFFFFF"/>
              </w:rPr>
              <w:t xml:space="preserve">по п’ять кошторисів для стандартних приєднань для міської та сільської місцевостей, виконаних </w:t>
            </w:r>
            <w:r w:rsidRPr="0064032E">
              <w:rPr>
                <w:b/>
                <w:bCs/>
                <w:color w:val="0070C0"/>
                <w:sz w:val="24"/>
                <w:szCs w:val="24"/>
                <w:u w:val="single"/>
                <w:shd w:val="clear" w:color="auto" w:fill="FFFFFF"/>
              </w:rPr>
              <w:t>підрядним способом</w:t>
            </w:r>
            <w:r w:rsidRPr="0064032E">
              <w:rPr>
                <w:b/>
                <w:bCs/>
                <w:color w:val="0070C0"/>
                <w:sz w:val="24"/>
                <w:szCs w:val="24"/>
                <w:shd w:val="clear" w:color="auto" w:fill="FFFFFF"/>
              </w:rPr>
              <w:t xml:space="preserve"> з урахування приєднань з заміною/встановленням силових трансформаторів.</w:t>
            </w:r>
          </w:p>
          <w:p w:rsidR="00E85CB2" w:rsidRDefault="00E85CB2" w:rsidP="008E4104">
            <w:pPr>
              <w:shd w:val="clear" w:color="auto" w:fill="FFFFFF"/>
              <w:ind w:firstLine="450"/>
              <w:jc w:val="both"/>
              <w:rPr>
                <w:b/>
                <w:bCs/>
                <w:color w:val="0070C0"/>
                <w:sz w:val="24"/>
                <w:szCs w:val="24"/>
                <w:shd w:val="clear" w:color="auto" w:fill="FFFFFF"/>
              </w:rPr>
            </w:pPr>
            <w:r w:rsidRPr="0064032E">
              <w:rPr>
                <w:b/>
                <w:bCs/>
                <w:color w:val="0070C0"/>
                <w:sz w:val="24"/>
                <w:szCs w:val="24"/>
                <w:shd w:val="clear" w:color="auto" w:fill="FFFFFF"/>
              </w:rPr>
              <w:t>У разі якщо кошториси, згідно з якими проведено аналіз не є типовими щодо групи кошторисів, щодо яких проводиться аналіз, за зверненням ОСР проводиться аналіз по додаткових типових проектам.</w:t>
            </w:r>
          </w:p>
          <w:p w:rsidR="00E85CB2" w:rsidRPr="0064032E" w:rsidRDefault="00E85CB2" w:rsidP="008E4104">
            <w:pPr>
              <w:shd w:val="clear" w:color="auto" w:fill="FFFFFF"/>
              <w:ind w:firstLine="450"/>
              <w:jc w:val="both"/>
              <w:rPr>
                <w:b/>
                <w:bCs/>
                <w:color w:val="0070C0"/>
                <w:sz w:val="24"/>
                <w:szCs w:val="24"/>
                <w:shd w:val="clear" w:color="auto" w:fill="FFFFFF"/>
              </w:rPr>
            </w:pPr>
            <w:r w:rsidRPr="0064032E">
              <w:rPr>
                <w:b/>
                <w:bCs/>
                <w:color w:val="0070C0"/>
                <w:sz w:val="24"/>
                <w:szCs w:val="24"/>
              </w:rPr>
              <w:t xml:space="preserve">Вартісні показники на матеріали та обладнання, які враховуються із застосуванням коефіцієнта 1,1. </w:t>
            </w:r>
          </w:p>
          <w:p w:rsidR="00E85CB2" w:rsidRPr="0064032E" w:rsidRDefault="00E85CB2" w:rsidP="008E4104">
            <w:pPr>
              <w:ind w:firstLine="447"/>
              <w:jc w:val="both"/>
              <w:rPr>
                <w:b/>
                <w:bCs/>
                <w:color w:val="0070C0"/>
                <w:sz w:val="24"/>
                <w:szCs w:val="24"/>
              </w:rPr>
            </w:pPr>
            <w:r w:rsidRPr="0064032E">
              <w:rPr>
                <w:b/>
                <w:bCs/>
                <w:color w:val="0070C0"/>
                <w:sz w:val="24"/>
                <w:szCs w:val="24"/>
              </w:rPr>
              <w:t>Вартісні показники доводяться до ОСР до 10 січня поточного року на поточний рік, з вказанням джерел формування таких цін. Вартісні показники публікуються на сайті НКРЕКП.</w:t>
            </w:r>
          </w:p>
          <w:p w:rsidR="00E85CB2" w:rsidRPr="0064032E" w:rsidRDefault="00E85CB2" w:rsidP="008E4104">
            <w:pPr>
              <w:ind w:firstLine="447"/>
              <w:jc w:val="both"/>
              <w:rPr>
                <w:b/>
                <w:bCs/>
                <w:color w:val="0070C0"/>
                <w:sz w:val="24"/>
                <w:szCs w:val="24"/>
              </w:rPr>
            </w:pPr>
            <w:r w:rsidRPr="0064032E">
              <w:rPr>
                <w:color w:val="0070C0"/>
                <w:sz w:val="24"/>
                <w:szCs w:val="24"/>
              </w:rPr>
              <w:t xml:space="preserve">У разі придбання обладнання/матеріалів, по яких відсутні цінові показники, граничні ціни </w:t>
            </w:r>
            <w:r w:rsidRPr="0064032E">
              <w:rPr>
                <w:color w:val="0070C0"/>
                <w:sz w:val="24"/>
                <w:szCs w:val="24"/>
              </w:rPr>
              <w:lastRenderedPageBreak/>
              <w:t xml:space="preserve">визначаються виходячи з вартості складових обладнання в разі можливості такого аналізу  </w:t>
            </w:r>
            <w:r w:rsidRPr="0064032E">
              <w:rPr>
                <w:b/>
                <w:bCs/>
                <w:color w:val="0070C0"/>
                <w:sz w:val="24"/>
                <w:szCs w:val="24"/>
              </w:rPr>
              <w:t>та  з урахуванням цін від виробника згідно договору закупки,  підтвердженими товарними накладними, комерційними пропозиціями та обумовленими технічними характеристиками проектно-кошторисної документації.</w:t>
            </w:r>
          </w:p>
          <w:p w:rsidR="00E85CB2" w:rsidRPr="00F05B07" w:rsidRDefault="00E85CB2" w:rsidP="008E4104">
            <w:pPr>
              <w:ind w:firstLine="224"/>
              <w:contextualSpacing/>
              <w:jc w:val="both"/>
              <w:rPr>
                <w:b/>
                <w:sz w:val="24"/>
                <w:szCs w:val="24"/>
                <w:u w:val="single"/>
              </w:rPr>
            </w:pPr>
            <w:r w:rsidRPr="0064032E">
              <w:rPr>
                <w:color w:val="0070C0"/>
                <w:sz w:val="24"/>
                <w:szCs w:val="24"/>
                <w:shd w:val="clear" w:color="auto" w:fill="FFFFFF"/>
              </w:rPr>
              <w:t>Результати аналізу застосовуються пропорційно до кожного напряму для визначення 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r w:rsidRPr="0064032E">
              <w:rPr>
                <w:color w:val="0070C0"/>
                <w:sz w:val="24"/>
                <w:szCs w:val="24"/>
                <w:shd w:val="clear" w:color="auto" w:fill="FFFFFF"/>
                <w:lang w:val="ru-RU"/>
              </w:rPr>
              <w:t xml:space="preserve"> </w:t>
            </w:r>
            <w:r w:rsidRPr="0064032E">
              <w:rPr>
                <w:b/>
                <w:bCs/>
                <w:color w:val="0070C0"/>
                <w:sz w:val="24"/>
                <w:szCs w:val="24"/>
                <w:shd w:val="clear" w:color="auto" w:fill="FFFFFF"/>
              </w:rPr>
              <w:t>Результати аналізу, що утворюються за рахунок різниці між вартістю матеріалів та обладнання, використаних під час надання послуг з приєднань, та вартісними показниками, повинні враховувати всі відхилення вартостей,  як від’ємні так і плюсові значення. У разі отримання плюсового значення, визнати результати аналізу</w:t>
            </w:r>
            <w:r w:rsidRPr="0064032E">
              <w:rPr>
                <w:b/>
                <w:bCs/>
                <w:color w:val="0070C0"/>
                <w:sz w:val="24"/>
                <w:szCs w:val="24"/>
                <w:shd w:val="clear" w:color="auto" w:fill="FFFFFF"/>
                <w:lang w:val="ru-RU"/>
              </w:rPr>
              <w:t xml:space="preserve"> такими</w:t>
            </w:r>
            <w:r w:rsidRPr="0064032E">
              <w:rPr>
                <w:b/>
                <w:bCs/>
                <w:color w:val="0070C0"/>
                <w:sz w:val="24"/>
                <w:szCs w:val="24"/>
                <w:shd w:val="clear" w:color="auto" w:fill="FFFFFF"/>
              </w:rPr>
              <w:t>, що дорівнюють 1.</w:t>
            </w:r>
          </w:p>
        </w:tc>
        <w:tc>
          <w:tcPr>
            <w:tcW w:w="3685" w:type="dxa"/>
          </w:tcPr>
          <w:p w:rsidR="00E85CB2" w:rsidRPr="0075273B" w:rsidRDefault="00E85CB2" w:rsidP="008E4104">
            <w:pPr>
              <w:pStyle w:val="a6"/>
              <w:spacing w:before="0" w:beforeAutospacing="0" w:after="0" w:afterAutospacing="0"/>
              <w:jc w:val="both"/>
              <w:rPr>
                <w:lang w:val="uk-UA"/>
              </w:rPr>
            </w:pPr>
            <w:r w:rsidRPr="0075273B">
              <w:rPr>
                <w:b/>
                <w:u w:val="single"/>
              </w:rPr>
              <w:lastRenderedPageBreak/>
              <w:t>ПрАТ «ДТЕК Київські регіональні електромережі»</w:t>
            </w:r>
          </w:p>
          <w:p w:rsidR="00E85CB2" w:rsidRPr="0075273B" w:rsidRDefault="00E85CB2" w:rsidP="008E4104">
            <w:pPr>
              <w:pStyle w:val="a6"/>
              <w:spacing w:before="0" w:beforeAutospacing="0" w:after="0" w:afterAutospacing="0"/>
              <w:ind w:firstLine="182"/>
              <w:jc w:val="both"/>
              <w:rPr>
                <w:lang w:val="uk-UA"/>
              </w:rPr>
            </w:pPr>
            <w:r w:rsidRPr="0075273B">
              <w:rPr>
                <w:lang w:val="uk-UA"/>
              </w:rPr>
              <w:t>1 варіант</w:t>
            </w: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При перевірці щодо розрахунку дефіциту/профіциту коштів ПрАТ «ДТЕК КИЇВСЬКІ РЕГІОНАЛЬНІ ЕЛЕКТРОМЕРЕЖІ» було виявлено, наступні невідповідності:</w:t>
            </w:r>
          </w:p>
          <w:p w:rsidR="00E85CB2" w:rsidRPr="0075273B" w:rsidRDefault="00E85CB2" w:rsidP="008E4104">
            <w:pPr>
              <w:ind w:firstLine="182"/>
              <w:jc w:val="both"/>
              <w:rPr>
                <w:sz w:val="24"/>
                <w:szCs w:val="24"/>
              </w:rPr>
            </w:pPr>
            <w:r w:rsidRPr="0075273B">
              <w:rPr>
                <w:sz w:val="24"/>
                <w:szCs w:val="24"/>
              </w:rPr>
              <w:t xml:space="preserve">при аналізі витрат і застосуванні коефіцієнтів, які були розраховані посилаючись на вибіркову кількість ТУ виключно з встановленням ТП і різницю у вартості даних трансформаторів, недоцільно використовувати дані коефіцієнти на всі об’єкти, які були реалізовані, включаючи ТУ без реконструкції/встановлення трансформаторів. </w:t>
            </w:r>
          </w:p>
          <w:p w:rsidR="00E85CB2" w:rsidRPr="0075273B" w:rsidRDefault="00E85CB2" w:rsidP="008E4104">
            <w:pPr>
              <w:pStyle w:val="a6"/>
              <w:spacing w:before="0" w:beforeAutospacing="0" w:after="0" w:afterAutospacing="0"/>
              <w:ind w:firstLine="182"/>
              <w:jc w:val="both"/>
              <w:rPr>
                <w:shd w:val="clear" w:color="auto" w:fill="FFFFFF"/>
                <w:lang w:val="uk-UA"/>
              </w:rPr>
            </w:pPr>
            <w:r w:rsidRPr="0075273B">
              <w:rPr>
                <w:lang w:val="uk-UA"/>
              </w:rPr>
              <w:lastRenderedPageBreak/>
              <w:t xml:space="preserve">Пропонуємо для розрахунку Копт збільшити кількість критеріїв для аналізу кошторисів </w:t>
            </w:r>
            <w:r w:rsidRPr="0075273B">
              <w:rPr>
                <w:shd w:val="clear" w:color="auto" w:fill="FFFFFF"/>
                <w:lang w:val="uk-UA"/>
              </w:rPr>
              <w:t>виконаних приєднань, що дозволить зробити даний коефіцієнт більш точним (достовірним).</w:t>
            </w:r>
          </w:p>
          <w:p w:rsidR="00E85CB2" w:rsidRPr="0075273B" w:rsidRDefault="00E85CB2" w:rsidP="008E4104">
            <w:pPr>
              <w:pStyle w:val="a6"/>
              <w:spacing w:before="0" w:beforeAutospacing="0" w:after="0" w:afterAutospacing="0"/>
              <w:ind w:firstLine="182"/>
              <w:jc w:val="both"/>
              <w:rPr>
                <w:shd w:val="clear" w:color="auto" w:fill="FFFFFF"/>
                <w:lang w:val="uk-UA"/>
              </w:rPr>
            </w:pP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2 варіант.</w:t>
            </w: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При перевірці щодо розрахунку дефіциту/профіциту коштів ПрАТ «ДТЕК КИЇВСЬКІ РЕГІОНАЛЬНІ ЕЛЕКТРОМЕРЕЖІ» було виявлено, наступні невідповідності:</w:t>
            </w:r>
          </w:p>
          <w:p w:rsidR="00E85CB2" w:rsidRPr="0075273B" w:rsidRDefault="00E85CB2" w:rsidP="008E4104">
            <w:pPr>
              <w:ind w:firstLine="182"/>
              <w:jc w:val="both"/>
              <w:rPr>
                <w:sz w:val="24"/>
                <w:szCs w:val="24"/>
              </w:rPr>
            </w:pPr>
            <w:r w:rsidRPr="0075273B">
              <w:rPr>
                <w:sz w:val="24"/>
                <w:szCs w:val="24"/>
              </w:rPr>
              <w:t xml:space="preserve">при аналізі витрат і застосуванні коефіцієнтів, які були розраховані посилаючись на вибіркову кількість ТУ виключно з встановленням ТП і різницю у вартості даних трансформаторів, недоцільно використовувати дані коефіцієнти на всі об’єкти, які були реалізовані, включаючи ТУ без реконструкції/встановлення трансформаторів.   </w:t>
            </w:r>
          </w:p>
          <w:p w:rsidR="00E85CB2" w:rsidRPr="0075273B" w:rsidRDefault="00E85CB2" w:rsidP="008E4104">
            <w:pPr>
              <w:ind w:firstLine="182"/>
              <w:jc w:val="both"/>
              <w:rPr>
                <w:sz w:val="24"/>
                <w:szCs w:val="24"/>
              </w:rPr>
            </w:pPr>
            <w:r w:rsidRPr="0075273B">
              <w:rPr>
                <w:sz w:val="24"/>
                <w:szCs w:val="24"/>
              </w:rPr>
              <w:t xml:space="preserve">Тому вважаємо за потрібне застосовувати дані коефіцієнти тільки для приєднань, де відбувалось встановлення ТП, а до всіх інших розрахувати інший коефіцієнт. Пропонуємо для </w:t>
            </w:r>
            <w:r w:rsidRPr="0075273B">
              <w:rPr>
                <w:sz w:val="24"/>
                <w:szCs w:val="24"/>
              </w:rPr>
              <w:lastRenderedPageBreak/>
              <w:t>розрахунку Копт збільшити кількість критеріїв для аналізу кошторисів виконаних приєднань.</w:t>
            </w:r>
          </w:p>
          <w:p w:rsidR="00E85CB2" w:rsidRPr="0075273B" w:rsidRDefault="00E85CB2" w:rsidP="008E4104">
            <w:pPr>
              <w:ind w:firstLine="182"/>
              <w:jc w:val="both"/>
              <w:rPr>
                <w:sz w:val="24"/>
                <w:szCs w:val="24"/>
              </w:rPr>
            </w:pPr>
            <w:r w:rsidRPr="0075273B">
              <w:rPr>
                <w:sz w:val="24"/>
                <w:szCs w:val="24"/>
              </w:rPr>
              <w:t>Застосування цього підходу дозволить уникнути подвійне врахування витрат на заміну/встановлення силових трансформаторів в ТП  (Перший коли віднімаються витрати, за якими здійснювалось заміна/встановлення силових трансформаторів в ТП у формулі 3 та другий під час розрахунку К оптимізації, коли враховуються витрати, за якими здійснювалось заміна/встановлення силових трансформаторів в ТП).</w:t>
            </w:r>
          </w:p>
          <w:p w:rsidR="00E85CB2" w:rsidRPr="0075273B" w:rsidRDefault="00E85CB2" w:rsidP="008E4104">
            <w:pPr>
              <w:ind w:firstLine="182"/>
              <w:jc w:val="both"/>
              <w:rPr>
                <w:sz w:val="24"/>
                <w:szCs w:val="24"/>
              </w:rPr>
            </w:pPr>
            <w:r w:rsidRPr="0075273B">
              <w:rPr>
                <w:sz w:val="24"/>
                <w:szCs w:val="24"/>
              </w:rPr>
              <w:t>Немає точної інформації по вартості матеріалів та обладнання, якою можливо б було користуватися при закупівлі матеріалів та складанні договорів на придбання даних матеріалів та обладнання.</w:t>
            </w:r>
          </w:p>
          <w:p w:rsidR="00E85CB2" w:rsidRPr="0075273B" w:rsidRDefault="00E85CB2" w:rsidP="008E4104">
            <w:pPr>
              <w:ind w:firstLine="182"/>
              <w:jc w:val="both"/>
              <w:rPr>
                <w:sz w:val="24"/>
                <w:szCs w:val="24"/>
              </w:rPr>
            </w:pPr>
            <w:r w:rsidRPr="0075273B">
              <w:rPr>
                <w:sz w:val="24"/>
                <w:szCs w:val="24"/>
              </w:rPr>
              <w:t>Уточнення щодо застосування Копт.</w:t>
            </w:r>
          </w:p>
          <w:p w:rsidR="00E85CB2" w:rsidRPr="0075273B" w:rsidRDefault="00E85CB2" w:rsidP="008E4104">
            <w:pPr>
              <w:pStyle w:val="a6"/>
              <w:spacing w:before="0" w:beforeAutospacing="0" w:after="0" w:afterAutospacing="0"/>
              <w:ind w:firstLine="182"/>
              <w:jc w:val="both"/>
              <w:rPr>
                <w:b/>
                <w:u w:val="single"/>
              </w:rPr>
            </w:pPr>
            <w:r w:rsidRPr="0075273B">
              <w:rPr>
                <w:b/>
                <w:u w:val="single"/>
              </w:rPr>
              <w:t>ПрАТ «Рівнеобленерго»</w:t>
            </w:r>
          </w:p>
          <w:p w:rsidR="00E85CB2" w:rsidRPr="0075273B" w:rsidRDefault="00E85CB2" w:rsidP="008E4104">
            <w:pPr>
              <w:pStyle w:val="a6"/>
              <w:spacing w:before="0" w:beforeAutospacing="0" w:after="0" w:afterAutospacing="0"/>
              <w:ind w:firstLine="182"/>
              <w:jc w:val="both"/>
            </w:pPr>
            <w:r w:rsidRPr="0075273B">
              <w:t>1 варіант</w:t>
            </w:r>
          </w:p>
          <w:p w:rsidR="00E85CB2" w:rsidRPr="0075273B" w:rsidRDefault="00E85CB2" w:rsidP="008E4104">
            <w:pPr>
              <w:pStyle w:val="a6"/>
              <w:spacing w:before="0" w:beforeAutospacing="0" w:after="0" w:afterAutospacing="0"/>
              <w:ind w:firstLine="182"/>
              <w:jc w:val="both"/>
            </w:pPr>
            <w:r w:rsidRPr="0075273B">
              <w:t>При перевірці щодо розрахунку дефіциту/профіциту коштів ПрАТ «Рівнеобленерго» було виявлено, наступні невідповідності:</w:t>
            </w:r>
          </w:p>
          <w:p w:rsidR="00E85CB2" w:rsidRPr="0075273B" w:rsidRDefault="00E85CB2" w:rsidP="008E4104">
            <w:pPr>
              <w:pStyle w:val="a4"/>
              <w:spacing w:after="0"/>
              <w:ind w:left="0" w:firstLine="182"/>
              <w:jc w:val="both"/>
              <w:rPr>
                <w:sz w:val="24"/>
                <w:szCs w:val="24"/>
              </w:rPr>
            </w:pPr>
            <w:r w:rsidRPr="0075273B">
              <w:rPr>
                <w:rFonts w:ascii="Times New Roman" w:hAnsi="Times New Roman" w:cs="Times New Roman"/>
                <w:sz w:val="24"/>
                <w:szCs w:val="24"/>
              </w:rPr>
              <w:lastRenderedPageBreak/>
              <w:t>при аналізі витрат і застосуванні коефіцієнтів, які були розраховані посилаючись на вибіркову кількість ТУ виключно з встановленням ТП і різницю у вартості даних трансформаторів, недоцільно використовувати дані коефіцієнти на всі об’єкти, які були реалізовані, включаючи ТУ без реконструкції/встановлення трансформаторів.</w:t>
            </w:r>
          </w:p>
          <w:p w:rsidR="00E85CB2" w:rsidRPr="0075273B" w:rsidRDefault="00E85CB2" w:rsidP="008E4104">
            <w:pPr>
              <w:ind w:firstLine="182"/>
              <w:jc w:val="both"/>
              <w:rPr>
                <w:sz w:val="24"/>
                <w:szCs w:val="24"/>
                <w:shd w:val="clear" w:color="auto" w:fill="FFFFFF"/>
              </w:rPr>
            </w:pPr>
            <w:r w:rsidRPr="0075273B">
              <w:rPr>
                <w:sz w:val="24"/>
                <w:szCs w:val="24"/>
              </w:rPr>
              <w:t xml:space="preserve">Пропонуємо для розрахунку Копт збільшити кількість критеріїв для аналізу кошторисів </w:t>
            </w:r>
            <w:r w:rsidRPr="0075273B">
              <w:rPr>
                <w:sz w:val="24"/>
                <w:szCs w:val="24"/>
                <w:shd w:val="clear" w:color="auto" w:fill="FFFFFF"/>
              </w:rPr>
              <w:t>виконаних приєднань, що дозволить зробити даний коефіцієнт більш точним (достовірним).</w:t>
            </w: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2 варіант.</w:t>
            </w: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При перевірці щодо розрахунку дефіциту/профіциту коштів ПрАТ «РІВНЕОБЛЕНЕРГО» було виявлено, наступні невідповідності:</w:t>
            </w:r>
          </w:p>
          <w:p w:rsidR="00E85CB2" w:rsidRPr="0075273B" w:rsidRDefault="00E85CB2" w:rsidP="008E4104">
            <w:pPr>
              <w:pStyle w:val="a4"/>
              <w:spacing w:after="0"/>
              <w:ind w:left="0" w:firstLine="182"/>
              <w:jc w:val="both"/>
              <w:rPr>
                <w:rFonts w:ascii="Times New Roman" w:hAnsi="Times New Roman" w:cs="Times New Roman"/>
                <w:sz w:val="24"/>
                <w:szCs w:val="24"/>
              </w:rPr>
            </w:pPr>
            <w:r w:rsidRPr="0075273B">
              <w:rPr>
                <w:rFonts w:ascii="Times New Roman" w:hAnsi="Times New Roman" w:cs="Times New Roman"/>
                <w:sz w:val="24"/>
                <w:szCs w:val="24"/>
              </w:rPr>
              <w:t xml:space="preserve">при аналізі витрат і застосуванні коефіцієнтів, які були розраховані посилаючись на вибіркову кількість ТУ виключно з встановленням ТП і різницю у вартості даних трансформаторів, недоцільно використовувати дані </w:t>
            </w:r>
            <w:r w:rsidRPr="0075273B">
              <w:rPr>
                <w:rFonts w:ascii="Times New Roman" w:hAnsi="Times New Roman" w:cs="Times New Roman"/>
                <w:sz w:val="24"/>
                <w:szCs w:val="24"/>
              </w:rPr>
              <w:lastRenderedPageBreak/>
              <w:t xml:space="preserve">коефіцієнти на всі об’єкти, які були реалізовані, включаючи ТУ без реконструкції/встановлення трансформаторів.   </w:t>
            </w:r>
          </w:p>
          <w:p w:rsidR="00E85CB2" w:rsidRPr="0075273B" w:rsidRDefault="00E85CB2" w:rsidP="008E4104">
            <w:pPr>
              <w:ind w:firstLine="182"/>
              <w:jc w:val="both"/>
              <w:rPr>
                <w:sz w:val="24"/>
                <w:szCs w:val="24"/>
              </w:rPr>
            </w:pPr>
            <w:r w:rsidRPr="0075273B">
              <w:rPr>
                <w:sz w:val="24"/>
                <w:szCs w:val="24"/>
              </w:rPr>
              <w:t>Тому вважаємо за потрібне застосовувати дані коефіцієнти тільки для приєднань, де відбувалось встановлення ТП, а до всіх інших розрахувати інший коефіцієнт. Пропонуємо для розрахунку Копт збільшити кількість критеріїв для аналізу кошторисів виконаних приєднань.</w:t>
            </w:r>
          </w:p>
          <w:p w:rsidR="00E85CB2" w:rsidRPr="0075273B" w:rsidRDefault="00E85CB2" w:rsidP="008E4104">
            <w:pPr>
              <w:ind w:firstLine="182"/>
              <w:jc w:val="both"/>
              <w:rPr>
                <w:sz w:val="24"/>
                <w:szCs w:val="24"/>
              </w:rPr>
            </w:pPr>
            <w:r w:rsidRPr="0075273B">
              <w:rPr>
                <w:sz w:val="24"/>
                <w:szCs w:val="24"/>
              </w:rPr>
              <w:t>Застосування цього підходу дозволить уникнути подвійне врахування витрат на заміну/встановлення силових трансформаторів в ТП  (Перший коли віднімаються витрати, за якими здійснювалось заміна/встановлення силових трансформаторів в ТП у формулі 3 та другий під час розрахунку К оптимізації, коли враховуються витрати, за якими здійснювалось заміна/встановлення силових трансформаторів в ТП).</w:t>
            </w:r>
          </w:p>
          <w:p w:rsidR="00E85CB2" w:rsidRPr="0075273B" w:rsidRDefault="00E85CB2" w:rsidP="008E4104">
            <w:pPr>
              <w:ind w:firstLine="182"/>
              <w:jc w:val="both"/>
              <w:rPr>
                <w:sz w:val="24"/>
                <w:szCs w:val="24"/>
              </w:rPr>
            </w:pPr>
            <w:r w:rsidRPr="0075273B">
              <w:rPr>
                <w:sz w:val="24"/>
                <w:szCs w:val="24"/>
              </w:rPr>
              <w:t xml:space="preserve">Немає точної інформації по вартості матеріалів та обладнання, якою можливо б було користуватися при закупівлі матеріалів та складанні договорів </w:t>
            </w:r>
            <w:r w:rsidRPr="0075273B">
              <w:rPr>
                <w:sz w:val="24"/>
                <w:szCs w:val="24"/>
              </w:rPr>
              <w:lastRenderedPageBreak/>
              <w:t>на придбання даних матеріалів та обладнання.</w:t>
            </w:r>
          </w:p>
          <w:p w:rsidR="00E85CB2" w:rsidRPr="0075273B" w:rsidRDefault="00E85CB2" w:rsidP="008E4104">
            <w:pPr>
              <w:ind w:firstLine="182"/>
              <w:jc w:val="both"/>
              <w:rPr>
                <w:sz w:val="24"/>
                <w:szCs w:val="24"/>
              </w:rPr>
            </w:pPr>
            <w:r w:rsidRPr="0075273B">
              <w:rPr>
                <w:sz w:val="24"/>
                <w:szCs w:val="24"/>
              </w:rPr>
              <w:t xml:space="preserve">Всі торги, щодо купівель матеріалів робіт та обладнання  проводяться у відповідності до Законодавства України. </w:t>
            </w:r>
          </w:p>
          <w:p w:rsidR="00E85CB2" w:rsidRPr="0075273B" w:rsidRDefault="00E85CB2" w:rsidP="008E4104">
            <w:pPr>
              <w:ind w:firstLine="182"/>
              <w:jc w:val="both"/>
              <w:rPr>
                <w:sz w:val="24"/>
                <w:szCs w:val="24"/>
              </w:rPr>
            </w:pPr>
            <w:r w:rsidRPr="0075273B">
              <w:rPr>
                <w:sz w:val="24"/>
                <w:szCs w:val="24"/>
              </w:rPr>
              <w:t>ОСР не може впливати на формування цін ринком та виробником, постачальником та диктувати ціни при виконанні підрядним способом.</w:t>
            </w:r>
          </w:p>
          <w:p w:rsidR="00E85CB2" w:rsidRPr="0075273B" w:rsidRDefault="00E85CB2" w:rsidP="008E4104">
            <w:pPr>
              <w:ind w:firstLine="182"/>
              <w:jc w:val="both"/>
              <w:rPr>
                <w:sz w:val="24"/>
                <w:szCs w:val="24"/>
              </w:rPr>
            </w:pPr>
            <w:r w:rsidRPr="0075273B">
              <w:rPr>
                <w:sz w:val="24"/>
                <w:szCs w:val="24"/>
              </w:rPr>
              <w:t>У зв’язку із стислими термінами реалізації приєднань у ОСР відсутня можливість проведення декількох процедур закупівель для обрання найменшої вартості обладнання та матеріалів. Та відсутності таких матеріалів та обладнання в електронному каталозі (Прозоро маркет).</w:t>
            </w:r>
          </w:p>
          <w:p w:rsidR="00E85CB2" w:rsidRPr="0075273B" w:rsidRDefault="00E85CB2" w:rsidP="008E4104">
            <w:pPr>
              <w:ind w:firstLine="182"/>
              <w:jc w:val="both"/>
              <w:rPr>
                <w:sz w:val="24"/>
                <w:szCs w:val="24"/>
              </w:rPr>
            </w:pPr>
            <w:r w:rsidRPr="0075273B">
              <w:rPr>
                <w:sz w:val="24"/>
                <w:szCs w:val="24"/>
              </w:rPr>
              <w:t>Уточнення щодо застосування Копт</w:t>
            </w:r>
          </w:p>
        </w:tc>
        <w:tc>
          <w:tcPr>
            <w:tcW w:w="3119" w:type="dxa"/>
            <w:vMerge/>
          </w:tcPr>
          <w:p w:rsidR="00E85CB2" w:rsidRPr="004F3A51" w:rsidRDefault="00E85CB2" w:rsidP="008E4104">
            <w:pPr>
              <w:jc w:val="both"/>
              <w:rPr>
                <w:b/>
                <w:sz w:val="24"/>
                <w:szCs w:val="24"/>
                <w:lang w:eastAsia="uk-UA"/>
              </w:rPr>
            </w:pPr>
          </w:p>
        </w:tc>
      </w:tr>
      <w:tr w:rsidR="008E4104" w:rsidRPr="004F3A51" w:rsidTr="0064032E">
        <w:trPr>
          <w:trHeight w:val="218"/>
        </w:trPr>
        <w:tc>
          <w:tcPr>
            <w:tcW w:w="15593" w:type="dxa"/>
            <w:gridSpan w:val="4"/>
          </w:tcPr>
          <w:p w:rsidR="008E4104" w:rsidRPr="004F3A51" w:rsidRDefault="008E4104" w:rsidP="008E4104">
            <w:pPr>
              <w:jc w:val="center"/>
              <w:rPr>
                <w:b/>
                <w:sz w:val="24"/>
                <w:szCs w:val="24"/>
                <w:lang w:eastAsia="uk-UA"/>
              </w:rPr>
            </w:pPr>
            <w:r w:rsidRPr="000B2616">
              <w:rPr>
                <w:b/>
                <w:sz w:val="24"/>
                <w:szCs w:val="24"/>
                <w:lang w:eastAsia="uk-UA"/>
              </w:rPr>
              <w:lastRenderedPageBreak/>
              <w:t>5. Порядок формування плати за нестандартне приєднання електроустановок до електричних мереж</w:t>
            </w:r>
          </w:p>
        </w:tc>
      </w:tr>
      <w:tr w:rsidR="008E4104" w:rsidRPr="004F3A51" w:rsidTr="00F05B07">
        <w:trPr>
          <w:trHeight w:val="218"/>
        </w:trPr>
        <w:tc>
          <w:tcPr>
            <w:tcW w:w="4395" w:type="dxa"/>
          </w:tcPr>
          <w:p w:rsidR="008E4104" w:rsidRPr="00EF1540" w:rsidRDefault="008E4104" w:rsidP="008E4104">
            <w:pPr>
              <w:pStyle w:val="rvps2"/>
              <w:jc w:val="both"/>
            </w:pPr>
            <w:r w:rsidRPr="00EF1540">
              <w:t xml:space="preserve">5.1. Плата за нестандартне приєднання «під ключ» </w:t>
            </w:r>
            <w:r w:rsidRPr="00EF1540">
              <w:rPr>
                <w:rStyle w:val="rvts9"/>
              </w:rPr>
              <w:t>Пн</w:t>
            </w:r>
            <w:r w:rsidRPr="00EF1540">
              <w:rPr>
                <w:rStyle w:val="rvts40"/>
              </w:rPr>
              <w:t>ст</w:t>
            </w:r>
            <w:r w:rsidRPr="00EF1540">
              <w:t xml:space="preserve">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54"/>
              <w:gridCol w:w="896"/>
              <w:gridCol w:w="132"/>
              <w:gridCol w:w="2614"/>
              <w:gridCol w:w="283"/>
            </w:tblGrid>
            <w:tr w:rsidR="008E4104" w:rsidRPr="00EF1540" w:rsidTr="0064032E">
              <w:tc>
                <w:tcPr>
                  <w:tcW w:w="6948" w:type="dxa"/>
                  <w:gridSpan w:val="4"/>
                  <w:tcBorders>
                    <w:top w:val="nil"/>
                    <w:left w:val="nil"/>
                    <w:bottom w:val="nil"/>
                    <w:right w:val="nil"/>
                  </w:tcBorders>
                  <w:hideMark/>
                </w:tcPr>
                <w:p w:rsidR="008E4104" w:rsidRPr="00EF1540" w:rsidRDefault="008E4104" w:rsidP="00F8553D">
                  <w:pPr>
                    <w:pStyle w:val="rvps12"/>
                    <w:framePr w:hSpace="180" w:wrap="around" w:vAnchor="text" w:hAnchor="margin" w:y="416"/>
                    <w:jc w:val="center"/>
                  </w:pPr>
                  <w:r w:rsidRPr="00EF1540">
                    <w:rPr>
                      <w:noProof/>
                    </w:rPr>
                    <w:drawing>
                      <wp:inline distT="0" distB="0" distL="0" distR="0" wp14:anchorId="2B4F3442" wp14:editId="18947F80">
                        <wp:extent cx="2477386" cy="276220"/>
                        <wp:effectExtent l="0" t="0" r="0" b="0"/>
                        <wp:docPr id="12" name="Рисунок 12" descr="https://zakon.rada.gov.ua/laws/file/imgs/98/p480243n269-20.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69-20.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38406" cy="283024"/>
                                </a:xfrm>
                                <a:prstGeom prst="rect">
                                  <a:avLst/>
                                </a:prstGeom>
                                <a:noFill/>
                                <a:ln>
                                  <a:noFill/>
                                </a:ln>
                              </pic:spPr>
                            </pic:pic>
                          </a:graphicData>
                        </a:graphic>
                      </wp:inline>
                    </w:drawing>
                  </w:r>
                </w:p>
              </w:tc>
              <w:tc>
                <w:tcPr>
                  <w:tcW w:w="400" w:type="dxa"/>
                  <w:tcBorders>
                    <w:top w:val="nil"/>
                    <w:left w:val="nil"/>
                    <w:bottom w:val="nil"/>
                    <w:right w:val="nil"/>
                  </w:tcBorders>
                  <w:vAlign w:val="center"/>
                  <w:hideMark/>
                </w:tcPr>
                <w:p w:rsidR="008E4104" w:rsidRPr="00EF1540" w:rsidRDefault="008E4104" w:rsidP="00F8553D">
                  <w:pPr>
                    <w:pStyle w:val="rvps11"/>
                    <w:framePr w:hSpace="180" w:wrap="around" w:vAnchor="text" w:hAnchor="margin" w:y="416"/>
                  </w:pPr>
                </w:p>
              </w:tc>
            </w:tr>
            <w:tr w:rsidR="008E4104" w:rsidRPr="00EF1540" w:rsidTr="0064032E">
              <w:tblPrEx>
                <w:tblCellMar>
                  <w:top w:w="15" w:type="dxa"/>
                  <w:left w:w="15" w:type="dxa"/>
                  <w:bottom w:w="15" w:type="dxa"/>
                  <w:right w:w="15" w:type="dxa"/>
                </w:tblCellMar>
              </w:tblPrEx>
              <w:tc>
                <w:tcPr>
                  <w:tcW w:w="420" w:type="dxa"/>
                  <w:tcBorders>
                    <w:top w:val="nil"/>
                    <w:left w:val="nil"/>
                    <w:bottom w:val="nil"/>
                    <w:right w:val="nil"/>
                  </w:tcBorders>
                  <w:hideMark/>
                </w:tcPr>
                <w:p w:rsidR="008E4104" w:rsidRPr="00EF1540" w:rsidRDefault="008E4104" w:rsidP="00F8553D">
                  <w:pPr>
                    <w:pStyle w:val="rvps14"/>
                    <w:framePr w:hSpace="180" w:wrap="around" w:vAnchor="text" w:hAnchor="margin" w:y="416"/>
                  </w:pPr>
                </w:p>
              </w:tc>
              <w:tc>
                <w:tcPr>
                  <w:tcW w:w="1587" w:type="dxa"/>
                  <w:tcBorders>
                    <w:top w:val="nil"/>
                    <w:left w:val="nil"/>
                    <w:bottom w:val="nil"/>
                    <w:right w:val="nil"/>
                  </w:tcBorders>
                  <w:hideMark/>
                </w:tcPr>
                <w:p w:rsidR="008E4104" w:rsidRPr="00EF1540" w:rsidRDefault="008E4104" w:rsidP="00F8553D">
                  <w:pPr>
                    <w:pStyle w:val="rvps14"/>
                    <w:framePr w:hSpace="180" w:wrap="around" w:vAnchor="text" w:hAnchor="margin" w:y="416"/>
                  </w:pPr>
                  <w:bookmarkStart w:id="10" w:name="_Hlk161076742"/>
                  <w:r w:rsidRPr="00EF1540">
                    <w:rPr>
                      <w:rStyle w:val="rvts9"/>
                    </w:rPr>
                    <w:t>Р</w:t>
                  </w:r>
                  <w:r w:rsidRPr="00EF1540">
                    <w:rPr>
                      <w:rStyle w:val="rvts40"/>
                    </w:rPr>
                    <w:t>заявл</w:t>
                  </w:r>
                  <w:bookmarkEnd w:id="10"/>
                </w:p>
              </w:tc>
              <w:tc>
                <w:tcPr>
                  <w:tcW w:w="198" w:type="dxa"/>
                  <w:tcBorders>
                    <w:top w:val="nil"/>
                    <w:left w:val="nil"/>
                    <w:bottom w:val="nil"/>
                    <w:right w:val="nil"/>
                  </w:tcBorders>
                  <w:hideMark/>
                </w:tcPr>
                <w:p w:rsidR="008E4104" w:rsidRPr="00EF1540" w:rsidRDefault="008E4104" w:rsidP="00F8553D">
                  <w:pPr>
                    <w:pStyle w:val="rvps12"/>
                    <w:framePr w:hSpace="180" w:wrap="around" w:vAnchor="text" w:hAnchor="margin" w:y="416"/>
                  </w:pPr>
                  <w:r w:rsidRPr="00EF1540">
                    <w:t>-</w:t>
                  </w:r>
                </w:p>
              </w:tc>
              <w:tc>
                <w:tcPr>
                  <w:tcW w:w="5143" w:type="dxa"/>
                  <w:gridSpan w:val="2"/>
                  <w:tcBorders>
                    <w:top w:val="nil"/>
                    <w:left w:val="nil"/>
                    <w:bottom w:val="nil"/>
                    <w:right w:val="nil"/>
                  </w:tcBorders>
                  <w:hideMark/>
                </w:tcPr>
                <w:p w:rsidR="008E4104" w:rsidRPr="00EF1540" w:rsidRDefault="008E4104" w:rsidP="00F8553D">
                  <w:pPr>
                    <w:pStyle w:val="rvps14"/>
                    <w:framePr w:hSpace="180" w:wrap="around" w:vAnchor="text" w:hAnchor="margin" w:y="416"/>
                    <w:jc w:val="both"/>
                    <w:rPr>
                      <w:b/>
                    </w:rPr>
                  </w:pPr>
                  <w:bookmarkStart w:id="11" w:name="_Hlk161076761"/>
                  <w:r w:rsidRPr="00EF1540">
                    <w:t>потужність</w:t>
                  </w:r>
                  <w:r w:rsidRPr="00EF1540">
                    <w:rPr>
                      <w:b/>
                    </w:rPr>
                    <w:t xml:space="preserve"> </w:t>
                  </w:r>
                  <w:r w:rsidRPr="001B16A7">
                    <w:rPr>
                      <w:b/>
                    </w:rPr>
                    <w:t xml:space="preserve">електроустановок замовника, заявлена до приєднання/ замовлена до збільшення величина </w:t>
                  </w:r>
                  <w:r w:rsidRPr="001B16A7">
                    <w:rPr>
                      <w:b/>
                    </w:rPr>
                    <w:lastRenderedPageBreak/>
                    <w:t>дозволеної до відпуску потужності активного споживача понад 50 відсотків від величини дозволеної (договірної) потужності електроустановок споживача, що призначені для споживання електричної енергії,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w:t>
                  </w:r>
                  <w:bookmarkEnd w:id="11"/>
                </w:p>
              </w:tc>
            </w:tr>
          </w:tbl>
          <w:p w:rsidR="008E4104" w:rsidRDefault="008E4104" w:rsidP="008E4104">
            <w:pPr>
              <w:shd w:val="clear" w:color="auto" w:fill="FFFFFF"/>
              <w:ind w:firstLine="448"/>
              <w:jc w:val="both"/>
              <w:rPr>
                <w:sz w:val="24"/>
                <w:szCs w:val="24"/>
              </w:rPr>
            </w:pPr>
          </w:p>
        </w:tc>
        <w:tc>
          <w:tcPr>
            <w:tcW w:w="4394" w:type="dxa"/>
          </w:tcPr>
          <w:p w:rsidR="008E4104" w:rsidRPr="00F05B07" w:rsidRDefault="008E4104"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EF1540" w:rsidRDefault="008E4104" w:rsidP="008E4104">
            <w:pPr>
              <w:pStyle w:val="rvps2"/>
              <w:jc w:val="both"/>
            </w:pPr>
            <w:r w:rsidRPr="00EF1540">
              <w:lastRenderedPageBreak/>
              <w:t xml:space="preserve">5.1. Плата за нестандартне приєднання «під ключ» </w:t>
            </w:r>
            <w:r w:rsidRPr="00EF1540">
              <w:rPr>
                <w:rStyle w:val="rvts9"/>
              </w:rPr>
              <w:t>Пн</w:t>
            </w:r>
            <w:r w:rsidRPr="00EF1540">
              <w:rPr>
                <w:rStyle w:val="rvts40"/>
              </w:rPr>
              <w:t>ст</w:t>
            </w:r>
            <w:r w:rsidRPr="00EF1540">
              <w:t xml:space="preserve">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55"/>
              <w:gridCol w:w="896"/>
              <w:gridCol w:w="131"/>
              <w:gridCol w:w="2613"/>
              <w:gridCol w:w="283"/>
            </w:tblGrid>
            <w:tr w:rsidR="008E4104" w:rsidRPr="00EF1540" w:rsidTr="0064032E">
              <w:tc>
                <w:tcPr>
                  <w:tcW w:w="6948" w:type="dxa"/>
                  <w:gridSpan w:val="4"/>
                  <w:tcBorders>
                    <w:top w:val="nil"/>
                    <w:left w:val="nil"/>
                    <w:bottom w:val="nil"/>
                    <w:right w:val="nil"/>
                  </w:tcBorders>
                  <w:hideMark/>
                </w:tcPr>
                <w:p w:rsidR="008E4104" w:rsidRPr="00EF1540" w:rsidRDefault="008E4104" w:rsidP="00F8553D">
                  <w:pPr>
                    <w:pStyle w:val="rvps12"/>
                    <w:framePr w:hSpace="180" w:wrap="around" w:vAnchor="text" w:hAnchor="margin" w:y="416"/>
                    <w:jc w:val="center"/>
                  </w:pPr>
                  <w:r w:rsidRPr="00EF1540">
                    <w:rPr>
                      <w:noProof/>
                    </w:rPr>
                    <w:drawing>
                      <wp:inline distT="0" distB="0" distL="0" distR="0" wp14:anchorId="13EC1BD5" wp14:editId="63F4750C">
                        <wp:extent cx="2477386" cy="276220"/>
                        <wp:effectExtent l="0" t="0" r="0" b="0"/>
                        <wp:docPr id="4" name="Рисунок 4" descr="https://zakon.rada.gov.ua/laws/file/imgs/98/p480243n269-20.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69-20.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38406" cy="283024"/>
                                </a:xfrm>
                                <a:prstGeom prst="rect">
                                  <a:avLst/>
                                </a:prstGeom>
                                <a:noFill/>
                                <a:ln>
                                  <a:noFill/>
                                </a:ln>
                              </pic:spPr>
                            </pic:pic>
                          </a:graphicData>
                        </a:graphic>
                      </wp:inline>
                    </w:drawing>
                  </w:r>
                </w:p>
              </w:tc>
              <w:tc>
                <w:tcPr>
                  <w:tcW w:w="400" w:type="dxa"/>
                  <w:tcBorders>
                    <w:top w:val="nil"/>
                    <w:left w:val="nil"/>
                    <w:bottom w:val="nil"/>
                    <w:right w:val="nil"/>
                  </w:tcBorders>
                  <w:vAlign w:val="center"/>
                  <w:hideMark/>
                </w:tcPr>
                <w:p w:rsidR="008E4104" w:rsidRPr="00EF1540" w:rsidRDefault="008E4104" w:rsidP="00F8553D">
                  <w:pPr>
                    <w:pStyle w:val="rvps11"/>
                    <w:framePr w:hSpace="180" w:wrap="around" w:vAnchor="text" w:hAnchor="margin" w:y="416"/>
                  </w:pPr>
                </w:p>
              </w:tc>
            </w:tr>
            <w:tr w:rsidR="008E4104" w:rsidRPr="00EF1540" w:rsidTr="0064032E">
              <w:tblPrEx>
                <w:tblCellMar>
                  <w:top w:w="15" w:type="dxa"/>
                  <w:left w:w="15" w:type="dxa"/>
                  <w:bottom w:w="15" w:type="dxa"/>
                  <w:right w:w="15" w:type="dxa"/>
                </w:tblCellMar>
              </w:tblPrEx>
              <w:tc>
                <w:tcPr>
                  <w:tcW w:w="420" w:type="dxa"/>
                  <w:tcBorders>
                    <w:top w:val="nil"/>
                    <w:left w:val="nil"/>
                    <w:bottom w:val="nil"/>
                    <w:right w:val="nil"/>
                  </w:tcBorders>
                  <w:hideMark/>
                </w:tcPr>
                <w:p w:rsidR="008E4104" w:rsidRPr="00EF1540" w:rsidRDefault="008E4104" w:rsidP="00F8553D">
                  <w:pPr>
                    <w:pStyle w:val="rvps14"/>
                    <w:framePr w:hSpace="180" w:wrap="around" w:vAnchor="text" w:hAnchor="margin" w:y="416"/>
                  </w:pPr>
                </w:p>
              </w:tc>
              <w:tc>
                <w:tcPr>
                  <w:tcW w:w="1587" w:type="dxa"/>
                  <w:tcBorders>
                    <w:top w:val="nil"/>
                    <w:left w:val="nil"/>
                    <w:bottom w:val="nil"/>
                    <w:right w:val="nil"/>
                  </w:tcBorders>
                  <w:hideMark/>
                </w:tcPr>
                <w:p w:rsidR="008E4104" w:rsidRPr="00EF1540" w:rsidRDefault="008E4104" w:rsidP="00F8553D">
                  <w:pPr>
                    <w:pStyle w:val="rvps14"/>
                    <w:framePr w:hSpace="180" w:wrap="around" w:vAnchor="text" w:hAnchor="margin" w:y="416"/>
                  </w:pPr>
                  <w:r w:rsidRPr="00EF1540">
                    <w:rPr>
                      <w:rStyle w:val="rvts9"/>
                    </w:rPr>
                    <w:t>Р</w:t>
                  </w:r>
                  <w:r w:rsidRPr="00EF1540">
                    <w:rPr>
                      <w:rStyle w:val="rvts40"/>
                    </w:rPr>
                    <w:t>заявл</w:t>
                  </w:r>
                </w:p>
              </w:tc>
              <w:tc>
                <w:tcPr>
                  <w:tcW w:w="198" w:type="dxa"/>
                  <w:tcBorders>
                    <w:top w:val="nil"/>
                    <w:left w:val="nil"/>
                    <w:bottom w:val="nil"/>
                    <w:right w:val="nil"/>
                  </w:tcBorders>
                  <w:hideMark/>
                </w:tcPr>
                <w:p w:rsidR="008E4104" w:rsidRPr="00EF1540" w:rsidRDefault="008E4104" w:rsidP="00F8553D">
                  <w:pPr>
                    <w:pStyle w:val="rvps12"/>
                    <w:framePr w:hSpace="180" w:wrap="around" w:vAnchor="text" w:hAnchor="margin" w:y="416"/>
                  </w:pPr>
                  <w:r w:rsidRPr="00EF1540">
                    <w:t>-</w:t>
                  </w:r>
                </w:p>
              </w:tc>
              <w:tc>
                <w:tcPr>
                  <w:tcW w:w="5143" w:type="dxa"/>
                  <w:gridSpan w:val="2"/>
                  <w:tcBorders>
                    <w:top w:val="nil"/>
                    <w:left w:val="nil"/>
                    <w:bottom w:val="nil"/>
                    <w:right w:val="nil"/>
                  </w:tcBorders>
                  <w:hideMark/>
                </w:tcPr>
                <w:p w:rsidR="008E4104" w:rsidRPr="00EF1540" w:rsidRDefault="008E4104" w:rsidP="00F8553D">
                  <w:pPr>
                    <w:pStyle w:val="rvps14"/>
                    <w:framePr w:hSpace="180" w:wrap="around" w:vAnchor="text" w:hAnchor="margin" w:y="416"/>
                    <w:jc w:val="both"/>
                    <w:rPr>
                      <w:b/>
                    </w:rPr>
                  </w:pPr>
                  <w:r w:rsidRPr="00EF1540">
                    <w:t>потужність</w:t>
                  </w:r>
                  <w:r w:rsidRPr="00EF1540">
                    <w:rPr>
                      <w:b/>
                    </w:rPr>
                    <w:t xml:space="preserve"> </w:t>
                  </w:r>
                  <w:r w:rsidRPr="001B16A7">
                    <w:rPr>
                      <w:b/>
                    </w:rPr>
                    <w:t>електроустановок замовника</w:t>
                  </w:r>
                  <w:r>
                    <w:rPr>
                      <w:b/>
                    </w:rPr>
                    <w:t>,</w:t>
                  </w:r>
                  <w:r w:rsidRPr="000B2616">
                    <w:rPr>
                      <w:rFonts w:eastAsiaTheme="minorHAnsi"/>
                      <w:b/>
                      <w:color w:val="C00000"/>
                      <w:lang w:eastAsia="en-US"/>
                    </w:rPr>
                    <w:t xml:space="preserve"> </w:t>
                  </w:r>
                  <w:r w:rsidRPr="00861611">
                    <w:rPr>
                      <w:rFonts w:eastAsiaTheme="minorHAnsi"/>
                      <w:b/>
                      <w:color w:val="0070C0"/>
                      <w:lang w:eastAsia="en-US"/>
                    </w:rPr>
                    <w:t>за винятком існуючої потужності</w:t>
                  </w:r>
                  <w:r w:rsidRPr="001B16A7">
                    <w:rPr>
                      <w:b/>
                    </w:rPr>
                    <w:t>, заявлена до приєднання/ замовлена до збільшення величина дозволеної до відпуску потужності активного споживача понад 50 відсотків від величини дозволеної (договірної) потужності електроустановок споживача, що призначені для споживання електричної енергії,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w:t>
                  </w:r>
                  <w:r>
                    <w:rPr>
                      <w:b/>
                    </w:rPr>
                    <w:t>.</w:t>
                  </w:r>
                  <w:r w:rsidRPr="000B2616">
                    <w:rPr>
                      <w:rFonts w:eastAsiaTheme="minorHAnsi"/>
                      <w:b/>
                      <w:color w:val="C00000"/>
                      <w:lang w:eastAsia="en-US"/>
                    </w:rPr>
                    <w:t xml:space="preserve"> </w:t>
                  </w:r>
                  <w:r w:rsidRPr="00861611">
                    <w:rPr>
                      <w:rFonts w:eastAsiaTheme="minorHAnsi"/>
                      <w:b/>
                      <w:color w:val="0070C0"/>
                      <w:lang w:eastAsia="en-US"/>
                    </w:rPr>
                    <w:t xml:space="preserve">У разі зміни категорії надійності електропостачання, </w:t>
                  </w:r>
                  <w:r w:rsidRPr="00861611">
                    <w:rPr>
                      <w:rFonts w:eastAsiaTheme="minorHAnsi"/>
                      <w:b/>
                      <w:color w:val="0070C0"/>
                      <w:lang w:eastAsia="en-US"/>
                    </w:rPr>
                    <w:lastRenderedPageBreak/>
                    <w:t>ступеня напруги або зміни точки приєднання за ініціативою замовника, до розрахунку приймається повна заявлена до приєднання потужність електроустановок</w:t>
                  </w:r>
                  <w:r w:rsidRPr="001B16A7">
                    <w:rPr>
                      <w:b/>
                    </w:rPr>
                    <w:t>;</w:t>
                  </w:r>
                </w:p>
              </w:tc>
            </w:tr>
          </w:tbl>
          <w:p w:rsidR="008E4104" w:rsidRPr="00F05B07" w:rsidRDefault="008E4104" w:rsidP="008E4104">
            <w:pPr>
              <w:ind w:firstLine="224"/>
              <w:contextualSpacing/>
              <w:jc w:val="both"/>
              <w:rPr>
                <w:b/>
                <w:sz w:val="24"/>
                <w:szCs w:val="24"/>
                <w:u w:val="single"/>
              </w:rPr>
            </w:pPr>
          </w:p>
        </w:tc>
        <w:tc>
          <w:tcPr>
            <w:tcW w:w="3685" w:type="dxa"/>
          </w:tcPr>
          <w:p w:rsidR="008E4104" w:rsidRPr="000B2616" w:rsidRDefault="008E4104" w:rsidP="008E4104">
            <w:pPr>
              <w:pStyle w:val="rvps2"/>
              <w:jc w:val="both"/>
            </w:pPr>
            <w:r w:rsidRPr="000B2616">
              <w:lastRenderedPageBreak/>
              <w:t xml:space="preserve">Необхідне уточнення щодо визначення </w:t>
            </w:r>
            <w:r w:rsidRPr="000B2616">
              <w:rPr>
                <w:rStyle w:val="rvts9"/>
                <w:b/>
                <w:bCs/>
              </w:rPr>
              <w:t>Р</w:t>
            </w:r>
            <w:r w:rsidRPr="000B2616">
              <w:rPr>
                <w:rStyle w:val="rvts40"/>
                <w:b/>
                <w:bCs/>
                <w:vertAlign w:val="subscript"/>
              </w:rPr>
              <w:t xml:space="preserve">заявл </w:t>
            </w:r>
            <w:r w:rsidRPr="000B2616">
              <w:t>для уникнення невизначеності при розрахунку плати за приєднання</w:t>
            </w:r>
          </w:p>
          <w:p w:rsidR="008E4104" w:rsidRDefault="008E4104" w:rsidP="008E4104">
            <w:pPr>
              <w:jc w:val="both"/>
              <w:rPr>
                <w:sz w:val="24"/>
                <w:szCs w:val="24"/>
              </w:rPr>
            </w:pPr>
          </w:p>
        </w:tc>
        <w:tc>
          <w:tcPr>
            <w:tcW w:w="3119" w:type="dxa"/>
          </w:tcPr>
          <w:p w:rsidR="008E4104" w:rsidRDefault="008E410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EC5724">
            <w:pPr>
              <w:jc w:val="both"/>
              <w:rPr>
                <w:b/>
                <w:sz w:val="24"/>
                <w:szCs w:val="24"/>
                <w:lang w:eastAsia="uk-UA"/>
              </w:rPr>
            </w:pPr>
            <w:r>
              <w:rPr>
                <w:b/>
                <w:sz w:val="24"/>
                <w:szCs w:val="24"/>
                <w:lang w:eastAsia="uk-UA"/>
              </w:rPr>
              <w:t>Пропонується відхилити.</w:t>
            </w:r>
          </w:p>
          <w:p w:rsidR="00EC5724" w:rsidRPr="004F3A51" w:rsidRDefault="00EC5724" w:rsidP="00EC5724">
            <w:pPr>
              <w:jc w:val="both"/>
              <w:rPr>
                <w:b/>
                <w:sz w:val="24"/>
                <w:szCs w:val="24"/>
                <w:lang w:eastAsia="uk-UA"/>
              </w:rPr>
            </w:pPr>
            <w:r w:rsidRPr="00840E9A">
              <w:rPr>
                <w:sz w:val="24"/>
                <w:szCs w:val="24"/>
                <w:lang w:eastAsia="uk-UA"/>
              </w:rPr>
              <w:t xml:space="preserve">Пунктом 2.1 КСР визначено, що </w:t>
            </w:r>
            <w:r w:rsidRPr="00840E9A">
              <w:t xml:space="preserve"> </w:t>
            </w:r>
            <w:r>
              <w:t>«</w:t>
            </w:r>
            <w:r w:rsidRPr="00840E9A">
              <w:rPr>
                <w:sz w:val="24"/>
                <w:szCs w:val="24"/>
                <w:lang w:eastAsia="uk-UA"/>
              </w:rPr>
              <w:t>потужність, замовлена до приєднання - максимальна розрахункова потужність у точці приєднання об’єкта замовника або розрахункова величина збільшення дозволеної до використання потужності (у разі якщо не змінюється схема електрозабезпечення)</w:t>
            </w:r>
            <w:r>
              <w:rPr>
                <w:sz w:val="24"/>
                <w:szCs w:val="24"/>
                <w:lang w:eastAsia="uk-UA"/>
              </w:rPr>
              <w:t>». Тобто, у разі збільшення потужності існуючого користувача потужністю, замовленою до приєднання буде саме величина, на яку  збільшується існуюча потужність.</w:t>
            </w:r>
          </w:p>
        </w:tc>
      </w:tr>
      <w:tr w:rsidR="008E4104" w:rsidRPr="004F3A51" w:rsidTr="00F05B07">
        <w:trPr>
          <w:trHeight w:val="218"/>
        </w:trPr>
        <w:tc>
          <w:tcPr>
            <w:tcW w:w="4395" w:type="dxa"/>
          </w:tcPr>
          <w:p w:rsidR="008E4104" w:rsidRPr="00EF1540" w:rsidRDefault="008E4104" w:rsidP="008E4104">
            <w:pPr>
              <w:pStyle w:val="rvps2"/>
              <w:ind w:firstLine="326"/>
              <w:jc w:val="both"/>
            </w:pPr>
            <w:bookmarkStart w:id="12" w:name="_Hlk161077664"/>
            <w:r w:rsidRPr="00EF1540">
              <w:lastRenderedPageBreak/>
              <w:t xml:space="preserve">5.2. Ставка плати за нестандартне приєднання потужності </w:t>
            </w:r>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oMath>
            <w:r w:rsidRPr="00EF1540">
              <w:t xml:space="preserve"> для електроустановок, призначених для споживання електричної енергії, встановлюються НКРЕКП на розрахунковий період та розраховуються за формулою</w:t>
            </w:r>
          </w:p>
          <w:bookmarkStart w:id="13" w:name="_Hlk161077422"/>
          <w:bookmarkEnd w:id="12"/>
          <w:p w:rsidR="008E4104" w:rsidRPr="00EF1540" w:rsidRDefault="00F8553D" w:rsidP="008E4104">
            <w:pPr>
              <w:pStyle w:val="rvps2"/>
              <w:ind w:right="-106" w:firstLine="741"/>
              <w:jc w:val="both"/>
              <w:rPr>
                <w:b/>
              </w:rPr>
            </w:pPr>
            <m:oMathPara>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П</m:t>
                    </m:r>
                  </m:e>
                  <m:sub>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базова</m:t>
                        </m:r>
                      </m:e>
                      <m:sub>
                        <m:r>
                          <m:rPr>
                            <m:sty m:val="bi"/>
                          </m:rPr>
                          <w:rPr>
                            <w:rFonts w:ascii="Cambria Math" w:eastAsiaTheme="minorHAnsi" w:hAnsi="Cambria Math" w:cstheme="minorBidi"/>
                            <w:lang w:eastAsia="en-US"/>
                          </w:rPr>
                          <m:t>нст</m:t>
                        </m:r>
                      </m:sub>
                    </m:sSub>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к</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н</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місц</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зтт</m:t>
                    </m:r>
                  </m:sub>
                  <m:sup>
                    <m:r>
                      <m:rPr>
                        <m:sty m:val="bi"/>
                      </m:rPr>
                      <w:rPr>
                        <w:rFonts w:ascii="Cambria Math" w:hAnsi="Cambria Math"/>
                      </w:rPr>
                      <m:t>і</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інд</m:t>
                    </m:r>
                  </m:sub>
                </m:sSub>
                <m:r>
                  <m:rPr>
                    <m:sty m:val="bi"/>
                  </m:rPr>
                  <w:rPr>
                    <w:rFonts w:ascii="Cambria Math" w:hAnsi="Cambria Math"/>
                  </w:rPr>
                  <m:t>, тис грн/кВт</m:t>
                </m:r>
              </m:oMath>
            </m:oMathPara>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10"/>
              <w:gridCol w:w="746"/>
              <w:gridCol w:w="117"/>
              <w:gridCol w:w="3106"/>
            </w:tblGrid>
            <w:tr w:rsidR="008E4104" w:rsidRPr="00EF1540" w:rsidTr="00861611">
              <w:tc>
                <w:tcPr>
                  <w:tcW w:w="210" w:type="dxa"/>
                  <w:hideMark/>
                </w:tcPr>
                <w:bookmarkEnd w:id="13"/>
                <w:p w:rsidR="008E4104" w:rsidRPr="00EF1540" w:rsidRDefault="008E4104" w:rsidP="00F8553D">
                  <w:pPr>
                    <w:pStyle w:val="rvps14"/>
                    <w:framePr w:hSpace="180" w:wrap="around" w:vAnchor="text" w:hAnchor="margin" w:y="416"/>
                  </w:pPr>
                  <w:r w:rsidRPr="00EF1540">
                    <w:t>де</w:t>
                  </w:r>
                </w:p>
              </w:tc>
              <w:tc>
                <w:tcPr>
                  <w:tcW w:w="746" w:type="dxa"/>
                  <w:hideMark/>
                </w:tcPr>
                <w:p w:rsidR="008E4104" w:rsidRPr="00EF1540" w:rsidRDefault="008E4104" w:rsidP="00F8553D">
                  <w:pPr>
                    <w:pStyle w:val="rvps14"/>
                    <w:framePr w:hSpace="180" w:wrap="around" w:vAnchor="text" w:hAnchor="margin" w:y="416"/>
                  </w:pPr>
                  <w:r w:rsidRPr="00EF1540">
                    <w:rPr>
                      <w:noProof/>
                    </w:rPr>
                    <w:drawing>
                      <wp:inline distT="0" distB="0" distL="0" distR="0" wp14:anchorId="343B2FD1" wp14:editId="5DA63253">
                        <wp:extent cx="711200" cy="209550"/>
                        <wp:effectExtent l="0" t="0" r="0" b="0"/>
                        <wp:docPr id="61" name="Рисунок 61" descr="https://zakon.rada.gov.ua/laws/file/imgs/98/p480243n273-24.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8/p480243n273-24.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11200" cy="209550"/>
                                </a:xfrm>
                                <a:prstGeom prst="rect">
                                  <a:avLst/>
                                </a:prstGeom>
                                <a:noFill/>
                                <a:ln>
                                  <a:noFill/>
                                </a:ln>
                              </pic:spPr>
                            </pic:pic>
                          </a:graphicData>
                        </a:graphic>
                      </wp:inline>
                    </w:drawing>
                  </w:r>
                </w:p>
              </w:tc>
              <w:tc>
                <w:tcPr>
                  <w:tcW w:w="117" w:type="dxa"/>
                  <w:hideMark/>
                </w:tcPr>
                <w:p w:rsidR="008E4104" w:rsidRPr="00EF1540" w:rsidRDefault="008E4104" w:rsidP="00F8553D">
                  <w:pPr>
                    <w:pStyle w:val="rvps12"/>
                    <w:framePr w:hSpace="180" w:wrap="around" w:vAnchor="text" w:hAnchor="margin" w:y="416"/>
                  </w:pPr>
                  <w:r w:rsidRPr="00EF1540">
                    <w:t>-</w:t>
                  </w:r>
                </w:p>
              </w:tc>
              <w:tc>
                <w:tcPr>
                  <w:tcW w:w="3106" w:type="dxa"/>
                  <w:hideMark/>
                </w:tcPr>
                <w:p w:rsidR="008E4104" w:rsidRPr="00EF1540" w:rsidRDefault="008E4104" w:rsidP="00F8553D">
                  <w:pPr>
                    <w:pStyle w:val="rvps14"/>
                    <w:framePr w:hSpace="180" w:wrap="around" w:vAnchor="text" w:hAnchor="margin" w:y="416"/>
                    <w:jc w:val="both"/>
                  </w:pPr>
                  <w:bookmarkStart w:id="14" w:name="_Hlk161077754"/>
                  <w:r w:rsidRPr="00EF1540">
                    <w:t xml:space="preserve">питома вартість приєднання 1 кВт потужності електроустановок замовника, </w:t>
                  </w:r>
                  <w:bookmarkStart w:id="15" w:name="_Hlk161077258"/>
                  <w:r w:rsidRPr="00EF1540">
                    <w:rPr>
                      <w:b/>
                    </w:rPr>
                    <w:t xml:space="preserve">яка встановлюється </w:t>
                  </w:r>
                  <w:r w:rsidRPr="00EF1540">
                    <w:rPr>
                      <w:rStyle w:val="rvts0"/>
                      <w:b/>
                    </w:rPr>
                    <w:t>на рівні 3,48 тис. грн/кВт станом на 01 січня 2025 року;</w:t>
                  </w:r>
                  <w:r w:rsidRPr="00EF1540">
                    <w:rPr>
                      <w:rStyle w:val="rvts0"/>
                    </w:rPr>
                    <w:t xml:space="preserve"> </w:t>
                  </w:r>
                  <w:bookmarkEnd w:id="14"/>
                  <w:bookmarkEnd w:id="15"/>
                </w:p>
              </w:tc>
            </w:tr>
          </w:tbl>
          <w:p w:rsidR="008E4104" w:rsidRDefault="008E4104" w:rsidP="008E4104">
            <w:pPr>
              <w:shd w:val="clear" w:color="auto" w:fill="FFFFFF"/>
              <w:ind w:firstLine="448"/>
              <w:jc w:val="both"/>
              <w:rPr>
                <w:sz w:val="24"/>
                <w:szCs w:val="24"/>
              </w:rPr>
            </w:pPr>
          </w:p>
        </w:tc>
        <w:tc>
          <w:tcPr>
            <w:tcW w:w="4394" w:type="dxa"/>
          </w:tcPr>
          <w:p w:rsidR="008E4104" w:rsidRPr="00F05B07" w:rsidRDefault="008E4104" w:rsidP="008E4104">
            <w:pPr>
              <w:ind w:firstLine="224"/>
              <w:contextualSpacing/>
              <w:jc w:val="both"/>
              <w:rPr>
                <w:b/>
                <w:sz w:val="24"/>
                <w:szCs w:val="24"/>
                <w:u w:val="single"/>
              </w:rPr>
            </w:pPr>
            <w:r w:rsidRPr="00F05B07">
              <w:rPr>
                <w:b/>
                <w:sz w:val="24"/>
                <w:szCs w:val="24"/>
                <w:u w:val="single"/>
              </w:rPr>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EF1540" w:rsidRDefault="008E4104" w:rsidP="008E4104">
            <w:pPr>
              <w:pStyle w:val="rvps2"/>
              <w:jc w:val="both"/>
            </w:pPr>
            <w:r w:rsidRPr="00EF1540">
              <w:t xml:space="preserve">5.2. Ставка плати за нестандартне приєднання потужності </w:t>
            </w:r>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oMath>
            <w:r w:rsidRPr="00EF1540">
              <w:t xml:space="preserve"> для електроустановок, призначених для споживання електричної енергії, встановлюються НКРЕКП на розрахунковий період та розраховуються за формулою</w:t>
            </w:r>
          </w:p>
          <w:p w:rsidR="008E4104" w:rsidRPr="00861611" w:rsidRDefault="00F8553D" w:rsidP="008E4104">
            <w:pPr>
              <w:pStyle w:val="rvps2"/>
              <w:ind w:right="-106" w:firstLine="741"/>
              <w:jc w:val="both"/>
              <w:rPr>
                <w:b/>
              </w:rPr>
            </w:pPr>
            <m:oMathPara>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П</m:t>
                    </m:r>
                  </m:e>
                  <m:sub>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базова</m:t>
                        </m:r>
                      </m:e>
                      <m:sub>
                        <m:r>
                          <m:rPr>
                            <m:sty m:val="bi"/>
                          </m:rPr>
                          <w:rPr>
                            <w:rFonts w:ascii="Cambria Math" w:eastAsiaTheme="minorHAnsi" w:hAnsi="Cambria Math" w:cstheme="minorBidi"/>
                            <w:lang w:eastAsia="en-US"/>
                          </w:rPr>
                          <m:t>нст</m:t>
                        </m:r>
                      </m:sub>
                    </m:sSub>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к</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н</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місц</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зтт</m:t>
                    </m:r>
                  </m:sub>
                  <m:sup>
                    <m:r>
                      <m:rPr>
                        <m:sty m:val="bi"/>
                      </m:rPr>
                      <w:rPr>
                        <w:rFonts w:ascii="Cambria Math" w:hAnsi="Cambria Math"/>
                      </w:rPr>
                      <m:t>і</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інд</m:t>
                    </m:r>
                  </m:sub>
                </m:sSub>
                <m:r>
                  <m:rPr>
                    <m:sty m:val="bi"/>
                  </m:rPr>
                  <w:rPr>
                    <w:rFonts w:ascii="Cambria Math" w:hAnsi="Cambria Math"/>
                  </w:rPr>
                  <m:t>, тис грн/кВт</m:t>
                </m:r>
              </m:oMath>
            </m:oMathPara>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09"/>
              <w:gridCol w:w="746"/>
              <w:gridCol w:w="117"/>
              <w:gridCol w:w="3106"/>
            </w:tblGrid>
            <w:tr w:rsidR="008E4104" w:rsidRPr="00EF1540" w:rsidTr="0064032E">
              <w:tc>
                <w:tcPr>
                  <w:tcW w:w="349" w:type="dxa"/>
                  <w:hideMark/>
                </w:tcPr>
                <w:p w:rsidR="008E4104" w:rsidRPr="00EF1540" w:rsidRDefault="008E4104" w:rsidP="00F8553D">
                  <w:pPr>
                    <w:pStyle w:val="rvps14"/>
                    <w:framePr w:hSpace="180" w:wrap="around" w:vAnchor="text" w:hAnchor="margin" w:y="416"/>
                  </w:pPr>
                  <w:r w:rsidRPr="00EF1540">
                    <w:t>де</w:t>
                  </w:r>
                </w:p>
              </w:tc>
              <w:tc>
                <w:tcPr>
                  <w:tcW w:w="1353" w:type="dxa"/>
                  <w:hideMark/>
                </w:tcPr>
                <w:p w:rsidR="008E4104" w:rsidRPr="00EF1540" w:rsidRDefault="008E4104" w:rsidP="00F8553D">
                  <w:pPr>
                    <w:pStyle w:val="rvps14"/>
                    <w:framePr w:hSpace="180" w:wrap="around" w:vAnchor="text" w:hAnchor="margin" w:y="416"/>
                  </w:pPr>
                  <w:r w:rsidRPr="00EF1540">
                    <w:rPr>
                      <w:noProof/>
                    </w:rPr>
                    <w:drawing>
                      <wp:inline distT="0" distB="0" distL="0" distR="0" wp14:anchorId="4BE58C58" wp14:editId="4045DEEA">
                        <wp:extent cx="711200" cy="209550"/>
                        <wp:effectExtent l="0" t="0" r="0" b="0"/>
                        <wp:docPr id="5" name="Рисунок 5" descr="https://zakon.rada.gov.ua/laws/file/imgs/98/p480243n273-24.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8/p480243n273-24.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11200" cy="209550"/>
                                </a:xfrm>
                                <a:prstGeom prst="rect">
                                  <a:avLst/>
                                </a:prstGeom>
                                <a:noFill/>
                                <a:ln>
                                  <a:noFill/>
                                </a:ln>
                              </pic:spPr>
                            </pic:pic>
                          </a:graphicData>
                        </a:graphic>
                      </wp:inline>
                    </w:drawing>
                  </w:r>
                </w:p>
              </w:tc>
              <w:tc>
                <w:tcPr>
                  <w:tcW w:w="175" w:type="dxa"/>
                  <w:hideMark/>
                </w:tcPr>
                <w:p w:rsidR="008E4104" w:rsidRPr="00EF1540" w:rsidRDefault="008E4104" w:rsidP="00F8553D">
                  <w:pPr>
                    <w:pStyle w:val="rvps12"/>
                    <w:framePr w:hSpace="180" w:wrap="around" w:vAnchor="text" w:hAnchor="margin" w:y="416"/>
                  </w:pPr>
                  <w:r w:rsidRPr="00EF1540">
                    <w:t>-</w:t>
                  </w:r>
                </w:p>
              </w:tc>
              <w:tc>
                <w:tcPr>
                  <w:tcW w:w="5772" w:type="dxa"/>
                  <w:hideMark/>
                </w:tcPr>
                <w:p w:rsidR="008E4104" w:rsidRPr="00861611" w:rsidRDefault="008E4104" w:rsidP="00F8553D">
                  <w:pPr>
                    <w:pStyle w:val="rvps14"/>
                    <w:framePr w:hSpace="180" w:wrap="around" w:vAnchor="text" w:hAnchor="margin" w:y="416"/>
                    <w:jc w:val="both"/>
                    <w:rPr>
                      <w:rStyle w:val="rvts0"/>
                      <w:b/>
                    </w:rPr>
                  </w:pPr>
                  <w:r w:rsidRPr="00EF1540">
                    <w:t xml:space="preserve">питома вартість приєднання 1 кВт потужності електроустановок замовника, </w:t>
                  </w:r>
                  <w:r w:rsidRPr="00EF1540">
                    <w:rPr>
                      <w:b/>
                    </w:rPr>
                    <w:t xml:space="preserve">яка встановлюється </w:t>
                  </w:r>
                  <w:r w:rsidRPr="00EF1540">
                    <w:rPr>
                      <w:rStyle w:val="rvts0"/>
                      <w:b/>
                    </w:rPr>
                    <w:t xml:space="preserve">на </w:t>
                  </w:r>
                  <w:r w:rsidRPr="00EF1540">
                    <w:rPr>
                      <w:rStyle w:val="rvts0"/>
                      <w:b/>
                    </w:rPr>
                    <w:lastRenderedPageBreak/>
                    <w:t xml:space="preserve">рівні 3,48 тис. грн/кВт </w:t>
                  </w:r>
                  <w:r>
                    <w:t xml:space="preserve"> </w:t>
                  </w:r>
                  <w:r w:rsidRPr="00861611">
                    <w:rPr>
                      <w:rStyle w:val="rvts0"/>
                      <w:b/>
                    </w:rPr>
                    <w:t xml:space="preserve">станом на 01 січня </w:t>
                  </w:r>
                  <w:r w:rsidRPr="00861611">
                    <w:rPr>
                      <w:rStyle w:val="rvts0"/>
                      <w:b/>
                      <w:color w:val="0070C0"/>
                    </w:rPr>
                    <w:t>2019</w:t>
                  </w:r>
                  <w:r w:rsidRPr="00861611">
                    <w:rPr>
                      <w:rStyle w:val="rvts0"/>
                      <w:b/>
                    </w:rPr>
                    <w:t xml:space="preserve"> року</w:t>
                  </w:r>
                </w:p>
                <w:p w:rsidR="008E4104" w:rsidRPr="00EF1540" w:rsidRDefault="008E4104" w:rsidP="00F8553D">
                  <w:pPr>
                    <w:pStyle w:val="rvps14"/>
                    <w:framePr w:hSpace="180" w:wrap="around" w:vAnchor="text" w:hAnchor="margin" w:y="416"/>
                    <w:jc w:val="both"/>
                  </w:pPr>
                  <w:r w:rsidRPr="00861611">
                    <w:rPr>
                      <w:rStyle w:val="rvts0"/>
                      <w:b/>
                      <w:color w:val="0070C0"/>
                    </w:rPr>
                    <w:t>К інд з 2019 року до поточного</w:t>
                  </w:r>
                  <w:r w:rsidRPr="00EF1540">
                    <w:rPr>
                      <w:rStyle w:val="rvts0"/>
                      <w:b/>
                    </w:rPr>
                    <w:t>;</w:t>
                  </w:r>
                  <w:r w:rsidRPr="00EF1540">
                    <w:rPr>
                      <w:rStyle w:val="rvts0"/>
                    </w:rPr>
                    <w:t xml:space="preserve"> </w:t>
                  </w:r>
                </w:p>
              </w:tc>
            </w:tr>
          </w:tbl>
          <w:p w:rsidR="008E4104" w:rsidRPr="00F05B07" w:rsidRDefault="008E4104" w:rsidP="008E4104">
            <w:pPr>
              <w:ind w:firstLine="224"/>
              <w:contextualSpacing/>
              <w:jc w:val="both"/>
              <w:rPr>
                <w:b/>
                <w:sz w:val="24"/>
                <w:szCs w:val="24"/>
                <w:u w:val="single"/>
              </w:rPr>
            </w:pPr>
          </w:p>
        </w:tc>
        <w:tc>
          <w:tcPr>
            <w:tcW w:w="3685" w:type="dxa"/>
          </w:tcPr>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p>
          <w:p w:rsidR="008E4104" w:rsidRDefault="008E4104" w:rsidP="008E4104">
            <w:pPr>
              <w:jc w:val="both"/>
              <w:rPr>
                <w:sz w:val="24"/>
                <w:szCs w:val="24"/>
              </w:rPr>
            </w:pPr>
            <w:r w:rsidRPr="00861611">
              <w:rPr>
                <w:sz w:val="24"/>
                <w:szCs w:val="24"/>
              </w:rPr>
              <w:t>3,48 був  затверджений Постановою НКРЕКП від 18.12.2018 №1965.</w:t>
            </w:r>
          </w:p>
        </w:tc>
        <w:tc>
          <w:tcPr>
            <w:tcW w:w="3119" w:type="dxa"/>
          </w:tcPr>
          <w:p w:rsidR="008E4104" w:rsidRDefault="008E410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Default="00EC5724" w:rsidP="008E4104">
            <w:pPr>
              <w:jc w:val="both"/>
              <w:rPr>
                <w:b/>
                <w:sz w:val="24"/>
                <w:szCs w:val="24"/>
                <w:lang w:eastAsia="uk-UA"/>
              </w:rPr>
            </w:pPr>
          </w:p>
          <w:p w:rsidR="00EC5724" w:rsidRPr="004F3A51" w:rsidRDefault="005E0659" w:rsidP="008E4104">
            <w:pPr>
              <w:jc w:val="both"/>
              <w:rPr>
                <w:b/>
                <w:sz w:val="24"/>
                <w:szCs w:val="24"/>
                <w:lang w:eastAsia="uk-UA"/>
              </w:rPr>
            </w:pPr>
            <w:r>
              <w:rPr>
                <w:b/>
                <w:sz w:val="24"/>
                <w:szCs w:val="24"/>
                <w:lang w:eastAsia="uk-UA"/>
              </w:rPr>
              <w:t>Пропонується відхилити</w:t>
            </w:r>
          </w:p>
        </w:tc>
      </w:tr>
      <w:tr w:rsidR="009F0239" w:rsidRPr="004F3A51" w:rsidTr="00F05B07">
        <w:trPr>
          <w:trHeight w:val="218"/>
        </w:trPr>
        <w:tc>
          <w:tcPr>
            <w:tcW w:w="4395" w:type="dxa"/>
            <w:vMerge w:val="restart"/>
          </w:tcPr>
          <w:p w:rsidR="009F0239" w:rsidRPr="00EF1540" w:rsidRDefault="009F0239" w:rsidP="008E4104">
            <w:pPr>
              <w:pStyle w:val="rvps2"/>
              <w:ind w:firstLine="599"/>
              <w:jc w:val="both"/>
            </w:pPr>
            <w:r w:rsidRPr="00EF1540">
              <w:t xml:space="preserve">5.6. Різниця між обсягом надходження коштів від надання послуг з нестандартних приєднань та фактичними витратами на приєднання </w:t>
            </w:r>
            <w:r w:rsidRPr="00EF1540">
              <w:rPr>
                <w:rStyle w:val="rvts80"/>
              </w:rPr>
              <w:t>Δ</w:t>
            </w:r>
            <w:r w:rsidRPr="00EF1540">
              <w:rPr>
                <w:rStyle w:val="rvts40"/>
              </w:rPr>
              <w:t>Внст</w:t>
            </w:r>
            <w:r w:rsidRPr="00EF1540">
              <w:t xml:space="preserve"> визначається за формулою:</w:t>
            </w: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4"/>
              <w:gridCol w:w="3288"/>
            </w:tblGrid>
            <w:tr w:rsidR="009F0239" w:rsidRPr="001B16A7" w:rsidTr="001C0014">
              <w:tc>
                <w:tcPr>
                  <w:tcW w:w="784" w:type="dxa"/>
                </w:tcPr>
                <w:p w:rsidR="009F0239" w:rsidRPr="001C0014" w:rsidRDefault="009F0239" w:rsidP="00F8553D">
                  <w:pPr>
                    <w:pStyle w:val="rvps14"/>
                    <w:framePr w:hSpace="180" w:wrap="around" w:vAnchor="text" w:hAnchor="margin" w:y="416"/>
                    <w:rPr>
                      <w:b/>
                      <w:noProof/>
                      <w:vertAlign w:val="subscript"/>
                    </w:rPr>
                  </w:pPr>
                  <w:r w:rsidRPr="001C0014">
                    <w:rPr>
                      <w:b/>
                      <w:noProof/>
                    </w:rPr>
                    <w:t>К</w:t>
                  </w:r>
                  <w:r w:rsidRPr="001C0014">
                    <w:rPr>
                      <w:b/>
                      <w:noProof/>
                      <w:vertAlign w:val="subscript"/>
                    </w:rPr>
                    <w:t>ДД</w:t>
                  </w:r>
                </w:p>
              </w:tc>
              <w:tc>
                <w:tcPr>
                  <w:tcW w:w="3288" w:type="dxa"/>
                </w:tcPr>
                <w:p w:rsidR="009F0239" w:rsidRPr="001B16A7" w:rsidRDefault="009F0239" w:rsidP="00F8553D">
                  <w:pPr>
                    <w:pStyle w:val="a4"/>
                    <w:framePr w:hSpace="180" w:wrap="around" w:vAnchor="text" w:hAnchor="margin" w:y="416"/>
                    <w:tabs>
                      <w:tab w:val="left" w:pos="1134"/>
                    </w:tabs>
                    <w:spacing w:after="0" w:line="240" w:lineRule="auto"/>
                    <w:ind w:left="0" w:firstLine="76"/>
                    <w:rPr>
                      <w:rFonts w:ascii="Times New Roman" w:hAnsi="Times New Roman" w:cs="Times New Roman"/>
                      <w:b/>
                      <w:sz w:val="24"/>
                      <w:szCs w:val="28"/>
                    </w:rPr>
                  </w:pPr>
                  <w:r w:rsidRPr="001B16A7">
                    <w:rPr>
                      <w:rFonts w:ascii="Times New Roman" w:hAnsi="Times New Roman" w:cs="Times New Roman"/>
                      <w:b/>
                      <w:sz w:val="24"/>
                      <w:szCs w:val="28"/>
                    </w:rPr>
                    <w:t>коефіцієнт достовірності даних, який становить</w:t>
                  </w:r>
                </w:p>
                <w:tbl>
                  <w:tblPr>
                    <w:tblStyle w:val="a3"/>
                    <w:tblW w:w="3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0"/>
                    <w:gridCol w:w="1849"/>
                  </w:tblGrid>
                  <w:tr w:rsidR="009F0239" w:rsidRPr="001B16A7" w:rsidTr="001C0014">
                    <w:tc>
                      <w:tcPr>
                        <w:tcW w:w="1840"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 xml:space="preserve">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w:t>
                        </w:r>
                        <w:r w:rsidRPr="001B16A7">
                          <w:rPr>
                            <w:b/>
                            <w:szCs w:val="28"/>
                          </w:rPr>
                          <w:lastRenderedPageBreak/>
                          <w:t>інформація**, %</w:t>
                        </w:r>
                      </w:p>
                    </w:tc>
                    <w:tc>
                      <w:tcPr>
                        <w:tcW w:w="1849"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noProof/>
                            <w:szCs w:val="28"/>
                          </w:rPr>
                          <w:lastRenderedPageBreak/>
                          <w:t>К</w:t>
                        </w:r>
                        <w:r w:rsidRPr="001B16A7">
                          <w:rPr>
                            <w:b/>
                            <w:noProof/>
                            <w:szCs w:val="28"/>
                            <w:vertAlign w:val="subscript"/>
                          </w:rPr>
                          <w:t>ДД</w:t>
                        </w:r>
                      </w:p>
                    </w:tc>
                  </w:tr>
                  <w:tr w:rsidR="009F0239" w:rsidRPr="001B16A7" w:rsidTr="001C0014">
                    <w:tc>
                      <w:tcPr>
                        <w:tcW w:w="1840"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до 0,5 (включно)</w:t>
                        </w:r>
                      </w:p>
                    </w:tc>
                    <w:tc>
                      <w:tcPr>
                        <w:tcW w:w="1849"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0,05</w:t>
                        </w:r>
                      </w:p>
                    </w:tc>
                  </w:tr>
                  <w:tr w:rsidR="009F0239" w:rsidRPr="001B16A7" w:rsidTr="001C0014">
                    <w:tc>
                      <w:tcPr>
                        <w:tcW w:w="1840"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647D68">
                          <w:rPr>
                            <w:b/>
                            <w:szCs w:val="28"/>
                            <w:lang w:val="ru-RU"/>
                          </w:rPr>
                          <w:t>в</w:t>
                        </w:r>
                        <w:r w:rsidRPr="001B16A7">
                          <w:rPr>
                            <w:b/>
                            <w:szCs w:val="28"/>
                          </w:rPr>
                          <w:t>ід 0,5 до 1,5 (включно)</w:t>
                        </w:r>
                      </w:p>
                    </w:tc>
                    <w:tc>
                      <w:tcPr>
                        <w:tcW w:w="1849"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0,10</w:t>
                        </w:r>
                      </w:p>
                    </w:tc>
                  </w:tr>
                  <w:tr w:rsidR="009F0239" w:rsidRPr="001B16A7" w:rsidTr="001C0014">
                    <w:tc>
                      <w:tcPr>
                        <w:tcW w:w="1840"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647D68">
                          <w:rPr>
                            <w:b/>
                            <w:szCs w:val="28"/>
                            <w:lang w:val="ru-RU"/>
                          </w:rPr>
                          <w:t>в</w:t>
                        </w:r>
                        <w:r w:rsidRPr="001B16A7">
                          <w:rPr>
                            <w:b/>
                            <w:szCs w:val="28"/>
                          </w:rPr>
                          <w:t>ід 1,5 до 3 (включно)</w:t>
                        </w:r>
                      </w:p>
                    </w:tc>
                    <w:tc>
                      <w:tcPr>
                        <w:tcW w:w="1849"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0,15</w:t>
                        </w:r>
                      </w:p>
                    </w:tc>
                  </w:tr>
                  <w:tr w:rsidR="009F0239" w:rsidRPr="001B16A7" w:rsidTr="001C0014">
                    <w:tc>
                      <w:tcPr>
                        <w:tcW w:w="1840"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більше 3</w:t>
                        </w:r>
                      </w:p>
                    </w:tc>
                    <w:tc>
                      <w:tcPr>
                        <w:tcW w:w="1849" w:type="dxa"/>
                      </w:tcPr>
                      <w:p w:rsidR="009F0239" w:rsidRPr="001B16A7" w:rsidRDefault="009F0239" w:rsidP="00F8553D">
                        <w:pPr>
                          <w:pStyle w:val="rvps14"/>
                          <w:framePr w:hSpace="180" w:wrap="around" w:vAnchor="text" w:hAnchor="margin" w:y="416"/>
                          <w:spacing w:before="0" w:beforeAutospacing="0" w:after="0" w:afterAutospacing="0"/>
                          <w:ind w:firstLine="76"/>
                          <w:jc w:val="center"/>
                          <w:rPr>
                            <w:b/>
                            <w:szCs w:val="28"/>
                          </w:rPr>
                        </w:pPr>
                        <w:r w:rsidRPr="001B16A7">
                          <w:rPr>
                            <w:b/>
                            <w:szCs w:val="28"/>
                          </w:rPr>
                          <w:t>0,20</w:t>
                        </w:r>
                      </w:p>
                    </w:tc>
                  </w:tr>
                </w:tbl>
                <w:p w:rsidR="009F0239" w:rsidRPr="001B16A7" w:rsidRDefault="009F0239" w:rsidP="00F8553D">
                  <w:pPr>
                    <w:pStyle w:val="rvps14"/>
                    <w:framePr w:hSpace="180" w:wrap="around" w:vAnchor="text" w:hAnchor="margin" w:y="416"/>
                    <w:spacing w:before="0" w:beforeAutospacing="0" w:after="0" w:afterAutospacing="0"/>
                    <w:ind w:firstLine="76"/>
                    <w:jc w:val="both"/>
                    <w:rPr>
                      <w:b/>
                      <w:szCs w:val="28"/>
                    </w:rPr>
                  </w:pPr>
                  <w:r w:rsidRPr="001B16A7">
                    <w:rPr>
                      <w:b/>
                      <w:szCs w:val="28"/>
                    </w:rPr>
                    <w:t>Примітки:</w:t>
                  </w:r>
                </w:p>
                <w:p w:rsidR="009F0239" w:rsidRPr="001B16A7" w:rsidRDefault="009F0239" w:rsidP="00F8553D">
                  <w:pPr>
                    <w:pStyle w:val="rvps14"/>
                    <w:framePr w:hSpace="180" w:wrap="around" w:vAnchor="text" w:hAnchor="margin" w:y="416"/>
                    <w:spacing w:before="0" w:beforeAutospacing="0" w:after="0" w:afterAutospacing="0"/>
                    <w:ind w:right="42" w:firstLine="76"/>
                    <w:jc w:val="both"/>
                    <w:rPr>
                      <w:b/>
                      <w:szCs w:val="28"/>
                    </w:rPr>
                  </w:pPr>
                  <w:r w:rsidRPr="001B16A7">
                    <w:rPr>
                      <w:b/>
                      <w:szCs w:val="28"/>
                    </w:rPr>
                    <w:t>* – у звіті щодо надання послуг з приєднань за формою, наведеною в додатку 1 до цієї Методики, що наданий оператором системи до 01 лютого/в інформації для р</w:t>
                  </w:r>
                  <w:r w:rsidRPr="001B16A7">
                    <w:rPr>
                      <w:rStyle w:val="rvts0"/>
                      <w:b/>
                      <w:szCs w:val="28"/>
                    </w:rPr>
                    <w:t>озрахунку коефіцієнта оптимізації коштів щодо витрат, пов'язаних з наданням послуг з нестандартних приєднань електроустановок замовників до електричних мереж</w:t>
                  </w:r>
                  <w:r w:rsidRPr="001B16A7">
                    <w:rPr>
                      <w:b/>
                      <w:szCs w:val="28"/>
                    </w:rPr>
                    <w:t>)</w:t>
                  </w:r>
                </w:p>
                <w:p w:rsidR="009F0239" w:rsidRPr="001B16A7" w:rsidRDefault="009F0239" w:rsidP="00F8553D">
                  <w:pPr>
                    <w:pStyle w:val="a4"/>
                    <w:framePr w:hSpace="180" w:wrap="around" w:vAnchor="text" w:hAnchor="margin" w:y="416"/>
                    <w:tabs>
                      <w:tab w:val="left" w:pos="1134"/>
                    </w:tabs>
                    <w:spacing w:after="0"/>
                    <w:ind w:left="0" w:right="42" w:firstLine="76"/>
                    <w:jc w:val="both"/>
                    <w:rPr>
                      <w:rFonts w:ascii="Times New Roman" w:hAnsi="Times New Roman" w:cs="Times New Roman"/>
                      <w:sz w:val="28"/>
                      <w:szCs w:val="28"/>
                    </w:rPr>
                  </w:pPr>
                  <w:r w:rsidRPr="001B16A7">
                    <w:rPr>
                      <w:rFonts w:ascii="Times New Roman" w:hAnsi="Times New Roman" w:cs="Times New Roman"/>
                      <w:b/>
                      <w:sz w:val="24"/>
                      <w:szCs w:val="28"/>
                    </w:rPr>
                    <w:t>** – без урахування надання операторами систем скоригованих даних.</w:t>
                  </w:r>
                </w:p>
              </w:tc>
            </w:tr>
          </w:tbl>
          <w:p w:rsidR="009F0239" w:rsidRDefault="009F0239" w:rsidP="008E4104">
            <w:pPr>
              <w:shd w:val="clear" w:color="auto" w:fill="FFFFFF"/>
              <w:ind w:firstLine="448"/>
              <w:jc w:val="both"/>
              <w:rPr>
                <w:sz w:val="24"/>
                <w:szCs w:val="24"/>
              </w:rPr>
            </w:pPr>
          </w:p>
        </w:tc>
        <w:tc>
          <w:tcPr>
            <w:tcW w:w="4394" w:type="dxa"/>
          </w:tcPr>
          <w:p w:rsidR="00686A9B" w:rsidRDefault="009F0239" w:rsidP="00686A9B">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D056E7">
              <w:rPr>
                <w:b/>
                <w:sz w:val="24"/>
                <w:szCs w:val="24"/>
                <w:u w:val="single"/>
              </w:rPr>
              <w:t>ГС «Розумні електромережі України»</w:t>
            </w:r>
            <w:r>
              <w:rPr>
                <w:b/>
                <w:sz w:val="24"/>
                <w:szCs w:val="24"/>
                <w:u w:val="single"/>
              </w:rPr>
              <w:t xml:space="preserve">,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r w:rsidR="00686A9B">
              <w:rPr>
                <w:b/>
                <w:sz w:val="24"/>
                <w:szCs w:val="24"/>
                <w:u w:val="single"/>
              </w:rPr>
              <w:t>, ПрАТ «Львівобленерго»</w:t>
            </w:r>
          </w:p>
          <w:p w:rsidR="009F0239" w:rsidRDefault="009F0239" w:rsidP="008E4104">
            <w:pPr>
              <w:ind w:firstLine="224"/>
              <w:contextualSpacing/>
              <w:jc w:val="both"/>
              <w:rPr>
                <w:b/>
                <w:sz w:val="24"/>
                <w:szCs w:val="24"/>
                <w:u w:val="single"/>
              </w:rPr>
            </w:pPr>
          </w:p>
          <w:p w:rsidR="009F0239" w:rsidRPr="00F05B07" w:rsidRDefault="009F0239" w:rsidP="008E4104">
            <w:pPr>
              <w:ind w:firstLine="224"/>
              <w:contextualSpacing/>
              <w:jc w:val="both"/>
              <w:rPr>
                <w:b/>
                <w:sz w:val="24"/>
                <w:szCs w:val="24"/>
                <w:u w:val="single"/>
              </w:rPr>
            </w:pPr>
          </w:p>
          <w:p w:rsidR="009F0239" w:rsidRDefault="009F0239" w:rsidP="008E4104">
            <w:pPr>
              <w:ind w:firstLine="224"/>
              <w:contextualSpacing/>
              <w:jc w:val="both"/>
              <w:rPr>
                <w:b/>
                <w:sz w:val="24"/>
                <w:szCs w:val="24"/>
                <w:u w:val="single"/>
              </w:rPr>
            </w:pPr>
          </w:p>
          <w:p w:rsidR="009F0239" w:rsidRPr="00F05B07" w:rsidRDefault="009F0239" w:rsidP="008E4104">
            <w:pPr>
              <w:ind w:firstLine="224"/>
              <w:contextualSpacing/>
              <w:jc w:val="both"/>
              <w:rPr>
                <w:b/>
                <w:sz w:val="24"/>
                <w:szCs w:val="24"/>
                <w:u w:val="single"/>
              </w:rPr>
            </w:pPr>
            <w:r w:rsidRPr="00F3198F">
              <w:rPr>
                <w:b/>
                <w:sz w:val="24"/>
                <w:szCs w:val="24"/>
              </w:rPr>
              <w:t>Вилучити КДД з формули</w:t>
            </w:r>
          </w:p>
        </w:tc>
        <w:tc>
          <w:tcPr>
            <w:tcW w:w="3685" w:type="dxa"/>
          </w:tcPr>
          <w:p w:rsidR="00686A9B" w:rsidRDefault="009F0239" w:rsidP="00686A9B">
            <w:pPr>
              <w:ind w:firstLine="224"/>
              <w:contextualSpacing/>
              <w:jc w:val="both"/>
              <w:rPr>
                <w:b/>
                <w:sz w:val="24"/>
                <w:szCs w:val="24"/>
                <w:u w:val="single"/>
              </w:rPr>
            </w:pPr>
            <w:r w:rsidRPr="00F05B07">
              <w:rPr>
                <w:b/>
                <w:sz w:val="24"/>
                <w:szCs w:val="24"/>
                <w:u w:val="single"/>
              </w:rPr>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 xml:space="preserve"> ПрАТ</w:t>
            </w:r>
            <w:r>
              <w:rPr>
                <w:b/>
                <w:sz w:val="24"/>
                <w:szCs w:val="24"/>
                <w:u w:val="single"/>
              </w:rPr>
              <w:t xml:space="preserve"> </w:t>
            </w:r>
            <w:r w:rsidRPr="00A11F87">
              <w:rPr>
                <w:b/>
                <w:sz w:val="24"/>
                <w:szCs w:val="24"/>
                <w:u w:val="single"/>
              </w:rPr>
              <w:t>«Рівнеобленерго»</w:t>
            </w:r>
            <w:r w:rsidR="00686A9B">
              <w:rPr>
                <w:b/>
                <w:sz w:val="24"/>
                <w:szCs w:val="24"/>
                <w:u w:val="single"/>
              </w:rPr>
              <w:t>,  ПрАТ «Львівобленерго»</w:t>
            </w:r>
          </w:p>
          <w:p w:rsidR="009F0239" w:rsidRDefault="009F0239" w:rsidP="008E4104">
            <w:pPr>
              <w:jc w:val="both"/>
              <w:rPr>
                <w:b/>
                <w:sz w:val="24"/>
                <w:szCs w:val="24"/>
                <w:u w:val="single"/>
              </w:rPr>
            </w:pPr>
          </w:p>
          <w:p w:rsidR="009F0239" w:rsidRPr="00D056E7" w:rsidRDefault="009F0239" w:rsidP="008E4104">
            <w:pPr>
              <w:jc w:val="both"/>
              <w:rPr>
                <w:sz w:val="24"/>
                <w:szCs w:val="24"/>
              </w:rPr>
            </w:pPr>
            <w:r w:rsidRPr="00D056E7">
              <w:rPr>
                <w:sz w:val="24"/>
                <w:szCs w:val="24"/>
              </w:rPr>
              <w:t>Недостовірність даних не має впливати на розрахунок дефіциту-профіциту</w:t>
            </w:r>
          </w:p>
          <w:p w:rsidR="009F0239" w:rsidRDefault="009F0239" w:rsidP="008E4104">
            <w:pPr>
              <w:jc w:val="both"/>
              <w:rPr>
                <w:sz w:val="24"/>
                <w:szCs w:val="24"/>
                <w:lang w:val="ru-RU"/>
              </w:rPr>
            </w:pPr>
            <w:r w:rsidRPr="001C0014">
              <w:rPr>
                <w:sz w:val="24"/>
                <w:szCs w:val="24"/>
                <w:lang w:val="ru-RU"/>
              </w:rPr>
              <w:t>Не визначено критерії які данні вважаються достовірними а які недостовірні.</w:t>
            </w:r>
          </w:p>
          <w:p w:rsidR="009F0239" w:rsidRDefault="009F0239" w:rsidP="008E4104">
            <w:pPr>
              <w:jc w:val="both"/>
              <w:rPr>
                <w:sz w:val="24"/>
                <w:szCs w:val="24"/>
                <w:lang w:val="ru-RU"/>
              </w:rPr>
            </w:pPr>
          </w:p>
          <w:p w:rsidR="009F0239" w:rsidRDefault="009F0239" w:rsidP="008E4104">
            <w:pPr>
              <w:jc w:val="both"/>
              <w:rPr>
                <w:sz w:val="24"/>
                <w:szCs w:val="24"/>
                <w:lang w:val="ru-RU"/>
              </w:rPr>
            </w:pPr>
          </w:p>
          <w:p w:rsidR="009F0239" w:rsidRDefault="009F0239" w:rsidP="008E4104">
            <w:pPr>
              <w:ind w:firstLine="224"/>
              <w:contextualSpacing/>
              <w:jc w:val="both"/>
              <w:rPr>
                <w:b/>
                <w:sz w:val="24"/>
                <w:szCs w:val="24"/>
                <w:u w:val="single"/>
              </w:rPr>
            </w:pPr>
            <w:r w:rsidRPr="00D056E7">
              <w:rPr>
                <w:b/>
                <w:sz w:val="24"/>
                <w:szCs w:val="24"/>
                <w:u w:val="single"/>
              </w:rPr>
              <w:t>ГС «Розумні електромережі України»</w:t>
            </w:r>
          </w:p>
          <w:p w:rsidR="009F0239" w:rsidRDefault="009F0239" w:rsidP="008E4104">
            <w:pPr>
              <w:pStyle w:val="a6"/>
              <w:jc w:val="both"/>
              <w:rPr>
                <w:rStyle w:val="cf01"/>
                <w:rFonts w:ascii="Times New Roman" w:hAnsi="Times New Roman" w:cs="Times New Roman"/>
                <w:sz w:val="24"/>
                <w:szCs w:val="24"/>
              </w:rPr>
            </w:pPr>
            <w:r>
              <w:rPr>
                <w:rStyle w:val="cf01"/>
                <w:rFonts w:ascii="Times New Roman" w:hAnsi="Times New Roman" w:cs="Times New Roman"/>
                <w:sz w:val="24"/>
                <w:szCs w:val="24"/>
              </w:rPr>
              <w:t xml:space="preserve">Розрахунок дефіциту/профіциту відображає реальну кількість грошових коштів за результатами діяльності з приєднання електроустановок споживачів та не повинен залежати від «умовного» чинника, </w:t>
            </w:r>
            <w:r>
              <w:rPr>
                <w:rStyle w:val="cf01"/>
                <w:rFonts w:ascii="Times New Roman" w:hAnsi="Times New Roman" w:cs="Times New Roman"/>
                <w:sz w:val="24"/>
                <w:szCs w:val="24"/>
              </w:rPr>
              <w:lastRenderedPageBreak/>
              <w:t xml:space="preserve">достовірність і правильність якого ще повинна додатково підтверджуватися. </w:t>
            </w:r>
          </w:p>
          <w:p w:rsidR="009F0239" w:rsidRPr="001C0014" w:rsidRDefault="009F0239" w:rsidP="008E4104">
            <w:pPr>
              <w:jc w:val="both"/>
              <w:rPr>
                <w:sz w:val="24"/>
                <w:szCs w:val="24"/>
                <w:lang w:val="ru-RU"/>
              </w:rPr>
            </w:pPr>
            <w:r>
              <w:rPr>
                <w:rStyle w:val="cf01"/>
                <w:rFonts w:ascii="Times New Roman" w:hAnsi="Times New Roman" w:cs="Times New Roman"/>
                <w:sz w:val="24"/>
                <w:szCs w:val="24"/>
              </w:rPr>
              <w:t>Більше того, наразі немає методології чи критеріїв визначення недостовірності інформації щодо приєднань, яка надається операторами.</w:t>
            </w:r>
          </w:p>
        </w:tc>
        <w:tc>
          <w:tcPr>
            <w:tcW w:w="3119" w:type="dxa"/>
          </w:tcPr>
          <w:p w:rsidR="009F0239" w:rsidRDefault="009F0239"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343227">
            <w:pPr>
              <w:jc w:val="both"/>
              <w:rPr>
                <w:b/>
                <w:sz w:val="24"/>
                <w:szCs w:val="24"/>
                <w:lang w:eastAsia="uk-UA"/>
              </w:rPr>
            </w:pPr>
            <w:r w:rsidRPr="004F2BAF">
              <w:rPr>
                <w:b/>
                <w:sz w:val="24"/>
                <w:szCs w:val="24"/>
                <w:lang w:eastAsia="uk-UA"/>
              </w:rPr>
              <w:t>Пропонується відхилити</w:t>
            </w:r>
          </w:p>
          <w:p w:rsidR="00343227" w:rsidRPr="004F3A51" w:rsidRDefault="00343227" w:rsidP="00343227">
            <w:pPr>
              <w:jc w:val="both"/>
              <w:rPr>
                <w:b/>
                <w:sz w:val="24"/>
                <w:szCs w:val="24"/>
                <w:lang w:eastAsia="uk-UA"/>
              </w:rPr>
            </w:pPr>
          </w:p>
        </w:tc>
      </w:tr>
      <w:tr w:rsidR="009F0239" w:rsidRPr="004F3A51" w:rsidTr="00F05B07">
        <w:trPr>
          <w:trHeight w:val="218"/>
        </w:trPr>
        <w:tc>
          <w:tcPr>
            <w:tcW w:w="4395" w:type="dxa"/>
            <w:vMerge/>
          </w:tcPr>
          <w:p w:rsidR="009F0239" w:rsidRPr="00EF1540" w:rsidRDefault="009F0239" w:rsidP="008E4104">
            <w:pPr>
              <w:pStyle w:val="rvps2"/>
              <w:ind w:firstLine="599"/>
              <w:jc w:val="both"/>
            </w:pPr>
          </w:p>
        </w:tc>
        <w:tc>
          <w:tcPr>
            <w:tcW w:w="4394" w:type="dxa"/>
          </w:tcPr>
          <w:p w:rsidR="009F0239" w:rsidRPr="00EC7B35" w:rsidRDefault="009F0239" w:rsidP="009F0239">
            <w:pPr>
              <w:ind w:firstLine="224"/>
              <w:contextualSpacing/>
              <w:jc w:val="both"/>
              <w:rPr>
                <w:b/>
                <w:sz w:val="24"/>
                <w:szCs w:val="24"/>
                <w:u w:val="single"/>
              </w:rPr>
            </w:pPr>
            <w:r w:rsidRPr="00EC7B35">
              <w:rPr>
                <w:b/>
                <w:sz w:val="24"/>
                <w:szCs w:val="24"/>
                <w:u w:val="single"/>
              </w:rPr>
              <w:t>АТ «Прикарпаттяобленерго»</w:t>
            </w:r>
          </w:p>
          <w:p w:rsidR="009F0239" w:rsidRPr="009F0239" w:rsidRDefault="009F0239" w:rsidP="009F0239">
            <w:pPr>
              <w:ind w:firstLine="224"/>
              <w:contextualSpacing/>
              <w:jc w:val="both"/>
              <w:rPr>
                <w:sz w:val="24"/>
                <w:szCs w:val="24"/>
              </w:rPr>
            </w:pPr>
            <w:r w:rsidRPr="009F0239">
              <w:rPr>
                <w:sz w:val="24"/>
                <w:szCs w:val="24"/>
              </w:rPr>
              <w:t>Не визначено критерії які данні вважаються достовірними а які недостовірні.</w:t>
            </w:r>
          </w:p>
          <w:p w:rsidR="009F0239" w:rsidRPr="00F05B07" w:rsidRDefault="009F0239" w:rsidP="009F0239">
            <w:pPr>
              <w:ind w:firstLine="224"/>
              <w:contextualSpacing/>
              <w:jc w:val="both"/>
              <w:rPr>
                <w:b/>
                <w:sz w:val="24"/>
                <w:szCs w:val="24"/>
                <w:u w:val="single"/>
              </w:rPr>
            </w:pPr>
            <w:r w:rsidRPr="009F0239">
              <w:rPr>
                <w:sz w:val="24"/>
                <w:szCs w:val="24"/>
              </w:rPr>
              <w:t>Визначити критерій достовірності даних.</w:t>
            </w:r>
          </w:p>
        </w:tc>
        <w:tc>
          <w:tcPr>
            <w:tcW w:w="3685" w:type="dxa"/>
          </w:tcPr>
          <w:p w:rsidR="009F0239" w:rsidRPr="00F05B07" w:rsidRDefault="009F0239" w:rsidP="008E4104">
            <w:pPr>
              <w:jc w:val="both"/>
              <w:rPr>
                <w:b/>
                <w:sz w:val="24"/>
                <w:szCs w:val="24"/>
                <w:u w:val="single"/>
              </w:rPr>
            </w:pPr>
          </w:p>
        </w:tc>
        <w:tc>
          <w:tcPr>
            <w:tcW w:w="3119" w:type="dxa"/>
          </w:tcPr>
          <w:p w:rsidR="00343227" w:rsidRDefault="00343227" w:rsidP="00343227">
            <w:pPr>
              <w:jc w:val="both"/>
              <w:rPr>
                <w:b/>
                <w:sz w:val="24"/>
                <w:szCs w:val="24"/>
                <w:lang w:eastAsia="uk-UA"/>
              </w:rPr>
            </w:pPr>
            <w:r w:rsidRPr="004F2BAF">
              <w:rPr>
                <w:b/>
                <w:sz w:val="24"/>
                <w:szCs w:val="24"/>
                <w:lang w:eastAsia="uk-UA"/>
              </w:rPr>
              <w:t>Пропонується відхилити</w:t>
            </w:r>
          </w:p>
          <w:p w:rsidR="009F0239" w:rsidRPr="004F3A51" w:rsidRDefault="009F0239" w:rsidP="00343227">
            <w:pPr>
              <w:jc w:val="both"/>
              <w:rPr>
                <w:b/>
                <w:sz w:val="24"/>
                <w:szCs w:val="24"/>
                <w:lang w:eastAsia="uk-UA"/>
              </w:rPr>
            </w:pPr>
          </w:p>
        </w:tc>
      </w:tr>
      <w:tr w:rsidR="00A52786" w:rsidRPr="004F3A51" w:rsidTr="00F05B07">
        <w:trPr>
          <w:trHeight w:val="218"/>
        </w:trPr>
        <w:tc>
          <w:tcPr>
            <w:tcW w:w="4395" w:type="dxa"/>
            <w:vMerge w:val="restart"/>
          </w:tcPr>
          <w:p w:rsidR="00A52786" w:rsidRPr="001C0014" w:rsidRDefault="00A52786" w:rsidP="008E4104">
            <w:pPr>
              <w:pStyle w:val="rvps2"/>
              <w:shd w:val="clear" w:color="auto" w:fill="FFFFFF"/>
              <w:spacing w:before="0" w:beforeAutospacing="0" w:after="0" w:afterAutospacing="0"/>
              <w:ind w:firstLine="326"/>
              <w:jc w:val="both"/>
            </w:pPr>
            <w:bookmarkStart w:id="16" w:name="_Hlk161127597"/>
            <w:r w:rsidRPr="001C0014">
              <w:t xml:space="preserve">5.7. Розрахунок коефіцієнта оптимізації (Копт нст)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w:t>
            </w:r>
            <w:r w:rsidRPr="001C0014">
              <w:lastRenderedPageBreak/>
              <w:t>аналізу актів за виконаними договорами про нестандартне приєднання.</w:t>
            </w:r>
          </w:p>
          <w:p w:rsidR="00A52786" w:rsidRPr="001C0014" w:rsidRDefault="00A52786" w:rsidP="008E4104">
            <w:pPr>
              <w:pStyle w:val="rvps2"/>
              <w:shd w:val="clear" w:color="auto" w:fill="FFFFFF"/>
              <w:spacing w:before="0" w:beforeAutospacing="0" w:after="0" w:afterAutospacing="0"/>
              <w:ind w:firstLine="326"/>
              <w:jc w:val="both"/>
            </w:pPr>
            <w:r w:rsidRPr="001C0014">
              <w:t xml:space="preserve">Окремо проводиться аналіз по </w:t>
            </w:r>
            <w:r w:rsidRPr="001C0014">
              <w:rPr>
                <w:b/>
              </w:rPr>
              <w:t>не менше п’яти кошторисам</w:t>
            </w:r>
            <w:r w:rsidRPr="001C0014">
              <w:t xml:space="preserve"> нестандартних приєднань з найбільшими витратами, виконаних господарським і підрядним способами.</w:t>
            </w:r>
          </w:p>
          <w:p w:rsidR="00A52786" w:rsidRPr="001C0014" w:rsidRDefault="00A52786" w:rsidP="008E4104">
            <w:pPr>
              <w:pStyle w:val="rvps2"/>
              <w:shd w:val="clear" w:color="auto" w:fill="FFFFFF"/>
              <w:spacing w:before="0" w:beforeAutospacing="0" w:after="0" w:afterAutospacing="0"/>
              <w:ind w:firstLine="326"/>
              <w:jc w:val="both"/>
              <w:rPr>
                <w:b/>
              </w:rPr>
            </w:pPr>
            <w:r w:rsidRPr="001C0014">
              <w:rPr>
                <w:b/>
              </w:rPr>
              <w:t>У разі, якщо фактична кількість наданих оператором систем розподілу послуг з нестандартних приєднань у базовому періоді залежно від способу виконання менша п’яти, аналіз по кошторисах виконаних приєднань проводиться по фактичній кількості наданих ОСР послуг з нестандартних приєднань у базовому періоді.</w:t>
            </w:r>
          </w:p>
          <w:p w:rsidR="00A52786" w:rsidRPr="001C0014" w:rsidRDefault="00A52786" w:rsidP="008E4104">
            <w:pPr>
              <w:pStyle w:val="rvps2"/>
              <w:shd w:val="clear" w:color="auto" w:fill="FFFFFF"/>
              <w:spacing w:before="0" w:beforeAutospacing="0" w:after="0" w:afterAutospacing="0"/>
              <w:ind w:firstLine="326"/>
              <w:jc w:val="both"/>
            </w:pPr>
            <w:r w:rsidRPr="001C0014">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r w:rsidRPr="001C0014">
              <w:rPr>
                <w:b/>
              </w:rPr>
              <w:t>, 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Pr="001C0014">
              <w:t>.</w:t>
            </w:r>
          </w:p>
          <w:p w:rsidR="00A52786" w:rsidRPr="001C0014" w:rsidRDefault="00A52786" w:rsidP="008E4104">
            <w:pPr>
              <w:pStyle w:val="rvps2"/>
              <w:shd w:val="clear" w:color="auto" w:fill="FFFFFF"/>
              <w:spacing w:before="0" w:beforeAutospacing="0" w:after="0" w:afterAutospacing="0"/>
              <w:ind w:firstLine="326"/>
              <w:jc w:val="both"/>
            </w:pPr>
            <w:r w:rsidRPr="001C0014">
              <w:t xml:space="preserve">У разі придбання обладнання/матеріалів, по яких відсутні цінові показники, граничні ціни визначаються виходячи з вартості </w:t>
            </w:r>
            <w:r w:rsidRPr="001C0014">
              <w:lastRenderedPageBreak/>
              <w:t>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A52786" w:rsidRDefault="00A52786" w:rsidP="008E4104">
            <w:pPr>
              <w:shd w:val="clear" w:color="auto" w:fill="FFFFFF"/>
              <w:ind w:firstLine="326"/>
              <w:jc w:val="both"/>
              <w:rPr>
                <w:sz w:val="24"/>
                <w:szCs w:val="24"/>
              </w:rPr>
            </w:pPr>
            <w:r w:rsidRPr="001C0014">
              <w:rPr>
                <w:sz w:val="24"/>
                <w:szCs w:val="24"/>
              </w:rPr>
              <w:t>Результати аналізу застосовуються пропорційно до кожного напряму для визначення фактичних капітальних витрат, понесених під час надання послуг із нестандартного приєднання (за об'єктами замовників, приєднання яких завершено в базовому періоді) для міської та сільської місцевості, за якими проводився аналіз.</w:t>
            </w:r>
            <w:bookmarkEnd w:id="16"/>
          </w:p>
        </w:tc>
        <w:tc>
          <w:tcPr>
            <w:tcW w:w="4394" w:type="dxa"/>
          </w:tcPr>
          <w:p w:rsidR="00A52786" w:rsidRPr="00F05B07" w:rsidRDefault="00A52786" w:rsidP="008E4104">
            <w:pPr>
              <w:ind w:firstLine="224"/>
              <w:contextualSpacing/>
              <w:jc w:val="both"/>
              <w:rPr>
                <w:b/>
                <w:sz w:val="24"/>
                <w:szCs w:val="24"/>
                <w:u w:val="single"/>
              </w:rPr>
            </w:pPr>
            <w:r w:rsidRPr="00F05B07">
              <w:rPr>
                <w:b/>
                <w:sz w:val="24"/>
                <w:szCs w:val="24"/>
                <w:u w:val="single"/>
              </w:rPr>
              <w:lastRenderedPageBreak/>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w:t>
            </w:r>
            <w:r>
              <w:rPr>
                <w:b/>
                <w:sz w:val="24"/>
                <w:szCs w:val="24"/>
                <w:u w:val="single"/>
              </w:rPr>
              <w:lastRenderedPageBreak/>
              <w:t xml:space="preserve">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A52786" w:rsidRPr="001C0014" w:rsidRDefault="00A52786" w:rsidP="008E4104">
            <w:pPr>
              <w:pStyle w:val="rvps2"/>
              <w:shd w:val="clear" w:color="auto" w:fill="FFFFFF"/>
              <w:spacing w:before="0" w:beforeAutospacing="0" w:after="0" w:afterAutospacing="0"/>
              <w:ind w:firstLine="326"/>
              <w:jc w:val="both"/>
            </w:pPr>
            <w:r w:rsidRPr="001C0014">
              <w:t>5.7. Розрахунок коефіцієнта оптимізації (Копт нст)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аналізу актів за виконаними договорами про нестандартне приєднання.</w:t>
            </w:r>
          </w:p>
          <w:p w:rsidR="00A52786" w:rsidRPr="001C0014" w:rsidRDefault="00A52786" w:rsidP="008E4104">
            <w:pPr>
              <w:pStyle w:val="rvps2"/>
              <w:shd w:val="clear" w:color="auto" w:fill="FFFFFF"/>
              <w:spacing w:before="0" w:beforeAutospacing="0" w:after="0" w:afterAutospacing="0"/>
              <w:ind w:firstLine="326"/>
              <w:jc w:val="both"/>
              <w:rPr>
                <w:b/>
                <w:bCs/>
                <w:strike/>
                <w:color w:val="0070C0"/>
              </w:rPr>
            </w:pPr>
            <w:r w:rsidRPr="001C0014">
              <w:rPr>
                <w:b/>
                <w:bCs/>
                <w:strike/>
                <w:color w:val="0070C0"/>
              </w:rPr>
              <w:t>Окремо проводиться аналіз по п’яти кошторисах нестандартних приєднань з найбільшими витратами, виконаних господарським і підрядним способами.</w:t>
            </w:r>
          </w:p>
          <w:p w:rsidR="00A52786" w:rsidRPr="001C0014" w:rsidRDefault="00A52786" w:rsidP="008E4104">
            <w:pPr>
              <w:pStyle w:val="a6"/>
              <w:spacing w:before="0" w:beforeAutospacing="0" w:after="0" w:afterAutospacing="0"/>
              <w:ind w:firstLine="326"/>
              <w:contextualSpacing/>
              <w:jc w:val="both"/>
              <w:rPr>
                <w:b/>
                <w:bCs/>
                <w:color w:val="0070C0"/>
              </w:rPr>
            </w:pPr>
            <w:r w:rsidRPr="001C0014">
              <w:rPr>
                <w:b/>
                <w:bCs/>
                <w:color w:val="0070C0"/>
              </w:rPr>
              <w:t xml:space="preserve">Аналіз проводиться по кошторисах з найбільшими витратами: </w:t>
            </w:r>
          </w:p>
          <w:p w:rsidR="00A52786" w:rsidRPr="001C0014" w:rsidRDefault="00A52786" w:rsidP="008E4104">
            <w:pPr>
              <w:pStyle w:val="a6"/>
              <w:spacing w:before="0" w:beforeAutospacing="0" w:after="0" w:afterAutospacing="0"/>
              <w:ind w:firstLine="326"/>
              <w:contextualSpacing/>
              <w:jc w:val="both"/>
              <w:rPr>
                <w:b/>
                <w:bCs/>
                <w:color w:val="0070C0"/>
              </w:rPr>
            </w:pPr>
            <w:r w:rsidRPr="001C0014">
              <w:rPr>
                <w:b/>
                <w:bCs/>
                <w:color w:val="0070C0"/>
              </w:rPr>
              <w:t>по п’ять кошторисів для нестандартних приєднань для міської та сільської місцевостей, виконаних підрядним способом;</w:t>
            </w:r>
          </w:p>
          <w:p w:rsidR="00A52786" w:rsidRPr="001C0014" w:rsidRDefault="00A52786" w:rsidP="008E4104">
            <w:pPr>
              <w:pStyle w:val="rvps2"/>
              <w:shd w:val="clear" w:color="auto" w:fill="FFFFFF"/>
              <w:spacing w:before="0" w:beforeAutospacing="0" w:after="0" w:afterAutospacing="0"/>
              <w:ind w:firstLine="326"/>
              <w:jc w:val="both"/>
              <w:rPr>
                <w:b/>
                <w:bCs/>
                <w:color w:val="0070C0"/>
              </w:rPr>
            </w:pPr>
            <w:r w:rsidRPr="001C0014">
              <w:rPr>
                <w:b/>
                <w:bCs/>
                <w:color w:val="0070C0"/>
                <w:lang w:eastAsia="ru-RU"/>
              </w:rPr>
              <w:t>по п’ять кошторисів для нестандартних приєднань для міської та сільської місцевостей, виконаних господарським способом</w:t>
            </w:r>
            <w:r w:rsidRPr="001C0014">
              <w:rPr>
                <w:b/>
                <w:bCs/>
                <w:color w:val="0070C0"/>
              </w:rPr>
              <w:t>.</w:t>
            </w:r>
          </w:p>
          <w:p w:rsidR="00A52786" w:rsidRPr="001C0014" w:rsidRDefault="00A52786" w:rsidP="008E4104">
            <w:pPr>
              <w:pStyle w:val="rvps2"/>
              <w:shd w:val="clear" w:color="auto" w:fill="FFFFFF"/>
              <w:spacing w:before="0" w:beforeAutospacing="0" w:after="0" w:afterAutospacing="0"/>
              <w:ind w:firstLine="326"/>
              <w:jc w:val="both"/>
              <w:rPr>
                <w:b/>
                <w:bCs/>
                <w:strike/>
                <w:color w:val="0070C0"/>
              </w:rPr>
            </w:pPr>
            <w:r w:rsidRPr="001C0014">
              <w:t xml:space="preserve">Вартісні показники на матеріали та обладнання враховуються із застосуванням коефіцієнта 1,1. </w:t>
            </w:r>
            <w:r w:rsidRPr="001C0014">
              <w:rPr>
                <w:b/>
                <w:bCs/>
                <w:strike/>
                <w:color w:val="0070C0"/>
              </w:rPr>
              <w:t>для всього переліку матеріалів та обладнання, використаних під час надання послуг з приєднань.</w:t>
            </w:r>
          </w:p>
          <w:p w:rsidR="00A52786" w:rsidRPr="001C0014" w:rsidRDefault="00A52786" w:rsidP="008E4104">
            <w:pPr>
              <w:pStyle w:val="rvps2"/>
              <w:shd w:val="clear" w:color="auto" w:fill="FFFFFF"/>
              <w:spacing w:before="0" w:beforeAutospacing="0" w:after="0" w:afterAutospacing="0"/>
              <w:ind w:firstLine="326"/>
              <w:jc w:val="both"/>
              <w:rPr>
                <w:b/>
                <w:bCs/>
                <w:strike/>
                <w:color w:val="0070C0"/>
              </w:rPr>
            </w:pPr>
            <w:r w:rsidRPr="001C0014">
              <w:rPr>
                <w:b/>
                <w:bCs/>
                <w:color w:val="0070C0"/>
                <w:shd w:val="clear" w:color="auto" w:fill="FFFFFF"/>
              </w:rPr>
              <w:t xml:space="preserve">Результати аналізу, що утворюються за рахунок різниці між </w:t>
            </w:r>
            <w:r w:rsidRPr="001C0014">
              <w:rPr>
                <w:b/>
                <w:bCs/>
                <w:color w:val="0070C0"/>
                <w:shd w:val="clear" w:color="auto" w:fill="FFFFFF"/>
              </w:rPr>
              <w:lastRenderedPageBreak/>
              <w:t>вартістю матеріалів та обладнання, використаних під час надання послуг з приєднань, та вартісними показниками, повинні враховувати всі відхилення вартостей,  як від’ємні так і плюсові значення. У разі отримання плюсового значення, визнати результати аналізу</w:t>
            </w:r>
            <w:r w:rsidRPr="001C0014">
              <w:rPr>
                <w:b/>
                <w:bCs/>
                <w:color w:val="0070C0"/>
                <w:shd w:val="clear" w:color="auto" w:fill="FFFFFF"/>
                <w:lang w:val="ru-RU"/>
              </w:rPr>
              <w:t xml:space="preserve"> такими</w:t>
            </w:r>
            <w:r w:rsidRPr="001C0014">
              <w:rPr>
                <w:b/>
                <w:bCs/>
                <w:color w:val="0070C0"/>
                <w:shd w:val="clear" w:color="auto" w:fill="FFFFFF"/>
              </w:rPr>
              <w:t>, що дорівнюють 1.</w:t>
            </w:r>
          </w:p>
          <w:p w:rsidR="00A52786" w:rsidRPr="001C0014" w:rsidRDefault="00A52786" w:rsidP="008E4104">
            <w:pPr>
              <w:pStyle w:val="rvps2"/>
              <w:shd w:val="clear" w:color="auto" w:fill="FFFFFF"/>
              <w:spacing w:before="0" w:beforeAutospacing="0" w:after="0" w:afterAutospacing="0"/>
              <w:ind w:firstLine="326"/>
              <w:jc w:val="both"/>
              <w:rPr>
                <w:b/>
                <w:bCs/>
                <w:color w:val="0070C0"/>
                <w:lang w:eastAsia="ru-RU"/>
              </w:rPr>
            </w:pPr>
            <w:r w:rsidRPr="001C0014">
              <w:rPr>
                <w:b/>
                <w:bCs/>
                <w:color w:val="0070C0"/>
                <w:lang w:eastAsia="ru-RU"/>
              </w:rPr>
              <w:t>Вартісні показники доводяться до ОСР до 10 січня поточного року на поточний рік, з вказанням джерел формування таких цін. Вартісні показники публікуються на сайті НКРЕКП.</w:t>
            </w:r>
          </w:p>
          <w:p w:rsidR="00A52786" w:rsidRPr="001C0014" w:rsidRDefault="00A52786" w:rsidP="008E4104">
            <w:pPr>
              <w:pStyle w:val="rvps2"/>
              <w:shd w:val="clear" w:color="auto" w:fill="FFFFFF"/>
              <w:spacing w:before="0" w:beforeAutospacing="0" w:after="0" w:afterAutospacing="0"/>
              <w:ind w:firstLine="326"/>
              <w:jc w:val="both"/>
              <w:rPr>
                <w:b/>
                <w:bCs/>
                <w:lang w:eastAsia="ru-RU"/>
              </w:rPr>
            </w:pPr>
            <w:r w:rsidRPr="001C0014">
              <w:rPr>
                <w:lang w:eastAsia="ru-RU"/>
              </w:rPr>
              <w:t xml:space="preserve">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w:t>
            </w:r>
            <w:r w:rsidRPr="001C0014">
              <w:rPr>
                <w:b/>
                <w:bCs/>
                <w:color w:val="0070C0"/>
                <w:lang w:eastAsia="ru-RU"/>
              </w:rPr>
              <w:t>та  з урахуванням цін від виробника згідно договору закупки, підтвердженими товарними накладними, комерційними пропозиціями та обумовленими технічними характеристиками проектно-кошторисної документації.</w:t>
            </w:r>
          </w:p>
          <w:p w:rsidR="00A52786" w:rsidRPr="001C0014" w:rsidRDefault="00A52786" w:rsidP="008E4104">
            <w:pPr>
              <w:pStyle w:val="rvps2"/>
              <w:shd w:val="clear" w:color="auto" w:fill="FFFFFF"/>
              <w:spacing w:before="0" w:beforeAutospacing="0" w:after="150" w:afterAutospacing="0"/>
              <w:ind w:firstLine="326"/>
              <w:jc w:val="both"/>
              <w:rPr>
                <w:color w:val="333333"/>
              </w:rPr>
            </w:pPr>
            <w:r w:rsidRPr="001C0014">
              <w:t xml:space="preserve">Результати аналізу застосовуються пропорційно до кожного напряму </w:t>
            </w:r>
            <w:r w:rsidRPr="001C0014">
              <w:rPr>
                <w:b/>
                <w:bCs/>
                <w:color w:val="0070C0"/>
              </w:rPr>
              <w:t xml:space="preserve">(окремо за способом  виконання робіт та за місцевістю) </w:t>
            </w:r>
            <w:r w:rsidRPr="001C0014">
              <w:rPr>
                <w:color w:val="0070C0"/>
              </w:rPr>
              <w:t xml:space="preserve">  </w:t>
            </w:r>
            <w:r w:rsidRPr="001C0014">
              <w:t xml:space="preserve">для визначення фактичних капітальних витрат, понесених під час надання послуг із нестандартного приєднання (за </w:t>
            </w:r>
            <w:r w:rsidRPr="001C0014">
              <w:lastRenderedPageBreak/>
              <w:t>об'єктами замовників, приєднання яких завершено в базовому періоді) для міської та сільської місцевості, за якими проводився аналіз.</w:t>
            </w:r>
          </w:p>
        </w:tc>
        <w:tc>
          <w:tcPr>
            <w:tcW w:w="3685" w:type="dxa"/>
          </w:tcPr>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Pr="000B261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Pr="000B2616" w:rsidRDefault="00A52786" w:rsidP="008E4104">
            <w:pPr>
              <w:jc w:val="both"/>
              <w:rPr>
                <w:sz w:val="24"/>
                <w:szCs w:val="24"/>
              </w:rPr>
            </w:pPr>
            <w:r w:rsidRPr="000B2616">
              <w:rPr>
                <w:sz w:val="24"/>
                <w:szCs w:val="24"/>
              </w:rPr>
              <w:t>В розрахунку не врахована різниця вартості обладнання та відсоткове співвідношення робіт, виконаних  підрядним або господарським способом.  Відсоток приєднань виконано  господарським способом, при якому вартість робіт, матеріалів та обладнання має незначне відхилення від  вартості, яка затверджена НКРЕКП, що впливає на коефіцієнт оптимізації (</w:t>
            </w:r>
            <m:oMath>
              <m:sSubSup>
                <m:sSubSupPr>
                  <m:ctrlPr>
                    <w:rPr>
                      <w:rFonts w:ascii="Cambria Math" w:hAnsi="Cambria Math"/>
                      <w:i/>
                      <w:sz w:val="24"/>
                      <w:szCs w:val="24"/>
                    </w:rPr>
                  </m:ctrlPr>
                </m:sSubSupPr>
                <m:e>
                  <m:r>
                    <w:rPr>
                      <w:rFonts w:ascii="Cambria Math" w:hAnsi="Cambria Math"/>
                      <w:sz w:val="24"/>
                      <w:szCs w:val="24"/>
                    </w:rPr>
                    <m:t>К</m:t>
                  </m:r>
                </m:e>
                <m:sub>
                  <m:sSub>
                    <m:sSubPr>
                      <m:ctrlPr>
                        <w:rPr>
                          <w:rFonts w:ascii="Cambria Math" w:hAnsi="Cambria Math"/>
                          <w:i/>
                          <w:sz w:val="24"/>
                          <w:szCs w:val="24"/>
                        </w:rPr>
                      </m:ctrlPr>
                    </m:sSubPr>
                    <m:e>
                      <m:r>
                        <w:rPr>
                          <w:rFonts w:ascii="Cambria Math" w:hAnsi="Cambria Math"/>
                          <w:sz w:val="24"/>
                          <w:szCs w:val="24"/>
                        </w:rPr>
                        <m:t>опт</m:t>
                      </m:r>
                    </m:e>
                    <m:sub>
                      <m:r>
                        <w:rPr>
                          <w:rFonts w:ascii="Cambria Math" w:hAnsi="Cambria Math"/>
                          <w:sz w:val="24"/>
                          <w:szCs w:val="24"/>
                        </w:rPr>
                        <m:t>нст</m:t>
                      </m:r>
                    </m:sub>
                  </m:sSub>
                </m:sub>
                <m:sup>
                  <m:r>
                    <w:rPr>
                      <w:rFonts w:ascii="Cambria Math" w:hAnsi="Cambria Math"/>
                      <w:sz w:val="24"/>
                      <w:szCs w:val="24"/>
                    </w:rPr>
                    <m:t>місц</m:t>
                  </m:r>
                </m:sup>
              </m:sSubSup>
            </m:oMath>
            <w:r w:rsidRPr="000B2616">
              <w:rPr>
                <w:sz w:val="24"/>
                <w:szCs w:val="24"/>
              </w:rPr>
              <w:t>)</w:t>
            </w:r>
          </w:p>
          <w:p w:rsidR="00A52786" w:rsidRPr="000B2616" w:rsidRDefault="00A52786" w:rsidP="008E4104">
            <w:pPr>
              <w:pStyle w:val="rvps2"/>
              <w:shd w:val="clear" w:color="auto" w:fill="FFFFFF"/>
              <w:spacing w:before="0" w:beforeAutospacing="0" w:after="0" w:afterAutospacing="0"/>
              <w:ind w:firstLine="448"/>
              <w:jc w:val="both"/>
            </w:pPr>
          </w:p>
          <w:p w:rsidR="00A52786" w:rsidRPr="000B2616" w:rsidRDefault="00A52786" w:rsidP="008E4104">
            <w:pPr>
              <w:pStyle w:val="rvps2"/>
              <w:shd w:val="clear" w:color="auto" w:fill="FFFFFF"/>
              <w:spacing w:before="0" w:beforeAutospacing="0" w:after="0" w:afterAutospacing="0"/>
              <w:ind w:firstLine="448"/>
              <w:jc w:val="both"/>
            </w:pPr>
          </w:p>
          <w:p w:rsidR="00A52786" w:rsidRPr="000B261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ind w:firstLine="448"/>
              <w:jc w:val="both"/>
            </w:pPr>
          </w:p>
          <w:p w:rsidR="00A52786" w:rsidRDefault="00A52786" w:rsidP="008E4104">
            <w:pPr>
              <w:pStyle w:val="rvps2"/>
              <w:shd w:val="clear" w:color="auto" w:fill="FFFFFF"/>
              <w:spacing w:before="0" w:beforeAutospacing="0" w:after="0" w:afterAutospacing="0"/>
              <w:jc w:val="both"/>
            </w:pPr>
          </w:p>
          <w:p w:rsidR="00A52786" w:rsidRPr="000B2616" w:rsidRDefault="00A52786" w:rsidP="008E4104">
            <w:pPr>
              <w:pStyle w:val="rvps2"/>
              <w:shd w:val="clear" w:color="auto" w:fill="FFFFFF"/>
              <w:spacing w:before="0" w:beforeAutospacing="0" w:after="0" w:afterAutospacing="0"/>
              <w:jc w:val="both"/>
            </w:pPr>
          </w:p>
          <w:p w:rsidR="00A52786" w:rsidRPr="000B2616" w:rsidRDefault="00A52786" w:rsidP="008E4104">
            <w:pPr>
              <w:jc w:val="both"/>
              <w:rPr>
                <w:sz w:val="24"/>
                <w:szCs w:val="24"/>
              </w:rPr>
            </w:pPr>
            <w:r w:rsidRPr="000B2616">
              <w:rPr>
                <w:sz w:val="24"/>
                <w:szCs w:val="24"/>
              </w:rPr>
              <w:t xml:space="preserve">Немає точної інформації по вартості матеріалів та </w:t>
            </w:r>
            <w:r w:rsidRPr="000B2616">
              <w:rPr>
                <w:sz w:val="24"/>
                <w:szCs w:val="24"/>
              </w:rPr>
              <w:lastRenderedPageBreak/>
              <w:t>обладнання, якою можливо б було користуватися при закупівлі матеріалів та складанні договорів на придбання даних матеріалів та обладнання.</w:t>
            </w:r>
          </w:p>
          <w:p w:rsidR="00A52786" w:rsidRPr="000B2616" w:rsidRDefault="00A52786" w:rsidP="008E4104">
            <w:pPr>
              <w:pStyle w:val="rvps2"/>
              <w:shd w:val="clear" w:color="auto" w:fill="FFFFFF"/>
              <w:spacing w:before="0" w:beforeAutospacing="0" w:after="0" w:afterAutospacing="0"/>
              <w:ind w:firstLine="448"/>
              <w:jc w:val="both"/>
              <w:rPr>
                <w:b/>
                <w:bCs/>
              </w:rPr>
            </w:pPr>
            <w:r w:rsidRPr="000B2616">
              <w:rPr>
                <w:b/>
                <w:bCs/>
              </w:rPr>
              <w:t>Інфляція стосується як дефіцитних так і профіцитних приєднань, тому пропонуємо залишити в діючій редакції.</w:t>
            </w:r>
          </w:p>
          <w:p w:rsidR="00A52786" w:rsidRPr="000B2616" w:rsidRDefault="00A52786" w:rsidP="008E4104">
            <w:pPr>
              <w:pStyle w:val="rvps2"/>
              <w:shd w:val="clear" w:color="auto" w:fill="FFFFFF"/>
              <w:spacing w:before="0" w:beforeAutospacing="0" w:after="0" w:afterAutospacing="0"/>
              <w:ind w:firstLine="448"/>
              <w:jc w:val="both"/>
              <w:rPr>
                <w:b/>
                <w:bCs/>
              </w:rPr>
            </w:pPr>
          </w:p>
          <w:p w:rsidR="00A52786" w:rsidRPr="000B2616" w:rsidRDefault="00A52786" w:rsidP="008E4104">
            <w:pPr>
              <w:pStyle w:val="rvps2"/>
              <w:shd w:val="clear" w:color="auto" w:fill="FFFFFF"/>
              <w:spacing w:before="0" w:beforeAutospacing="0" w:after="0" w:afterAutospacing="0"/>
              <w:ind w:firstLine="448"/>
              <w:jc w:val="both"/>
              <w:rPr>
                <w:b/>
                <w:bCs/>
              </w:rPr>
            </w:pPr>
          </w:p>
          <w:p w:rsidR="00A52786" w:rsidRPr="000B261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Default="00A52786" w:rsidP="008E4104">
            <w:pPr>
              <w:jc w:val="both"/>
              <w:rPr>
                <w:sz w:val="24"/>
                <w:szCs w:val="24"/>
              </w:rPr>
            </w:pPr>
          </w:p>
          <w:p w:rsidR="00A52786" w:rsidRPr="000B2616" w:rsidRDefault="00A52786" w:rsidP="008E4104">
            <w:pPr>
              <w:jc w:val="both"/>
              <w:rPr>
                <w:sz w:val="24"/>
                <w:szCs w:val="24"/>
              </w:rPr>
            </w:pPr>
            <w:r w:rsidRPr="000B2616">
              <w:rPr>
                <w:sz w:val="24"/>
                <w:szCs w:val="24"/>
              </w:rPr>
              <w:t>Уточнення щодо застосування Копт.</w:t>
            </w:r>
          </w:p>
          <w:p w:rsidR="00A52786" w:rsidRDefault="00A52786" w:rsidP="008E4104">
            <w:pPr>
              <w:jc w:val="both"/>
              <w:rPr>
                <w:sz w:val="24"/>
                <w:szCs w:val="24"/>
              </w:rPr>
            </w:pPr>
          </w:p>
        </w:tc>
        <w:tc>
          <w:tcPr>
            <w:tcW w:w="3119" w:type="dxa"/>
          </w:tcPr>
          <w:p w:rsidR="00A52786" w:rsidRDefault="00A52786"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Pr="004F3A51" w:rsidRDefault="004F2BAF" w:rsidP="008E4104">
            <w:pPr>
              <w:jc w:val="both"/>
              <w:rPr>
                <w:b/>
                <w:sz w:val="24"/>
                <w:szCs w:val="24"/>
                <w:lang w:eastAsia="uk-UA"/>
              </w:rPr>
            </w:pPr>
            <w:r w:rsidRPr="004F2BAF">
              <w:rPr>
                <w:b/>
                <w:sz w:val="24"/>
                <w:szCs w:val="24"/>
                <w:lang w:eastAsia="uk-UA"/>
              </w:rPr>
              <w:t>Пропонується відхилити</w:t>
            </w:r>
          </w:p>
        </w:tc>
      </w:tr>
      <w:tr w:rsidR="00A52786" w:rsidRPr="004F3A51" w:rsidTr="00F05B07">
        <w:trPr>
          <w:trHeight w:val="218"/>
        </w:trPr>
        <w:tc>
          <w:tcPr>
            <w:tcW w:w="4395" w:type="dxa"/>
            <w:vMerge/>
          </w:tcPr>
          <w:p w:rsidR="00A52786" w:rsidRPr="001C0014" w:rsidRDefault="00A52786" w:rsidP="008E4104">
            <w:pPr>
              <w:pStyle w:val="rvps2"/>
              <w:shd w:val="clear" w:color="auto" w:fill="FFFFFF"/>
              <w:spacing w:before="0" w:beforeAutospacing="0" w:after="0" w:afterAutospacing="0"/>
              <w:ind w:firstLine="326"/>
              <w:jc w:val="both"/>
            </w:pPr>
          </w:p>
        </w:tc>
        <w:tc>
          <w:tcPr>
            <w:tcW w:w="4394" w:type="dxa"/>
          </w:tcPr>
          <w:p w:rsidR="00A52786" w:rsidRDefault="00A52786" w:rsidP="00686A9B">
            <w:pPr>
              <w:ind w:firstLine="224"/>
              <w:contextualSpacing/>
              <w:jc w:val="both"/>
              <w:rPr>
                <w:b/>
                <w:sz w:val="24"/>
                <w:szCs w:val="24"/>
                <w:u w:val="single"/>
              </w:rPr>
            </w:pPr>
            <w:r>
              <w:rPr>
                <w:b/>
                <w:sz w:val="24"/>
                <w:szCs w:val="24"/>
                <w:u w:val="single"/>
              </w:rPr>
              <w:t>ПрАТ «Львівобленерго»</w:t>
            </w:r>
          </w:p>
          <w:p w:rsidR="00A52786" w:rsidRPr="00686A9B" w:rsidRDefault="00A52786" w:rsidP="00686A9B">
            <w:pPr>
              <w:pStyle w:val="rvps2"/>
              <w:shd w:val="clear" w:color="auto" w:fill="FFFFFF"/>
              <w:spacing w:before="0" w:beforeAutospacing="0" w:after="0" w:afterAutospacing="0"/>
              <w:ind w:firstLine="175"/>
              <w:jc w:val="both"/>
            </w:pPr>
            <w:r w:rsidRPr="00686A9B">
              <w:t>5.7. Розрахунок коефіцієнта оптимізації (Копт нст)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аналізу актів за виконаними договорами про нестандартне приєднання.</w:t>
            </w:r>
          </w:p>
          <w:p w:rsidR="00A52786" w:rsidRPr="00686A9B" w:rsidRDefault="00A52786" w:rsidP="00686A9B">
            <w:pPr>
              <w:pStyle w:val="rvps2"/>
              <w:shd w:val="clear" w:color="auto" w:fill="FFFFFF"/>
              <w:spacing w:before="0" w:beforeAutospacing="0" w:after="0" w:afterAutospacing="0"/>
              <w:ind w:firstLine="175"/>
              <w:jc w:val="both"/>
              <w:rPr>
                <w:b/>
              </w:rPr>
            </w:pPr>
            <w:r>
              <w:t>…</w:t>
            </w:r>
          </w:p>
          <w:p w:rsidR="00A52786" w:rsidRPr="00686A9B" w:rsidRDefault="00A52786" w:rsidP="00686A9B">
            <w:pPr>
              <w:pStyle w:val="rvps2"/>
              <w:shd w:val="clear" w:color="auto" w:fill="FFFFFF"/>
              <w:spacing w:before="0" w:beforeAutospacing="0" w:after="0" w:afterAutospacing="0"/>
              <w:ind w:firstLine="175"/>
              <w:jc w:val="both"/>
              <w:rPr>
                <w:strike/>
              </w:rPr>
            </w:pPr>
            <w:r w:rsidRPr="00686A9B">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r w:rsidRPr="00686A9B">
              <w:rPr>
                <w:b/>
              </w:rPr>
              <w:t xml:space="preserve">, </w:t>
            </w:r>
            <w:r w:rsidRPr="00686A9B">
              <w:rPr>
                <w:b/>
                <w:strike/>
                <w:color w:val="0070C0"/>
              </w:rPr>
              <w:t>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Pr="00686A9B">
              <w:rPr>
                <w:strike/>
                <w:color w:val="0070C0"/>
              </w:rPr>
              <w:t>.</w:t>
            </w:r>
          </w:p>
          <w:p w:rsidR="00A52786" w:rsidRPr="00686A9B" w:rsidRDefault="00A52786" w:rsidP="00686A9B">
            <w:pPr>
              <w:ind w:firstLine="175"/>
              <w:contextualSpacing/>
              <w:jc w:val="both"/>
              <w:rPr>
                <w:sz w:val="24"/>
                <w:szCs w:val="24"/>
              </w:rPr>
            </w:pPr>
            <w:r w:rsidRPr="00686A9B">
              <w:rPr>
                <w:sz w:val="24"/>
                <w:szCs w:val="24"/>
              </w:rPr>
              <w:t>…</w:t>
            </w:r>
          </w:p>
        </w:tc>
        <w:tc>
          <w:tcPr>
            <w:tcW w:w="3685" w:type="dxa"/>
          </w:tcPr>
          <w:p w:rsidR="00A52786" w:rsidRPr="000B2616" w:rsidRDefault="00A52786" w:rsidP="008E4104">
            <w:pPr>
              <w:jc w:val="both"/>
              <w:rPr>
                <w:sz w:val="24"/>
                <w:szCs w:val="24"/>
              </w:rPr>
            </w:pPr>
            <w:r w:rsidRPr="00686A9B">
              <w:rPr>
                <w:sz w:val="24"/>
                <w:szCs w:val="24"/>
              </w:rPr>
              <w:t>Інфляція стосується як дефіцитних так і профіцитних приєднань, тому пропонуємо залишити в діючій редакції.</w:t>
            </w:r>
          </w:p>
        </w:tc>
        <w:tc>
          <w:tcPr>
            <w:tcW w:w="3119" w:type="dxa"/>
          </w:tcPr>
          <w:p w:rsidR="00A52786" w:rsidRDefault="00A52786"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Default="00343227" w:rsidP="008E4104">
            <w:pPr>
              <w:jc w:val="both"/>
              <w:rPr>
                <w:b/>
                <w:sz w:val="24"/>
                <w:szCs w:val="24"/>
                <w:lang w:eastAsia="uk-UA"/>
              </w:rPr>
            </w:pPr>
          </w:p>
          <w:p w:rsidR="00343227" w:rsidRPr="004F3A51" w:rsidRDefault="005E0659" w:rsidP="008E4104">
            <w:pPr>
              <w:jc w:val="both"/>
              <w:rPr>
                <w:b/>
                <w:sz w:val="24"/>
                <w:szCs w:val="24"/>
                <w:lang w:eastAsia="uk-UA"/>
              </w:rPr>
            </w:pPr>
            <w:r>
              <w:rPr>
                <w:b/>
                <w:sz w:val="24"/>
                <w:szCs w:val="24"/>
                <w:lang w:eastAsia="uk-UA"/>
              </w:rPr>
              <w:t>Пропонується відхилити</w:t>
            </w:r>
          </w:p>
        </w:tc>
      </w:tr>
      <w:tr w:rsidR="008E4104" w:rsidRPr="004F3A51" w:rsidTr="0064032E">
        <w:trPr>
          <w:trHeight w:val="218"/>
        </w:trPr>
        <w:tc>
          <w:tcPr>
            <w:tcW w:w="15593" w:type="dxa"/>
            <w:gridSpan w:val="4"/>
          </w:tcPr>
          <w:p w:rsidR="008E4104" w:rsidRPr="001C0014" w:rsidRDefault="008E4104" w:rsidP="008E4104">
            <w:pPr>
              <w:jc w:val="right"/>
              <w:rPr>
                <w:b/>
                <w:sz w:val="24"/>
                <w:szCs w:val="24"/>
                <w:lang w:eastAsia="uk-UA"/>
              </w:rPr>
            </w:pPr>
            <w:r w:rsidRPr="001C0014">
              <w:rPr>
                <w:b/>
                <w:sz w:val="24"/>
                <w:szCs w:val="24"/>
                <w:lang w:eastAsia="uk-UA"/>
              </w:rPr>
              <w:t>Додаток 1</w:t>
            </w:r>
          </w:p>
          <w:p w:rsidR="008E4104" w:rsidRPr="001C0014" w:rsidRDefault="008E4104" w:rsidP="008E4104">
            <w:pPr>
              <w:jc w:val="center"/>
              <w:rPr>
                <w:b/>
                <w:sz w:val="24"/>
                <w:szCs w:val="24"/>
                <w:lang w:eastAsia="uk-UA"/>
              </w:rPr>
            </w:pPr>
          </w:p>
          <w:p w:rsidR="008E4104" w:rsidRPr="001C0014" w:rsidRDefault="008E4104" w:rsidP="008E4104">
            <w:pPr>
              <w:jc w:val="center"/>
              <w:rPr>
                <w:b/>
                <w:sz w:val="24"/>
                <w:szCs w:val="24"/>
                <w:lang w:eastAsia="uk-UA"/>
              </w:rPr>
            </w:pPr>
            <w:r w:rsidRPr="001C0014">
              <w:rPr>
                <w:b/>
                <w:sz w:val="24"/>
                <w:szCs w:val="24"/>
                <w:lang w:eastAsia="uk-UA"/>
              </w:rPr>
              <w:t>ЗВІТ</w:t>
            </w:r>
          </w:p>
          <w:p w:rsidR="008E4104" w:rsidRPr="004F3A51" w:rsidRDefault="008E4104" w:rsidP="008E4104">
            <w:pPr>
              <w:jc w:val="center"/>
              <w:rPr>
                <w:b/>
                <w:sz w:val="24"/>
                <w:szCs w:val="24"/>
                <w:lang w:eastAsia="uk-UA"/>
              </w:rPr>
            </w:pPr>
            <w:r w:rsidRPr="001C0014">
              <w:rPr>
                <w:b/>
                <w:sz w:val="24"/>
                <w:szCs w:val="24"/>
                <w:lang w:eastAsia="uk-UA"/>
              </w:rPr>
              <w:t>з моніторингу надання ОСП/ОСР послуг з приєднання</w:t>
            </w:r>
          </w:p>
        </w:tc>
      </w:tr>
      <w:tr w:rsidR="008E4104" w:rsidRPr="004F3A51" w:rsidTr="00F05B07">
        <w:trPr>
          <w:trHeight w:val="218"/>
        </w:trPr>
        <w:tc>
          <w:tcPr>
            <w:tcW w:w="4395" w:type="dxa"/>
          </w:tcPr>
          <w:p w:rsidR="008E4104" w:rsidRPr="001C0014" w:rsidRDefault="008E4104" w:rsidP="008E4104">
            <w:pPr>
              <w:pStyle w:val="rvps2"/>
              <w:shd w:val="clear" w:color="auto" w:fill="FFFFFF"/>
              <w:spacing w:before="0" w:beforeAutospacing="0" w:after="0" w:afterAutospacing="0"/>
              <w:ind w:firstLine="326"/>
              <w:jc w:val="both"/>
            </w:pPr>
          </w:p>
        </w:tc>
        <w:tc>
          <w:tcPr>
            <w:tcW w:w="4394" w:type="dxa"/>
          </w:tcPr>
          <w:p w:rsidR="008E4104" w:rsidRPr="00F05B07" w:rsidRDefault="008E4104" w:rsidP="008E4104">
            <w:pPr>
              <w:ind w:firstLine="224"/>
              <w:contextualSpacing/>
              <w:jc w:val="both"/>
              <w:rPr>
                <w:b/>
                <w:sz w:val="24"/>
                <w:szCs w:val="24"/>
                <w:u w:val="single"/>
              </w:rPr>
            </w:pPr>
            <w:r w:rsidRPr="00F05B07">
              <w:rPr>
                <w:b/>
                <w:sz w:val="24"/>
                <w:szCs w:val="24"/>
                <w:u w:val="single"/>
              </w:rPr>
              <w:t>АТ «ДТЕК Донецькі електромережі»</w:t>
            </w:r>
            <w:r>
              <w:rPr>
                <w:b/>
                <w:sz w:val="24"/>
                <w:szCs w:val="24"/>
                <w:u w:val="single"/>
              </w:rPr>
              <w:t xml:space="preserve">, </w:t>
            </w:r>
            <w:r w:rsidRPr="00F05B07">
              <w:rPr>
                <w:b/>
                <w:sz w:val="24"/>
                <w:szCs w:val="24"/>
                <w:u w:val="single"/>
              </w:rPr>
              <w:t xml:space="preserve"> </w:t>
            </w:r>
            <w:r w:rsidRPr="006725FB">
              <w:rPr>
                <w:b/>
                <w:sz w:val="24"/>
                <w:szCs w:val="24"/>
                <w:u w:val="single"/>
              </w:rPr>
              <w:t>АТ «ДТЕК Дніпровські електромережі»</w:t>
            </w:r>
            <w:r>
              <w:rPr>
                <w:b/>
                <w:sz w:val="24"/>
                <w:szCs w:val="24"/>
                <w:u w:val="single"/>
              </w:rPr>
              <w:t xml:space="preserve">, ПрАТ «ДТЕК Київські електромережі», ПрАТ «ДТЕК Київські регіональні електромережі», АТ «ДТЕК Одеські електромережі», </w:t>
            </w:r>
            <w:r w:rsidRPr="00A11F87">
              <w:rPr>
                <w:b/>
                <w:sz w:val="24"/>
                <w:szCs w:val="24"/>
                <w:u w:val="single"/>
              </w:rPr>
              <w:t>ПрАТ</w:t>
            </w:r>
            <w:r>
              <w:rPr>
                <w:b/>
                <w:sz w:val="24"/>
                <w:szCs w:val="24"/>
                <w:u w:val="single"/>
              </w:rPr>
              <w:t xml:space="preserve"> </w:t>
            </w:r>
            <w:r w:rsidRPr="00A11F87">
              <w:rPr>
                <w:b/>
                <w:sz w:val="24"/>
                <w:szCs w:val="24"/>
                <w:u w:val="single"/>
              </w:rPr>
              <w:t>«Рівнеобленерго»</w:t>
            </w:r>
          </w:p>
          <w:p w:rsidR="008E4104" w:rsidRPr="00F05B07" w:rsidRDefault="008E4104" w:rsidP="008E4104">
            <w:pPr>
              <w:ind w:firstLine="224"/>
              <w:contextualSpacing/>
              <w:jc w:val="both"/>
              <w:rPr>
                <w:b/>
                <w:sz w:val="24"/>
                <w:szCs w:val="24"/>
                <w:u w:val="single"/>
              </w:rPr>
            </w:pPr>
            <w:r w:rsidRPr="001C0014">
              <w:rPr>
                <w:b/>
                <w:bCs/>
                <w:color w:val="0070C0"/>
                <w:sz w:val="24"/>
                <w:szCs w:val="24"/>
              </w:rPr>
              <w:t xml:space="preserve">Колонки 69-74  стосовно проектування  та </w:t>
            </w:r>
            <w:r w:rsidRPr="001C0014">
              <w:rPr>
                <w:b/>
                <w:bCs/>
                <w:color w:val="0070C0"/>
                <w:sz w:val="24"/>
                <w:szCs w:val="24"/>
                <w:lang w:val="ru-RU"/>
              </w:rPr>
              <w:t>к</w:t>
            </w:r>
            <w:r w:rsidRPr="001C0014">
              <w:rPr>
                <w:b/>
                <w:bCs/>
                <w:color w:val="0070C0"/>
                <w:sz w:val="24"/>
                <w:szCs w:val="24"/>
              </w:rPr>
              <w:t>олонки  82,84,86,88 вартість Створеної потужності не додавати у звітність</w:t>
            </w:r>
          </w:p>
        </w:tc>
        <w:tc>
          <w:tcPr>
            <w:tcW w:w="3685" w:type="dxa"/>
          </w:tcPr>
          <w:p w:rsidR="008E4104" w:rsidRPr="000B2616" w:rsidRDefault="008E4104" w:rsidP="008E4104">
            <w:pPr>
              <w:jc w:val="both"/>
              <w:rPr>
                <w:sz w:val="24"/>
                <w:szCs w:val="24"/>
              </w:rPr>
            </w:pPr>
            <w:r w:rsidRPr="000B2616">
              <w:rPr>
                <w:sz w:val="24"/>
                <w:szCs w:val="24"/>
              </w:rPr>
              <w:t xml:space="preserve">Колонки 69-74  стосовно проектування  та </w:t>
            </w:r>
            <w:r w:rsidRPr="000B2616">
              <w:rPr>
                <w:sz w:val="24"/>
                <w:szCs w:val="24"/>
                <w:lang w:val="ru-RU"/>
              </w:rPr>
              <w:t>к</w:t>
            </w:r>
            <w:r w:rsidRPr="000B2616">
              <w:rPr>
                <w:sz w:val="24"/>
                <w:szCs w:val="24"/>
              </w:rPr>
              <w:t>олонки  82,84,86,88 вартість Створеної потужності не додавати у звітність в зв’язку неможливістю відображення таких даних кожного місяця в програмних комплексах.</w:t>
            </w:r>
          </w:p>
          <w:p w:rsidR="008E4104" w:rsidRPr="000B2616" w:rsidRDefault="008E4104" w:rsidP="008E4104">
            <w:pPr>
              <w:jc w:val="both"/>
              <w:rPr>
                <w:sz w:val="24"/>
                <w:szCs w:val="24"/>
              </w:rPr>
            </w:pPr>
            <w:r w:rsidRPr="000B2616">
              <w:rPr>
                <w:sz w:val="24"/>
                <w:szCs w:val="24"/>
              </w:rPr>
              <w:t xml:space="preserve">Також </w:t>
            </w:r>
            <w:r w:rsidRPr="000B2616">
              <w:rPr>
                <w:sz w:val="24"/>
                <w:szCs w:val="24"/>
                <w:lang w:val="ru-RU"/>
              </w:rPr>
              <w:t>просимо</w:t>
            </w:r>
            <w:r w:rsidRPr="000B2616">
              <w:rPr>
                <w:sz w:val="24"/>
                <w:szCs w:val="24"/>
              </w:rPr>
              <w:t xml:space="preserve"> надати роз’яснення до заповнення звітності ( додатку 1).</w:t>
            </w:r>
          </w:p>
        </w:tc>
        <w:tc>
          <w:tcPr>
            <w:tcW w:w="3119" w:type="dxa"/>
          </w:tcPr>
          <w:p w:rsidR="008E4104" w:rsidRDefault="008E4104" w:rsidP="008E4104">
            <w:pPr>
              <w:jc w:val="both"/>
              <w:rPr>
                <w:b/>
                <w:sz w:val="24"/>
                <w:szCs w:val="24"/>
                <w:lang w:eastAsia="uk-UA"/>
              </w:rPr>
            </w:pPr>
          </w:p>
          <w:p w:rsidR="004F2BAF" w:rsidRPr="00343227" w:rsidRDefault="00343227" w:rsidP="004F2BAF">
            <w:pPr>
              <w:jc w:val="both"/>
              <w:rPr>
                <w:sz w:val="24"/>
                <w:szCs w:val="24"/>
                <w:lang w:eastAsia="uk-UA"/>
              </w:rPr>
            </w:pPr>
            <w:r>
              <w:rPr>
                <w:b/>
                <w:sz w:val="24"/>
                <w:szCs w:val="24"/>
                <w:lang w:eastAsia="uk-UA"/>
              </w:rPr>
              <w:t>Пропонується відхилити</w:t>
            </w:r>
            <w:r w:rsidR="004F2BAF">
              <w:rPr>
                <w:b/>
                <w:sz w:val="24"/>
                <w:szCs w:val="24"/>
                <w:lang w:eastAsia="uk-UA"/>
              </w:rPr>
              <w:t xml:space="preserve"> з урахуванням вищезазначеної запропонованої редакції пункту 1.4.</w:t>
            </w:r>
          </w:p>
          <w:p w:rsidR="00343227" w:rsidRPr="00343227" w:rsidRDefault="00343227" w:rsidP="008E4104">
            <w:pPr>
              <w:jc w:val="both"/>
              <w:rPr>
                <w:sz w:val="24"/>
                <w:szCs w:val="24"/>
                <w:lang w:eastAsia="uk-UA"/>
              </w:rPr>
            </w:pPr>
          </w:p>
        </w:tc>
      </w:tr>
      <w:tr w:rsidR="009F0239" w:rsidRPr="004F3A51" w:rsidTr="00F05B07">
        <w:trPr>
          <w:trHeight w:val="218"/>
        </w:trPr>
        <w:tc>
          <w:tcPr>
            <w:tcW w:w="4395" w:type="dxa"/>
          </w:tcPr>
          <w:p w:rsidR="009F0239" w:rsidRPr="001C0014" w:rsidRDefault="009F0239" w:rsidP="008E4104">
            <w:pPr>
              <w:pStyle w:val="rvps2"/>
              <w:shd w:val="clear" w:color="auto" w:fill="FFFFFF"/>
              <w:spacing w:before="0" w:beforeAutospacing="0" w:after="0" w:afterAutospacing="0"/>
              <w:ind w:firstLine="326"/>
              <w:jc w:val="both"/>
            </w:pPr>
          </w:p>
        </w:tc>
        <w:tc>
          <w:tcPr>
            <w:tcW w:w="4394" w:type="dxa"/>
          </w:tcPr>
          <w:p w:rsidR="009F0239" w:rsidRPr="00EC7B35" w:rsidRDefault="009F0239" w:rsidP="009F0239">
            <w:pPr>
              <w:ind w:firstLine="224"/>
              <w:contextualSpacing/>
              <w:jc w:val="both"/>
              <w:rPr>
                <w:b/>
                <w:sz w:val="24"/>
                <w:szCs w:val="24"/>
                <w:u w:val="single"/>
              </w:rPr>
            </w:pPr>
            <w:r w:rsidRPr="00EC7B35">
              <w:rPr>
                <w:b/>
                <w:sz w:val="24"/>
                <w:szCs w:val="24"/>
                <w:u w:val="single"/>
              </w:rPr>
              <w:t>АТ «Прикарпаттяобленерго»</w:t>
            </w:r>
          </w:p>
          <w:p w:rsidR="009F0239" w:rsidRPr="009F0239" w:rsidRDefault="009F0239" w:rsidP="009F0239">
            <w:pPr>
              <w:pStyle w:val="rvps2"/>
              <w:shd w:val="clear" w:color="auto" w:fill="FFFFFF"/>
              <w:spacing w:before="0" w:beforeAutospacing="0" w:after="0" w:afterAutospacing="0"/>
              <w:ind w:firstLine="448"/>
              <w:jc w:val="both"/>
              <w:rPr>
                <w:b/>
              </w:rPr>
            </w:pPr>
            <w:r w:rsidRPr="00BE43B9">
              <w:rPr>
                <w:rStyle w:val="rvts0"/>
                <w:b/>
              </w:rPr>
              <w:t>Колонка 17 «Повернено замовнику заяву у зв'язку з: 1 -неналежним оформленням документів, що додаються до заяви, 2 - відсутністю повного комплекту документів, що додаються до заяви; 3 -інше»</w:t>
            </w:r>
            <w:r>
              <w:rPr>
                <w:rStyle w:val="rvts0"/>
                <w:b/>
              </w:rPr>
              <w:t>.</w:t>
            </w:r>
          </w:p>
        </w:tc>
        <w:tc>
          <w:tcPr>
            <w:tcW w:w="3685" w:type="dxa"/>
          </w:tcPr>
          <w:p w:rsidR="009F0239" w:rsidRDefault="009F0239" w:rsidP="009F0239">
            <w:pPr>
              <w:pStyle w:val="rvps2"/>
              <w:shd w:val="clear" w:color="auto" w:fill="FFFFFF"/>
              <w:spacing w:before="0" w:beforeAutospacing="0" w:after="0" w:afterAutospacing="0"/>
              <w:ind w:firstLine="448"/>
              <w:jc w:val="both"/>
              <w:rPr>
                <w:rStyle w:val="rvts0"/>
                <w:b/>
              </w:rPr>
            </w:pPr>
            <w:r w:rsidRPr="00BE43B9">
              <w:rPr>
                <w:rStyle w:val="rvts0"/>
                <w:b/>
              </w:rPr>
              <w:t>Необхідно додати варіанти відмови</w:t>
            </w:r>
            <w:r>
              <w:rPr>
                <w:rStyle w:val="rvts0"/>
                <w:b/>
              </w:rPr>
              <w:t xml:space="preserve"> від заяви замовником самостійно або відмови у зв’язку з наявністю чинних технічних умов на об’єкт.  </w:t>
            </w:r>
          </w:p>
          <w:p w:rsidR="009F0239" w:rsidRPr="000B2616" w:rsidRDefault="009F0239" w:rsidP="009F0239">
            <w:pPr>
              <w:jc w:val="both"/>
              <w:rPr>
                <w:sz w:val="24"/>
                <w:szCs w:val="24"/>
              </w:rPr>
            </w:pPr>
            <w:r w:rsidRPr="00562788">
              <w:rPr>
                <w:sz w:val="24"/>
                <w:szCs w:val="24"/>
              </w:rPr>
              <w:t xml:space="preserve">Також </w:t>
            </w:r>
            <w:r>
              <w:rPr>
                <w:sz w:val="24"/>
                <w:szCs w:val="24"/>
                <w:lang w:val="ru-RU"/>
              </w:rPr>
              <w:t>просимо</w:t>
            </w:r>
            <w:r w:rsidRPr="00562788">
              <w:rPr>
                <w:sz w:val="24"/>
                <w:szCs w:val="24"/>
              </w:rPr>
              <w:t xml:space="preserve"> надати роз’яснення до заповнення звітності ( додатку 1).</w:t>
            </w:r>
          </w:p>
        </w:tc>
        <w:tc>
          <w:tcPr>
            <w:tcW w:w="3119" w:type="dxa"/>
          </w:tcPr>
          <w:p w:rsidR="009F0239" w:rsidRPr="004F3A51" w:rsidRDefault="004F2BAF" w:rsidP="008E4104">
            <w:pPr>
              <w:jc w:val="both"/>
              <w:rPr>
                <w:b/>
                <w:sz w:val="24"/>
                <w:szCs w:val="24"/>
                <w:lang w:eastAsia="uk-UA"/>
              </w:rPr>
            </w:pPr>
            <w:r>
              <w:rPr>
                <w:b/>
                <w:sz w:val="24"/>
                <w:szCs w:val="24"/>
                <w:lang w:eastAsia="uk-UA"/>
              </w:rPr>
              <w:t>Пропонується відхилити</w:t>
            </w:r>
          </w:p>
        </w:tc>
      </w:tr>
    </w:tbl>
    <w:p w:rsidR="00716FA8" w:rsidRPr="004F3A51" w:rsidRDefault="00716FA8" w:rsidP="00F05B07"/>
    <w:sectPr w:rsidR="00716FA8" w:rsidRPr="004F3A51" w:rsidSect="00624A6C">
      <w:footerReference w:type="default" r:id="rId35"/>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057D" w:rsidRDefault="0082057D" w:rsidP="00DF3808">
      <w:r>
        <w:separator/>
      </w:r>
    </w:p>
  </w:endnote>
  <w:endnote w:type="continuationSeparator" w:id="0">
    <w:p w:rsidR="0082057D" w:rsidRDefault="0082057D" w:rsidP="00DF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688456"/>
      <w:docPartObj>
        <w:docPartGallery w:val="Page Numbers (Bottom of Page)"/>
        <w:docPartUnique/>
      </w:docPartObj>
    </w:sdtPr>
    <w:sdtEndPr/>
    <w:sdtContent>
      <w:p w:rsidR="00E85CB2" w:rsidRDefault="00E85CB2">
        <w:pPr>
          <w:pStyle w:val="ab"/>
          <w:jc w:val="center"/>
        </w:pPr>
        <w:r>
          <w:fldChar w:fldCharType="begin"/>
        </w:r>
        <w:r>
          <w:instrText>PAGE   \* MERGEFORMAT</w:instrText>
        </w:r>
        <w:r>
          <w:fldChar w:fldCharType="separate"/>
        </w:r>
        <w:r>
          <w:t>2</w:t>
        </w:r>
        <w:r>
          <w:fldChar w:fldCharType="end"/>
        </w:r>
      </w:p>
    </w:sdtContent>
  </w:sdt>
  <w:p w:rsidR="00E85CB2" w:rsidRDefault="00E85CB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057D" w:rsidRDefault="0082057D" w:rsidP="00DF3808">
      <w:r>
        <w:separator/>
      </w:r>
    </w:p>
  </w:footnote>
  <w:footnote w:type="continuationSeparator" w:id="0">
    <w:p w:rsidR="0082057D" w:rsidRDefault="0082057D" w:rsidP="00DF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119F6"/>
    <w:multiLevelType w:val="hybridMultilevel"/>
    <w:tmpl w:val="ABF8F362"/>
    <w:lvl w:ilvl="0" w:tplc="239C698C">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B4507F"/>
    <w:multiLevelType w:val="hybridMultilevel"/>
    <w:tmpl w:val="8B780CDE"/>
    <w:lvl w:ilvl="0" w:tplc="914A4BA0">
      <w:start w:val="1"/>
      <w:numFmt w:val="decimal"/>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2" w15:restartNumberingAfterBreak="0">
    <w:nsid w:val="20226206"/>
    <w:multiLevelType w:val="hybridMultilevel"/>
    <w:tmpl w:val="ACBE7AD2"/>
    <w:lvl w:ilvl="0" w:tplc="3AD44F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B007ED"/>
    <w:multiLevelType w:val="hybridMultilevel"/>
    <w:tmpl w:val="8A0A2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9662AB0"/>
    <w:multiLevelType w:val="hybridMultilevel"/>
    <w:tmpl w:val="71404416"/>
    <w:lvl w:ilvl="0" w:tplc="7DCEAB8A">
      <w:start w:val="1"/>
      <w:numFmt w:val="decimal"/>
      <w:lvlText w:val="%1)"/>
      <w:lvlJc w:val="left"/>
      <w:pPr>
        <w:ind w:left="807" w:hanging="360"/>
      </w:pPr>
      <w:rPr>
        <w:rFonts w:hint="default"/>
      </w:rPr>
    </w:lvl>
    <w:lvl w:ilvl="1" w:tplc="20000019" w:tentative="1">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6" w15:restartNumberingAfterBreak="0">
    <w:nsid w:val="76BD7828"/>
    <w:multiLevelType w:val="hybridMultilevel"/>
    <w:tmpl w:val="0544606C"/>
    <w:lvl w:ilvl="0" w:tplc="8848C10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abstractNumId w:val="4"/>
  </w:num>
  <w:num w:numId="2">
    <w:abstractNumId w:val="2"/>
  </w:num>
  <w:num w:numId="3">
    <w:abstractNumId w:val="3"/>
  </w:num>
  <w:num w:numId="4">
    <w:abstractNumId w:val="5"/>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B4"/>
    <w:rsid w:val="000039E4"/>
    <w:rsid w:val="00012234"/>
    <w:rsid w:val="00014582"/>
    <w:rsid w:val="00027049"/>
    <w:rsid w:val="000401A0"/>
    <w:rsid w:val="00040AA9"/>
    <w:rsid w:val="00055DB0"/>
    <w:rsid w:val="0006582C"/>
    <w:rsid w:val="00073A8B"/>
    <w:rsid w:val="000760E4"/>
    <w:rsid w:val="000841A1"/>
    <w:rsid w:val="00087198"/>
    <w:rsid w:val="000A2E29"/>
    <w:rsid w:val="000B0253"/>
    <w:rsid w:val="000C1A39"/>
    <w:rsid w:val="000C48CC"/>
    <w:rsid w:val="000C7F04"/>
    <w:rsid w:val="000D1508"/>
    <w:rsid w:val="000D31AB"/>
    <w:rsid w:val="000D57A8"/>
    <w:rsid w:val="000D7F06"/>
    <w:rsid w:val="000E23AD"/>
    <w:rsid w:val="000F6AC0"/>
    <w:rsid w:val="001168BC"/>
    <w:rsid w:val="00124008"/>
    <w:rsid w:val="00130068"/>
    <w:rsid w:val="00137491"/>
    <w:rsid w:val="0014314F"/>
    <w:rsid w:val="00143DF5"/>
    <w:rsid w:val="00157C3E"/>
    <w:rsid w:val="00160C75"/>
    <w:rsid w:val="00165FA5"/>
    <w:rsid w:val="001725F3"/>
    <w:rsid w:val="00174875"/>
    <w:rsid w:val="001756F2"/>
    <w:rsid w:val="00181BBA"/>
    <w:rsid w:val="0018559B"/>
    <w:rsid w:val="001B69DB"/>
    <w:rsid w:val="001B7E96"/>
    <w:rsid w:val="001C0014"/>
    <w:rsid w:val="001D4B03"/>
    <w:rsid w:val="001E0ABD"/>
    <w:rsid w:val="00205721"/>
    <w:rsid w:val="002139CE"/>
    <w:rsid w:val="00215529"/>
    <w:rsid w:val="00222CF3"/>
    <w:rsid w:val="002379A1"/>
    <w:rsid w:val="00243D7E"/>
    <w:rsid w:val="00250554"/>
    <w:rsid w:val="00251661"/>
    <w:rsid w:val="002875EF"/>
    <w:rsid w:val="002A3028"/>
    <w:rsid w:val="002B58D6"/>
    <w:rsid w:val="002C21B8"/>
    <w:rsid w:val="002D02AC"/>
    <w:rsid w:val="002D0BD0"/>
    <w:rsid w:val="002D1341"/>
    <w:rsid w:val="002D6B1C"/>
    <w:rsid w:val="002E53A4"/>
    <w:rsid w:val="002F621A"/>
    <w:rsid w:val="00303BB4"/>
    <w:rsid w:val="00305FB1"/>
    <w:rsid w:val="00310D39"/>
    <w:rsid w:val="00320A75"/>
    <w:rsid w:val="0032403A"/>
    <w:rsid w:val="00335D6A"/>
    <w:rsid w:val="00343227"/>
    <w:rsid w:val="00355DB2"/>
    <w:rsid w:val="003716DE"/>
    <w:rsid w:val="00377A6E"/>
    <w:rsid w:val="003848C9"/>
    <w:rsid w:val="003A514C"/>
    <w:rsid w:val="003B5666"/>
    <w:rsid w:val="003C546E"/>
    <w:rsid w:val="003E4B86"/>
    <w:rsid w:val="003F6E27"/>
    <w:rsid w:val="00402998"/>
    <w:rsid w:val="00403263"/>
    <w:rsid w:val="00403D1D"/>
    <w:rsid w:val="004048C0"/>
    <w:rsid w:val="00414360"/>
    <w:rsid w:val="0041631D"/>
    <w:rsid w:val="00431177"/>
    <w:rsid w:val="00436D40"/>
    <w:rsid w:val="00441EF7"/>
    <w:rsid w:val="00450F23"/>
    <w:rsid w:val="00460F2E"/>
    <w:rsid w:val="00466A9A"/>
    <w:rsid w:val="00490468"/>
    <w:rsid w:val="00495843"/>
    <w:rsid w:val="004A796A"/>
    <w:rsid w:val="004C2115"/>
    <w:rsid w:val="004E6E5E"/>
    <w:rsid w:val="004F2BAF"/>
    <w:rsid w:val="004F3A51"/>
    <w:rsid w:val="004F76E1"/>
    <w:rsid w:val="00520592"/>
    <w:rsid w:val="00524B0A"/>
    <w:rsid w:val="00531418"/>
    <w:rsid w:val="005326B6"/>
    <w:rsid w:val="00541883"/>
    <w:rsid w:val="00581D9E"/>
    <w:rsid w:val="0058684D"/>
    <w:rsid w:val="00590578"/>
    <w:rsid w:val="00593D71"/>
    <w:rsid w:val="005B2A41"/>
    <w:rsid w:val="005D2C58"/>
    <w:rsid w:val="005D3A4B"/>
    <w:rsid w:val="005D3C15"/>
    <w:rsid w:val="005D4E5A"/>
    <w:rsid w:val="005E0659"/>
    <w:rsid w:val="005E0BA0"/>
    <w:rsid w:val="005E708C"/>
    <w:rsid w:val="005F6045"/>
    <w:rsid w:val="00601DD1"/>
    <w:rsid w:val="00607EF4"/>
    <w:rsid w:val="00610E76"/>
    <w:rsid w:val="00624A6C"/>
    <w:rsid w:val="0064032E"/>
    <w:rsid w:val="00642559"/>
    <w:rsid w:val="00647449"/>
    <w:rsid w:val="006725FB"/>
    <w:rsid w:val="00674F00"/>
    <w:rsid w:val="00677049"/>
    <w:rsid w:val="0068564A"/>
    <w:rsid w:val="00686A9B"/>
    <w:rsid w:val="006B298B"/>
    <w:rsid w:val="006B7AFF"/>
    <w:rsid w:val="006C2213"/>
    <w:rsid w:val="006F1B65"/>
    <w:rsid w:val="006F5856"/>
    <w:rsid w:val="006F630E"/>
    <w:rsid w:val="00711AA9"/>
    <w:rsid w:val="00714989"/>
    <w:rsid w:val="00716FA8"/>
    <w:rsid w:val="007232CD"/>
    <w:rsid w:val="00724E46"/>
    <w:rsid w:val="00734FDE"/>
    <w:rsid w:val="00745A69"/>
    <w:rsid w:val="0075273B"/>
    <w:rsid w:val="007557E5"/>
    <w:rsid w:val="0075739B"/>
    <w:rsid w:val="00762F45"/>
    <w:rsid w:val="00770FA8"/>
    <w:rsid w:val="0078370F"/>
    <w:rsid w:val="007A48F4"/>
    <w:rsid w:val="007C5625"/>
    <w:rsid w:val="007D3070"/>
    <w:rsid w:val="007D6FB6"/>
    <w:rsid w:val="007E608F"/>
    <w:rsid w:val="007F10E6"/>
    <w:rsid w:val="007F2C09"/>
    <w:rsid w:val="007F4C41"/>
    <w:rsid w:val="007F5F87"/>
    <w:rsid w:val="007F7A93"/>
    <w:rsid w:val="00816B1B"/>
    <w:rsid w:val="00817DC5"/>
    <w:rsid w:val="00817EB4"/>
    <w:rsid w:val="0082057D"/>
    <w:rsid w:val="00823192"/>
    <w:rsid w:val="008258E6"/>
    <w:rsid w:val="00840E9A"/>
    <w:rsid w:val="00841033"/>
    <w:rsid w:val="00843E99"/>
    <w:rsid w:val="00860D1F"/>
    <w:rsid w:val="00861611"/>
    <w:rsid w:val="008655A4"/>
    <w:rsid w:val="0087502B"/>
    <w:rsid w:val="00881C37"/>
    <w:rsid w:val="008874B7"/>
    <w:rsid w:val="008876DB"/>
    <w:rsid w:val="00893C33"/>
    <w:rsid w:val="00897972"/>
    <w:rsid w:val="008B23F1"/>
    <w:rsid w:val="008D2129"/>
    <w:rsid w:val="008E4104"/>
    <w:rsid w:val="008E6DF2"/>
    <w:rsid w:val="008F40BD"/>
    <w:rsid w:val="008F64E5"/>
    <w:rsid w:val="0092547E"/>
    <w:rsid w:val="0092552B"/>
    <w:rsid w:val="00932B34"/>
    <w:rsid w:val="00933231"/>
    <w:rsid w:val="009554E8"/>
    <w:rsid w:val="0096475B"/>
    <w:rsid w:val="00970BE9"/>
    <w:rsid w:val="00991A0B"/>
    <w:rsid w:val="009968DF"/>
    <w:rsid w:val="009A1877"/>
    <w:rsid w:val="009A289C"/>
    <w:rsid w:val="009B0E4B"/>
    <w:rsid w:val="009B4097"/>
    <w:rsid w:val="009C2D05"/>
    <w:rsid w:val="009D41E4"/>
    <w:rsid w:val="009D4A6E"/>
    <w:rsid w:val="009E4B6A"/>
    <w:rsid w:val="009F0239"/>
    <w:rsid w:val="009F1FAE"/>
    <w:rsid w:val="00A037F4"/>
    <w:rsid w:val="00A053CD"/>
    <w:rsid w:val="00A11F87"/>
    <w:rsid w:val="00A13E93"/>
    <w:rsid w:val="00A259CF"/>
    <w:rsid w:val="00A40586"/>
    <w:rsid w:val="00A52786"/>
    <w:rsid w:val="00A568FC"/>
    <w:rsid w:val="00A5713B"/>
    <w:rsid w:val="00A71839"/>
    <w:rsid w:val="00A76716"/>
    <w:rsid w:val="00A76F30"/>
    <w:rsid w:val="00A8373E"/>
    <w:rsid w:val="00A94A20"/>
    <w:rsid w:val="00AA3DA7"/>
    <w:rsid w:val="00AB1C81"/>
    <w:rsid w:val="00AB5F39"/>
    <w:rsid w:val="00AC1361"/>
    <w:rsid w:val="00AC19E4"/>
    <w:rsid w:val="00AD6146"/>
    <w:rsid w:val="00AE039A"/>
    <w:rsid w:val="00AE4A76"/>
    <w:rsid w:val="00AF7301"/>
    <w:rsid w:val="00AF7713"/>
    <w:rsid w:val="00B14392"/>
    <w:rsid w:val="00B152D2"/>
    <w:rsid w:val="00B217EA"/>
    <w:rsid w:val="00B331FA"/>
    <w:rsid w:val="00B370F2"/>
    <w:rsid w:val="00B42C56"/>
    <w:rsid w:val="00B46E3C"/>
    <w:rsid w:val="00B52C2B"/>
    <w:rsid w:val="00B85449"/>
    <w:rsid w:val="00BA007D"/>
    <w:rsid w:val="00BD4C53"/>
    <w:rsid w:val="00BE2350"/>
    <w:rsid w:val="00BE3AD9"/>
    <w:rsid w:val="00BE5955"/>
    <w:rsid w:val="00C0574C"/>
    <w:rsid w:val="00C44DA4"/>
    <w:rsid w:val="00C45943"/>
    <w:rsid w:val="00C53909"/>
    <w:rsid w:val="00C5655D"/>
    <w:rsid w:val="00C610FC"/>
    <w:rsid w:val="00C66F65"/>
    <w:rsid w:val="00C74462"/>
    <w:rsid w:val="00C96BB4"/>
    <w:rsid w:val="00CB66CB"/>
    <w:rsid w:val="00CD714E"/>
    <w:rsid w:val="00CD72F3"/>
    <w:rsid w:val="00CD79A7"/>
    <w:rsid w:val="00D02A5C"/>
    <w:rsid w:val="00D056E7"/>
    <w:rsid w:val="00D111B9"/>
    <w:rsid w:val="00D42BB5"/>
    <w:rsid w:val="00D44F7D"/>
    <w:rsid w:val="00D659D6"/>
    <w:rsid w:val="00D65D9C"/>
    <w:rsid w:val="00D66D92"/>
    <w:rsid w:val="00D81EB6"/>
    <w:rsid w:val="00D832D0"/>
    <w:rsid w:val="00D86DB4"/>
    <w:rsid w:val="00DA76CB"/>
    <w:rsid w:val="00DC1620"/>
    <w:rsid w:val="00DC2BDF"/>
    <w:rsid w:val="00DD0540"/>
    <w:rsid w:val="00DE5457"/>
    <w:rsid w:val="00DF1534"/>
    <w:rsid w:val="00DF352B"/>
    <w:rsid w:val="00DF3808"/>
    <w:rsid w:val="00E15E6E"/>
    <w:rsid w:val="00E17847"/>
    <w:rsid w:val="00E20E8C"/>
    <w:rsid w:val="00E30341"/>
    <w:rsid w:val="00E37A97"/>
    <w:rsid w:val="00E45401"/>
    <w:rsid w:val="00E6163F"/>
    <w:rsid w:val="00E6494B"/>
    <w:rsid w:val="00E65EB3"/>
    <w:rsid w:val="00E71B49"/>
    <w:rsid w:val="00E848B6"/>
    <w:rsid w:val="00E85CB2"/>
    <w:rsid w:val="00E86F36"/>
    <w:rsid w:val="00EC5724"/>
    <w:rsid w:val="00EC7B35"/>
    <w:rsid w:val="00F05B07"/>
    <w:rsid w:val="00F200D1"/>
    <w:rsid w:val="00F2306D"/>
    <w:rsid w:val="00F23853"/>
    <w:rsid w:val="00F3198F"/>
    <w:rsid w:val="00F35B7E"/>
    <w:rsid w:val="00F45A6D"/>
    <w:rsid w:val="00F52AE9"/>
    <w:rsid w:val="00F55786"/>
    <w:rsid w:val="00F813BD"/>
    <w:rsid w:val="00F8553D"/>
    <w:rsid w:val="00F91762"/>
    <w:rsid w:val="00F91F62"/>
    <w:rsid w:val="00FA37B9"/>
    <w:rsid w:val="00FB2854"/>
    <w:rsid w:val="00FB47B4"/>
    <w:rsid w:val="00FB6819"/>
    <w:rsid w:val="00FB7A63"/>
    <w:rsid w:val="00FC131C"/>
    <w:rsid w:val="00FD0F3D"/>
    <w:rsid w:val="00FF4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EC7B35"/>
    <w:pPr>
      <w:spacing w:before="100" w:beforeAutospacing="1" w:after="100" w:afterAutospacing="1"/>
      <w:outlineLvl w:val="2"/>
    </w:pPr>
    <w:rPr>
      <w:rFonts w:eastAsiaTheme="minorEastAsia"/>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3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qFormat/>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aliases w:val="List Paragraph (numbered (a))"/>
    <w:basedOn w:val="a"/>
    <w:link w:val="a5"/>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iPriority w:val="99"/>
    <w:rsid w:val="00FC131C"/>
    <w:pPr>
      <w:spacing w:before="100" w:beforeAutospacing="1" w:after="100" w:afterAutospacing="1"/>
    </w:pPr>
    <w:rPr>
      <w:sz w:val="24"/>
      <w:szCs w:val="24"/>
      <w:lang w:val="ru-RU"/>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 w:type="character" w:styleId="a8">
    <w:name w:val="Hyperlink"/>
    <w:basedOn w:val="a0"/>
    <w:uiPriority w:val="99"/>
    <w:unhideWhenUsed/>
    <w:rsid w:val="000039E4"/>
    <w:rPr>
      <w:color w:val="0000FF"/>
      <w:u w:val="single"/>
    </w:rPr>
  </w:style>
  <w:style w:type="character" w:customStyle="1" w:styleId="xfm68768843">
    <w:name w:val="xfm_68768843"/>
    <w:basedOn w:val="a0"/>
    <w:qFormat/>
    <w:rsid w:val="004F3A51"/>
  </w:style>
  <w:style w:type="paragraph" w:styleId="a9">
    <w:name w:val="header"/>
    <w:basedOn w:val="a"/>
    <w:link w:val="aa"/>
    <w:uiPriority w:val="99"/>
    <w:unhideWhenUsed/>
    <w:rsid w:val="00DF3808"/>
    <w:pPr>
      <w:tabs>
        <w:tab w:val="center" w:pos="4819"/>
        <w:tab w:val="right" w:pos="9639"/>
      </w:tabs>
    </w:pPr>
  </w:style>
  <w:style w:type="character" w:customStyle="1" w:styleId="aa">
    <w:name w:val="Верхній колонтитул Знак"/>
    <w:basedOn w:val="a0"/>
    <w:link w:val="a9"/>
    <w:uiPriority w:val="99"/>
    <w:rsid w:val="00DF380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DF3808"/>
    <w:pPr>
      <w:tabs>
        <w:tab w:val="center" w:pos="4819"/>
        <w:tab w:val="right" w:pos="9639"/>
      </w:tabs>
    </w:pPr>
  </w:style>
  <w:style w:type="character" w:customStyle="1" w:styleId="ac">
    <w:name w:val="Нижній колонтитул Знак"/>
    <w:basedOn w:val="a0"/>
    <w:link w:val="ab"/>
    <w:uiPriority w:val="99"/>
    <w:rsid w:val="00DF3808"/>
    <w:rPr>
      <w:rFonts w:ascii="Times New Roman" w:eastAsia="Times New Roman" w:hAnsi="Times New Roman" w:cs="Times New Roman"/>
      <w:sz w:val="20"/>
      <w:szCs w:val="20"/>
      <w:lang w:eastAsia="ru-RU"/>
    </w:rPr>
  </w:style>
  <w:style w:type="character" w:customStyle="1" w:styleId="rvts9">
    <w:name w:val="rvts9"/>
    <w:basedOn w:val="a0"/>
    <w:rsid w:val="00F3198F"/>
  </w:style>
  <w:style w:type="character" w:customStyle="1" w:styleId="rvts40">
    <w:name w:val="rvts40"/>
    <w:basedOn w:val="a0"/>
    <w:rsid w:val="00F3198F"/>
  </w:style>
  <w:style w:type="paragraph" w:customStyle="1" w:styleId="rvps12">
    <w:name w:val="rvps12"/>
    <w:basedOn w:val="a"/>
    <w:rsid w:val="00F3198F"/>
    <w:pPr>
      <w:spacing w:before="100" w:beforeAutospacing="1" w:after="100" w:afterAutospacing="1"/>
    </w:pPr>
    <w:rPr>
      <w:sz w:val="24"/>
      <w:szCs w:val="24"/>
      <w:lang w:eastAsia="uk-UA"/>
    </w:rPr>
  </w:style>
  <w:style w:type="paragraph" w:customStyle="1" w:styleId="rvps11">
    <w:name w:val="rvps11"/>
    <w:basedOn w:val="a"/>
    <w:rsid w:val="00F3198F"/>
    <w:pPr>
      <w:spacing w:before="100" w:beforeAutospacing="1" w:after="100" w:afterAutospacing="1"/>
    </w:pPr>
    <w:rPr>
      <w:sz w:val="24"/>
      <w:szCs w:val="24"/>
      <w:lang w:eastAsia="uk-UA"/>
    </w:rPr>
  </w:style>
  <w:style w:type="paragraph" w:customStyle="1" w:styleId="rvps14">
    <w:name w:val="rvps14"/>
    <w:basedOn w:val="a"/>
    <w:rsid w:val="00F3198F"/>
    <w:pPr>
      <w:spacing w:before="100" w:beforeAutospacing="1" w:after="100" w:afterAutospacing="1"/>
    </w:pPr>
    <w:rPr>
      <w:sz w:val="24"/>
      <w:szCs w:val="24"/>
      <w:lang w:eastAsia="uk-UA"/>
    </w:rPr>
  </w:style>
  <w:style w:type="character" w:customStyle="1" w:styleId="rvts58">
    <w:name w:val="rvts58"/>
    <w:basedOn w:val="a0"/>
    <w:rsid w:val="00F3198F"/>
  </w:style>
  <w:style w:type="character" w:customStyle="1" w:styleId="a5">
    <w:name w:val="Абзац списку Знак"/>
    <w:aliases w:val="List Paragraph (numbered (a)) Знак"/>
    <w:link w:val="a4"/>
    <w:uiPriority w:val="34"/>
    <w:rsid w:val="00F3198F"/>
  </w:style>
  <w:style w:type="character" w:customStyle="1" w:styleId="cf01">
    <w:name w:val="cf01"/>
    <w:basedOn w:val="a0"/>
    <w:rsid w:val="00F3198F"/>
    <w:rPr>
      <w:rFonts w:ascii="Segoe UI" w:hAnsi="Segoe UI" w:cs="Segoe UI" w:hint="default"/>
      <w:sz w:val="18"/>
      <w:szCs w:val="18"/>
    </w:rPr>
  </w:style>
  <w:style w:type="character" w:customStyle="1" w:styleId="rvts80">
    <w:name w:val="rvts80"/>
    <w:basedOn w:val="a0"/>
    <w:rsid w:val="00861611"/>
  </w:style>
  <w:style w:type="character" w:styleId="ad">
    <w:name w:val="Placeholder Text"/>
    <w:basedOn w:val="a0"/>
    <w:uiPriority w:val="99"/>
    <w:semiHidden/>
    <w:rsid w:val="00D056E7"/>
    <w:rPr>
      <w:color w:val="808080"/>
    </w:rPr>
  </w:style>
  <w:style w:type="paragraph" w:styleId="ae">
    <w:name w:val="Body Text"/>
    <w:basedOn w:val="a"/>
    <w:link w:val="af"/>
    <w:rsid w:val="000D57A8"/>
    <w:pPr>
      <w:suppressAutoHyphens/>
      <w:spacing w:after="140" w:line="276" w:lineRule="auto"/>
    </w:pPr>
    <w:rPr>
      <w:rFonts w:ascii="Calibri" w:eastAsia="Calibri" w:hAnsi="Calibri" w:cs="Tahoma"/>
      <w:sz w:val="22"/>
      <w:szCs w:val="22"/>
      <w:lang w:eastAsia="en-US"/>
    </w:rPr>
  </w:style>
  <w:style w:type="character" w:customStyle="1" w:styleId="af">
    <w:name w:val="Основний текст Знак"/>
    <w:basedOn w:val="a0"/>
    <w:link w:val="ae"/>
    <w:rsid w:val="000D57A8"/>
    <w:rPr>
      <w:rFonts w:ascii="Calibri" w:eastAsia="Calibri" w:hAnsi="Calibri" w:cs="Tahoma"/>
    </w:rPr>
  </w:style>
  <w:style w:type="character" w:customStyle="1" w:styleId="30">
    <w:name w:val="Заголовок 3 Знак"/>
    <w:basedOn w:val="a0"/>
    <w:link w:val="3"/>
    <w:uiPriority w:val="9"/>
    <w:rsid w:val="00EC7B35"/>
    <w:rPr>
      <w:rFonts w:ascii="Times New Roman" w:eastAsiaTheme="minorEastAsia" w:hAnsi="Times New Roman" w:cs="Times New Roman"/>
      <w:b/>
      <w:bCs/>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6065">
      <w:bodyDiv w:val="1"/>
      <w:marLeft w:val="0"/>
      <w:marRight w:val="0"/>
      <w:marTop w:val="0"/>
      <w:marBottom w:val="0"/>
      <w:divBdr>
        <w:top w:val="none" w:sz="0" w:space="0" w:color="auto"/>
        <w:left w:val="none" w:sz="0" w:space="0" w:color="auto"/>
        <w:bottom w:val="none" w:sz="0" w:space="0" w:color="auto"/>
        <w:right w:val="none" w:sz="0" w:space="0" w:color="auto"/>
      </w:divBdr>
    </w:div>
    <w:div w:id="634796266">
      <w:bodyDiv w:val="1"/>
      <w:marLeft w:val="0"/>
      <w:marRight w:val="0"/>
      <w:marTop w:val="0"/>
      <w:marBottom w:val="0"/>
      <w:divBdr>
        <w:top w:val="none" w:sz="0" w:space="0" w:color="auto"/>
        <w:left w:val="none" w:sz="0" w:space="0" w:color="auto"/>
        <w:bottom w:val="none" w:sz="0" w:space="0" w:color="auto"/>
        <w:right w:val="none" w:sz="0" w:space="0" w:color="auto"/>
      </w:divBdr>
      <w:divsChild>
        <w:div w:id="710612331">
          <w:marLeft w:val="0"/>
          <w:marRight w:val="0"/>
          <w:marTop w:val="0"/>
          <w:marBottom w:val="150"/>
          <w:divBdr>
            <w:top w:val="none" w:sz="0" w:space="0" w:color="auto"/>
            <w:left w:val="none" w:sz="0" w:space="0" w:color="auto"/>
            <w:bottom w:val="none" w:sz="0" w:space="0" w:color="auto"/>
            <w:right w:val="none" w:sz="0" w:space="0" w:color="auto"/>
          </w:divBdr>
        </w:div>
      </w:divsChild>
    </w:div>
    <w:div w:id="636690699">
      <w:bodyDiv w:val="1"/>
      <w:marLeft w:val="0"/>
      <w:marRight w:val="0"/>
      <w:marTop w:val="0"/>
      <w:marBottom w:val="0"/>
      <w:divBdr>
        <w:top w:val="none" w:sz="0" w:space="0" w:color="auto"/>
        <w:left w:val="none" w:sz="0" w:space="0" w:color="auto"/>
        <w:bottom w:val="none" w:sz="0" w:space="0" w:color="auto"/>
        <w:right w:val="none" w:sz="0" w:space="0" w:color="auto"/>
      </w:divBdr>
    </w:div>
    <w:div w:id="642740131">
      <w:bodyDiv w:val="1"/>
      <w:marLeft w:val="0"/>
      <w:marRight w:val="0"/>
      <w:marTop w:val="0"/>
      <w:marBottom w:val="0"/>
      <w:divBdr>
        <w:top w:val="none" w:sz="0" w:space="0" w:color="auto"/>
        <w:left w:val="none" w:sz="0" w:space="0" w:color="auto"/>
        <w:bottom w:val="none" w:sz="0" w:space="0" w:color="auto"/>
        <w:right w:val="none" w:sz="0" w:space="0" w:color="auto"/>
      </w:divBdr>
    </w:div>
    <w:div w:id="648680445">
      <w:bodyDiv w:val="1"/>
      <w:marLeft w:val="0"/>
      <w:marRight w:val="0"/>
      <w:marTop w:val="0"/>
      <w:marBottom w:val="0"/>
      <w:divBdr>
        <w:top w:val="none" w:sz="0" w:space="0" w:color="auto"/>
        <w:left w:val="none" w:sz="0" w:space="0" w:color="auto"/>
        <w:bottom w:val="none" w:sz="0" w:space="0" w:color="auto"/>
        <w:right w:val="none" w:sz="0" w:space="0" w:color="auto"/>
      </w:divBdr>
    </w:div>
    <w:div w:id="718286954">
      <w:bodyDiv w:val="1"/>
      <w:marLeft w:val="0"/>
      <w:marRight w:val="0"/>
      <w:marTop w:val="0"/>
      <w:marBottom w:val="0"/>
      <w:divBdr>
        <w:top w:val="none" w:sz="0" w:space="0" w:color="auto"/>
        <w:left w:val="none" w:sz="0" w:space="0" w:color="auto"/>
        <w:bottom w:val="none" w:sz="0" w:space="0" w:color="auto"/>
        <w:right w:val="none" w:sz="0" w:space="0" w:color="auto"/>
      </w:divBdr>
    </w:div>
    <w:div w:id="762652487">
      <w:bodyDiv w:val="1"/>
      <w:marLeft w:val="0"/>
      <w:marRight w:val="0"/>
      <w:marTop w:val="0"/>
      <w:marBottom w:val="0"/>
      <w:divBdr>
        <w:top w:val="none" w:sz="0" w:space="0" w:color="auto"/>
        <w:left w:val="none" w:sz="0" w:space="0" w:color="auto"/>
        <w:bottom w:val="none" w:sz="0" w:space="0" w:color="auto"/>
        <w:right w:val="none" w:sz="0" w:space="0" w:color="auto"/>
      </w:divBdr>
    </w:div>
    <w:div w:id="838470559">
      <w:bodyDiv w:val="1"/>
      <w:marLeft w:val="0"/>
      <w:marRight w:val="0"/>
      <w:marTop w:val="0"/>
      <w:marBottom w:val="0"/>
      <w:divBdr>
        <w:top w:val="none" w:sz="0" w:space="0" w:color="auto"/>
        <w:left w:val="none" w:sz="0" w:space="0" w:color="auto"/>
        <w:bottom w:val="none" w:sz="0" w:space="0" w:color="auto"/>
        <w:right w:val="none" w:sz="0" w:space="0" w:color="auto"/>
      </w:divBdr>
    </w:div>
    <w:div w:id="900363940">
      <w:bodyDiv w:val="1"/>
      <w:marLeft w:val="0"/>
      <w:marRight w:val="0"/>
      <w:marTop w:val="0"/>
      <w:marBottom w:val="0"/>
      <w:divBdr>
        <w:top w:val="none" w:sz="0" w:space="0" w:color="auto"/>
        <w:left w:val="none" w:sz="0" w:space="0" w:color="auto"/>
        <w:bottom w:val="none" w:sz="0" w:space="0" w:color="auto"/>
        <w:right w:val="none" w:sz="0" w:space="0" w:color="auto"/>
      </w:divBdr>
    </w:div>
    <w:div w:id="1041711867">
      <w:bodyDiv w:val="1"/>
      <w:marLeft w:val="0"/>
      <w:marRight w:val="0"/>
      <w:marTop w:val="0"/>
      <w:marBottom w:val="0"/>
      <w:divBdr>
        <w:top w:val="none" w:sz="0" w:space="0" w:color="auto"/>
        <w:left w:val="none" w:sz="0" w:space="0" w:color="auto"/>
        <w:bottom w:val="none" w:sz="0" w:space="0" w:color="auto"/>
        <w:right w:val="none" w:sz="0" w:space="0" w:color="auto"/>
      </w:divBdr>
    </w:div>
    <w:div w:id="1158889105">
      <w:bodyDiv w:val="1"/>
      <w:marLeft w:val="0"/>
      <w:marRight w:val="0"/>
      <w:marTop w:val="0"/>
      <w:marBottom w:val="0"/>
      <w:divBdr>
        <w:top w:val="none" w:sz="0" w:space="0" w:color="auto"/>
        <w:left w:val="none" w:sz="0" w:space="0" w:color="auto"/>
        <w:bottom w:val="none" w:sz="0" w:space="0" w:color="auto"/>
        <w:right w:val="none" w:sz="0" w:space="0" w:color="auto"/>
      </w:divBdr>
      <w:divsChild>
        <w:div w:id="713233258">
          <w:marLeft w:val="0"/>
          <w:marRight w:val="0"/>
          <w:marTop w:val="0"/>
          <w:marBottom w:val="150"/>
          <w:divBdr>
            <w:top w:val="none" w:sz="0" w:space="0" w:color="auto"/>
            <w:left w:val="none" w:sz="0" w:space="0" w:color="auto"/>
            <w:bottom w:val="none" w:sz="0" w:space="0" w:color="auto"/>
            <w:right w:val="none" w:sz="0" w:space="0" w:color="auto"/>
          </w:divBdr>
        </w:div>
      </w:divsChild>
    </w:div>
    <w:div w:id="1270967434">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449398607">
      <w:bodyDiv w:val="1"/>
      <w:marLeft w:val="0"/>
      <w:marRight w:val="0"/>
      <w:marTop w:val="0"/>
      <w:marBottom w:val="0"/>
      <w:divBdr>
        <w:top w:val="none" w:sz="0" w:space="0" w:color="auto"/>
        <w:left w:val="none" w:sz="0" w:space="0" w:color="auto"/>
        <w:bottom w:val="none" w:sz="0" w:space="0" w:color="auto"/>
        <w:right w:val="none" w:sz="0" w:space="0" w:color="auto"/>
      </w:divBdr>
    </w:div>
    <w:div w:id="1526794534">
      <w:bodyDiv w:val="1"/>
      <w:marLeft w:val="0"/>
      <w:marRight w:val="0"/>
      <w:marTop w:val="0"/>
      <w:marBottom w:val="0"/>
      <w:divBdr>
        <w:top w:val="none" w:sz="0" w:space="0" w:color="auto"/>
        <w:left w:val="none" w:sz="0" w:space="0" w:color="auto"/>
        <w:bottom w:val="none" w:sz="0" w:space="0" w:color="auto"/>
        <w:right w:val="none" w:sz="0" w:space="0" w:color="auto"/>
      </w:divBdr>
    </w:div>
    <w:div w:id="1585141480">
      <w:bodyDiv w:val="1"/>
      <w:marLeft w:val="0"/>
      <w:marRight w:val="0"/>
      <w:marTop w:val="0"/>
      <w:marBottom w:val="0"/>
      <w:divBdr>
        <w:top w:val="none" w:sz="0" w:space="0" w:color="auto"/>
        <w:left w:val="none" w:sz="0" w:space="0" w:color="auto"/>
        <w:bottom w:val="none" w:sz="0" w:space="0" w:color="auto"/>
        <w:right w:val="none" w:sz="0" w:space="0" w:color="auto"/>
      </w:divBdr>
    </w:div>
    <w:div w:id="1603144974">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693796418">
      <w:bodyDiv w:val="1"/>
      <w:marLeft w:val="0"/>
      <w:marRight w:val="0"/>
      <w:marTop w:val="0"/>
      <w:marBottom w:val="0"/>
      <w:divBdr>
        <w:top w:val="none" w:sz="0" w:space="0" w:color="auto"/>
        <w:left w:val="none" w:sz="0" w:space="0" w:color="auto"/>
        <w:bottom w:val="none" w:sz="0" w:space="0" w:color="auto"/>
        <w:right w:val="none" w:sz="0" w:space="0" w:color="auto"/>
      </w:divBdr>
    </w:div>
    <w:div w:id="1776707029">
      <w:bodyDiv w:val="1"/>
      <w:marLeft w:val="0"/>
      <w:marRight w:val="0"/>
      <w:marTop w:val="0"/>
      <w:marBottom w:val="0"/>
      <w:divBdr>
        <w:top w:val="none" w:sz="0" w:space="0" w:color="auto"/>
        <w:left w:val="none" w:sz="0" w:space="0" w:color="auto"/>
        <w:bottom w:val="none" w:sz="0" w:space="0" w:color="auto"/>
        <w:right w:val="none" w:sz="0" w:space="0" w:color="auto"/>
      </w:divBdr>
    </w:div>
    <w:div w:id="1810048598">
      <w:bodyDiv w:val="1"/>
      <w:marLeft w:val="0"/>
      <w:marRight w:val="0"/>
      <w:marTop w:val="0"/>
      <w:marBottom w:val="0"/>
      <w:divBdr>
        <w:top w:val="none" w:sz="0" w:space="0" w:color="auto"/>
        <w:left w:val="none" w:sz="0" w:space="0" w:color="auto"/>
        <w:bottom w:val="none" w:sz="0" w:space="0" w:color="auto"/>
        <w:right w:val="none" w:sz="0" w:space="0" w:color="auto"/>
      </w:divBdr>
    </w:div>
    <w:div w:id="1848471817">
      <w:bodyDiv w:val="1"/>
      <w:marLeft w:val="0"/>
      <w:marRight w:val="0"/>
      <w:marTop w:val="0"/>
      <w:marBottom w:val="0"/>
      <w:divBdr>
        <w:top w:val="none" w:sz="0" w:space="0" w:color="auto"/>
        <w:left w:val="none" w:sz="0" w:space="0" w:color="auto"/>
        <w:bottom w:val="none" w:sz="0" w:space="0" w:color="auto"/>
        <w:right w:val="none" w:sz="0" w:space="0" w:color="auto"/>
      </w:divBdr>
    </w:div>
    <w:div w:id="1972975091">
      <w:bodyDiv w:val="1"/>
      <w:marLeft w:val="0"/>
      <w:marRight w:val="0"/>
      <w:marTop w:val="0"/>
      <w:marBottom w:val="0"/>
      <w:divBdr>
        <w:top w:val="none" w:sz="0" w:space="0" w:color="auto"/>
        <w:left w:val="none" w:sz="0" w:space="0" w:color="auto"/>
        <w:bottom w:val="none" w:sz="0" w:space="0" w:color="auto"/>
        <w:right w:val="none" w:sz="0" w:space="0" w:color="auto"/>
      </w:divBdr>
    </w:div>
    <w:div w:id="2090075313">
      <w:bodyDiv w:val="1"/>
      <w:marLeft w:val="0"/>
      <w:marRight w:val="0"/>
      <w:marTop w:val="0"/>
      <w:marBottom w:val="0"/>
      <w:divBdr>
        <w:top w:val="none" w:sz="0" w:space="0" w:color="auto"/>
        <w:left w:val="none" w:sz="0" w:space="0" w:color="auto"/>
        <w:bottom w:val="none" w:sz="0" w:space="0" w:color="auto"/>
        <w:right w:val="none" w:sz="0" w:space="0" w:color="auto"/>
      </w:divBdr>
    </w:div>
    <w:div w:id="2138449023">
      <w:bodyDiv w:val="1"/>
      <w:marLeft w:val="0"/>
      <w:marRight w:val="0"/>
      <w:marTop w:val="0"/>
      <w:marBottom w:val="0"/>
      <w:divBdr>
        <w:top w:val="none" w:sz="0" w:space="0" w:color="auto"/>
        <w:left w:val="none" w:sz="0" w:space="0" w:color="auto"/>
        <w:bottom w:val="none" w:sz="0" w:space="0" w:color="auto"/>
        <w:right w:val="none" w:sz="0" w:space="0" w:color="auto"/>
      </w:divBdr>
    </w:div>
    <w:div w:id="213995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1965874-18" TargetMode="External"/><Relationship Id="rId18" Type="http://schemas.openxmlformats.org/officeDocument/2006/relationships/hyperlink" Target="https://zakon.rada.gov.ua/laws/show/v1965874-18" TargetMode="External"/><Relationship Id="rId26" Type="http://schemas.openxmlformats.org/officeDocument/2006/relationships/hyperlink" Target="https://zakon.rada.gov.ua/laws/show/v1965874-18" TargetMode="External"/><Relationship Id="rId21" Type="http://schemas.openxmlformats.org/officeDocument/2006/relationships/hyperlink" Target="https://zakon.rada.gov.ua/laws/show/v1965874-18" TargetMode="External"/><Relationship Id="rId34" Type="http://schemas.openxmlformats.org/officeDocument/2006/relationships/image" Target="media/image5.gif"/><Relationship Id="rId7" Type="http://schemas.openxmlformats.org/officeDocument/2006/relationships/endnotes" Target="endnotes.xml"/><Relationship Id="rId12" Type="http://schemas.openxmlformats.org/officeDocument/2006/relationships/hyperlink" Target="https://zakon.rada.gov.ua/laws/show/v1965874-18" TargetMode="External"/><Relationship Id="rId17" Type="http://schemas.openxmlformats.org/officeDocument/2006/relationships/hyperlink" Target="https://zakon.rada.gov.ua/laws/show/v1965874-18" TargetMode="External"/><Relationship Id="rId25" Type="http://schemas.openxmlformats.org/officeDocument/2006/relationships/hyperlink" Target="https://zakon.rada.gov.ua/laws/show/v1965874-18" TargetMode="External"/><Relationship Id="rId33" Type="http://schemas.openxmlformats.org/officeDocument/2006/relationships/hyperlink" Target="https://zakon.rada.gov.ua/laws/file/imgs/98/p480243n273-24.emf" TargetMode="External"/><Relationship Id="rId2" Type="http://schemas.openxmlformats.org/officeDocument/2006/relationships/numbering" Target="numbering.xml"/><Relationship Id="rId16" Type="http://schemas.openxmlformats.org/officeDocument/2006/relationships/hyperlink" Target="mailto:energo2@nerc.gov.ua" TargetMode="External"/><Relationship Id="rId20" Type="http://schemas.openxmlformats.org/officeDocument/2006/relationships/image" Target="media/image1.gif"/><Relationship Id="rId29" Type="http://schemas.openxmlformats.org/officeDocument/2006/relationships/hyperlink" Target="https://zakon.rada.gov.ua/laws/file/imgs/98/p480243n382-19.b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1965874-18" TargetMode="External"/><Relationship Id="rId24" Type="http://schemas.openxmlformats.org/officeDocument/2006/relationships/hyperlink" Target="https://zakon.rada.gov.ua/laws/show/v1965874-18" TargetMode="External"/><Relationship Id="rId32" Type="http://schemas.openxmlformats.org/officeDocument/2006/relationships/image" Target="media/image4.gi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v1965874-18" TargetMode="External"/><Relationship Id="rId23" Type="http://schemas.openxmlformats.org/officeDocument/2006/relationships/hyperlink" Target="https://zakon.rada.gov.ua/laws/show/v1965874-18" TargetMode="External"/><Relationship Id="rId28" Type="http://schemas.openxmlformats.org/officeDocument/2006/relationships/image" Target="media/image2.gif"/><Relationship Id="rId36" Type="http://schemas.openxmlformats.org/officeDocument/2006/relationships/fontTable" Target="fontTable.xml"/><Relationship Id="rId10" Type="http://schemas.openxmlformats.org/officeDocument/2006/relationships/hyperlink" Target="mailto:energo2@nerc.gov.ua" TargetMode="External"/><Relationship Id="rId19" Type="http://schemas.openxmlformats.org/officeDocument/2006/relationships/hyperlink" Target="https://zakon.rada.gov.ua/laws/file/imgs/85/p480243n231.bmp" TargetMode="External"/><Relationship Id="rId31" Type="http://schemas.openxmlformats.org/officeDocument/2006/relationships/hyperlink" Target="https://zakon.rada.gov.ua/laws/file/imgs/98/p480243n269-20.bmp" TargetMode="External"/><Relationship Id="rId4" Type="http://schemas.openxmlformats.org/officeDocument/2006/relationships/settings" Target="settings.xml"/><Relationship Id="rId9" Type="http://schemas.openxmlformats.org/officeDocument/2006/relationships/hyperlink" Target="https://zakon.rada.gov.ua/laws/show/v1965874-18" TargetMode="External"/><Relationship Id="rId14" Type="http://schemas.openxmlformats.org/officeDocument/2006/relationships/hyperlink" Target="https://zakon.rada.gov.ua/laws/show/v1965874-18" TargetMode="External"/><Relationship Id="rId22" Type="http://schemas.openxmlformats.org/officeDocument/2006/relationships/hyperlink" Target="https://zakon.rada.gov.ua/laws/show/v1965874-18" TargetMode="External"/><Relationship Id="rId27" Type="http://schemas.openxmlformats.org/officeDocument/2006/relationships/hyperlink" Target="https://zakon.rada.gov.ua/laws/file/imgs/98/p480243n325-4.bmp" TargetMode="External"/><Relationship Id="rId30" Type="http://schemas.openxmlformats.org/officeDocument/2006/relationships/image" Target="media/image3.gif"/><Relationship Id="rId35" Type="http://schemas.openxmlformats.org/officeDocument/2006/relationships/footer" Target="footer1.xml"/><Relationship Id="rId8" Type="http://schemas.openxmlformats.org/officeDocument/2006/relationships/hyperlink" Target="https://zakon.rada.gov.ua/laws/show/v1965874-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57252-3FAF-4185-9C49-8F3DD16F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39</Pages>
  <Words>46745</Words>
  <Characters>26645</Characters>
  <Application>Microsoft Office Word</Application>
  <DocSecurity>0</DocSecurity>
  <Lines>222</Lines>
  <Paragraphs>146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33</cp:revision>
  <dcterms:created xsi:type="dcterms:W3CDTF">2024-04-15T07:48:00Z</dcterms:created>
  <dcterms:modified xsi:type="dcterms:W3CDTF">2024-04-29T12:59:00Z</dcterms:modified>
</cp:coreProperties>
</file>