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56CE" w:rsidRDefault="00261993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Узагальнені зауваження та пропозиції до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проєкту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постанови НКРЕКП</w:t>
      </w:r>
    </w:p>
    <w:p w:rsidR="001556CE" w:rsidRDefault="00261993">
      <w:pPr>
        <w:spacing w:after="0" w:line="216" w:lineRule="auto"/>
        <w:jc w:val="center"/>
        <w:rPr>
          <w:rFonts w:ascii="Times New Roman" w:eastAsia="Times New Roman" w:hAnsi="Times New Roman" w:cs="Times New Roman"/>
          <w:i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«Про затвердження Змін до деяких постанов НКРЕКП»</w:t>
      </w:r>
      <w:r w:rsidR="00880B58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880B58">
        <w:rPr>
          <w:rFonts w:ascii="Times New Roman" w:eastAsia="Times New Roman" w:hAnsi="Times New Roman" w:cs="Times New Roman"/>
          <w:b/>
          <w:sz w:val="24"/>
          <w:szCs w:val="24"/>
        </w:rPr>
        <w:t xml:space="preserve">що має ознаки регуляторного </w:t>
      </w:r>
      <w:proofErr w:type="spellStart"/>
      <w:r w:rsidR="00880B58">
        <w:rPr>
          <w:rFonts w:ascii="Times New Roman" w:eastAsia="Times New Roman" w:hAnsi="Times New Roman" w:cs="Times New Roman"/>
          <w:b/>
          <w:sz w:val="24"/>
          <w:szCs w:val="24"/>
        </w:rPr>
        <w:t>акта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7"/>
          <w:szCs w:val="27"/>
        </w:rPr>
        <w:t xml:space="preserve"> </w:t>
      </w:r>
    </w:p>
    <w:p w:rsidR="001556CE" w:rsidRDefault="00261993">
      <w:pPr>
        <w:spacing w:after="0" w:line="21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зміни до Кодексу газотранспортної системи, Кодексу газосховищ, </w:t>
      </w:r>
    </w:p>
    <w:p w:rsidR="001556CE" w:rsidRDefault="00261993">
      <w:pPr>
        <w:spacing w:after="0" w:line="21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Кодексу газорозподільних систем та Правил постачання природного газу щодо </w:t>
      </w:r>
    </w:p>
    <w:p w:rsidR="001556CE" w:rsidRDefault="00261993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запобігання зловживанням на оптових енергетичних ринках)</w:t>
      </w:r>
    </w:p>
    <w:p w:rsidR="001556CE" w:rsidRDefault="001556CE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56CE" w:rsidRDefault="001556CE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9"/>
        <w:tblW w:w="1548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66"/>
        <w:gridCol w:w="7087"/>
        <w:gridCol w:w="3827"/>
      </w:tblGrid>
      <w:tr w:rsidR="001556CE">
        <w:trPr>
          <w:trHeight w:val="20"/>
        </w:trPr>
        <w:tc>
          <w:tcPr>
            <w:tcW w:w="4566" w:type="dxa"/>
            <w:shd w:val="clear" w:color="auto" w:fill="auto"/>
          </w:tcPr>
          <w:p w:rsidR="001556CE" w:rsidRDefault="0026199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Редакція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проєкту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рішення НКРЕКП</w:t>
            </w:r>
          </w:p>
        </w:tc>
        <w:tc>
          <w:tcPr>
            <w:tcW w:w="7087" w:type="dxa"/>
          </w:tcPr>
          <w:p w:rsidR="001556CE" w:rsidRDefault="0026199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Зауваження та пропозиції до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проєкту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рішення НКРЕКП</w:t>
            </w:r>
          </w:p>
        </w:tc>
        <w:tc>
          <w:tcPr>
            <w:tcW w:w="3827" w:type="dxa"/>
          </w:tcPr>
          <w:p w:rsidR="001556CE" w:rsidRDefault="0026199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Попередня позиція НКРЕКП щодо наданих зауважень та пропозицій з обґрунтуваннями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щодо прийняття або відхилення</w:t>
            </w:r>
          </w:p>
        </w:tc>
      </w:tr>
      <w:tr w:rsidR="001556CE">
        <w:trPr>
          <w:trHeight w:val="20"/>
        </w:trPr>
        <w:tc>
          <w:tcPr>
            <w:tcW w:w="15480" w:type="dxa"/>
            <w:gridSpan w:val="3"/>
            <w:shd w:val="clear" w:color="auto" w:fill="auto"/>
            <w:vAlign w:val="center"/>
          </w:tcPr>
          <w:p w:rsidR="001556CE" w:rsidRDefault="0026199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КОДЕКС ГАЗОТРАНСПОРТНОЇ СИСТЕМИ</w:t>
            </w:r>
          </w:p>
        </w:tc>
      </w:tr>
      <w:tr w:rsidR="001556CE">
        <w:trPr>
          <w:trHeight w:val="20"/>
        </w:trPr>
        <w:tc>
          <w:tcPr>
            <w:tcW w:w="15480" w:type="dxa"/>
            <w:gridSpan w:val="3"/>
            <w:shd w:val="clear" w:color="auto" w:fill="auto"/>
          </w:tcPr>
          <w:p w:rsidR="001556CE" w:rsidRDefault="0026199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VIII. Порядок укладення договору транспортування природного газу та фінансове забезпечення</w:t>
            </w:r>
          </w:p>
        </w:tc>
      </w:tr>
      <w:tr w:rsidR="001556CE">
        <w:trPr>
          <w:trHeight w:val="20"/>
        </w:trPr>
        <w:tc>
          <w:tcPr>
            <w:tcW w:w="15480" w:type="dxa"/>
            <w:gridSpan w:val="3"/>
            <w:shd w:val="clear" w:color="auto" w:fill="auto"/>
          </w:tcPr>
          <w:p w:rsidR="001556CE" w:rsidRDefault="0026199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 Порядок укладення договору транспортування природного газу</w:t>
            </w:r>
          </w:p>
        </w:tc>
      </w:tr>
      <w:tr w:rsidR="001556CE">
        <w:trPr>
          <w:trHeight w:val="20"/>
        </w:trPr>
        <w:tc>
          <w:tcPr>
            <w:tcW w:w="4566" w:type="dxa"/>
            <w:vMerge w:val="restart"/>
            <w:shd w:val="clear" w:color="auto" w:fill="auto"/>
          </w:tcPr>
          <w:p w:rsidR="001556CE" w:rsidRDefault="00261993">
            <w:pPr>
              <w:shd w:val="clear" w:color="auto" w:fill="FFFFFF"/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Одержання доступу до потужності, надання послуг із транспортування, у тому числі вчинення дій з врегулювання добового небалансу, є складовими послуги транспортування природного газу та здійснюються виключно на підставі договору транспортування. Оператор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газотранспортної системи не має права відмовити в укладенні договору транспортування за умови дотримання заявником вимог щодо його укладення, передбачених цим розділом.</w:t>
            </w:r>
          </w:p>
          <w:p w:rsidR="001556CE" w:rsidRDefault="00261993">
            <w:pPr>
              <w:shd w:val="clear" w:color="auto" w:fill="FFFFFF"/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Договір транспортування є документом, який регулює правовідносини між оператором газот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ранспортної системи і окремим замовником послуг транспортування.</w:t>
            </w:r>
          </w:p>
          <w:p w:rsidR="001556CE" w:rsidRDefault="00261993">
            <w:pPr>
              <w:shd w:val="clear" w:color="auto" w:fill="FFFFFF"/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 моменту укладення договору транспортування замовник послуг транспортування також одержує право доступу до віртуальної торгової точки.</w:t>
            </w:r>
          </w:p>
          <w:p w:rsidR="001556CE" w:rsidRDefault="00261993">
            <w:pPr>
              <w:shd w:val="clear" w:color="auto" w:fill="FFFFFF"/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Прямий споживач зобов’язаний  зареєструватись як учасник оптового енергетичного ринку відповідно до Порядку реєстрації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учасників оптового енергетичного ринку затвердженого постановою Національної комісії, що здійснює державне регулювання у сферах енергетик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 та комунальних послуг, від 04 жовтня 2023 року № 1812 (далі – Порядок реєстрації), у разі якщо сумарна номінальна потужність газового обладнання споживача забезпечує технічну спроможність споживання природного газу в обсязі 600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ГВт·год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(56 391 тис. 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 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 рік та вище.</w:t>
            </w:r>
          </w:p>
          <w:p w:rsidR="001556CE" w:rsidRDefault="00261993">
            <w:pPr>
              <w:shd w:val="clear" w:color="auto" w:fill="FFFFFF"/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Замовник послуг транспортування зобов’язується зареєструватись як учасник оптового енергетичного ринку відповідно до Порядку реєстрації.</w:t>
            </w:r>
          </w:p>
          <w:p w:rsidR="001556CE" w:rsidRDefault="00261993">
            <w:pPr>
              <w:shd w:val="clear" w:color="auto" w:fill="FFFFFF"/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Оператор газотранспортної системи перевіряє наявність замовників послуг транспортування, які уклали дого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вір транспортування, у реєстрі учасників оптового енергетичного ринку, оприлюдненого Регулятором у день укладення такого договору.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 випадку коли замовник послуг транспортування, з яким укладено договір, не включений до такого реєстру, оператор газотранспо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ртної системи щомісяця у строк до 5-го числа поточного місяця інформує про це Регулятора, із зазначенням інформації про найменування, EIC-коду такого замовника послуг транспортування та дати укладення з ним договору транспортування природного газу.</w:t>
            </w:r>
          </w:p>
        </w:tc>
        <w:tc>
          <w:tcPr>
            <w:tcW w:w="7087" w:type="dxa"/>
            <w:shd w:val="clear" w:color="auto" w:fill="auto"/>
          </w:tcPr>
          <w:p w:rsidR="001556CE" w:rsidRDefault="00261993">
            <w:pPr>
              <w:spacing w:after="0" w:line="216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ТОВ «Но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ві енергетичні проекти» </w:t>
            </w:r>
          </w:p>
          <w:p w:rsidR="001556CE" w:rsidRDefault="00261993">
            <w:pPr>
              <w:shd w:val="clear" w:color="auto" w:fill="FFFFFF"/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Одержання доступу до потужності, надання послуг із транспортування, у тому числі вчинення дій з врегулювання добового небалансу, є складовими послуги транспортування природного газу та здійснюються виключно на підставі договору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транспортування. Оператор газотранспортної системи не має права відмовити в укладенні договору транспортування за умови дотримання заявником вимог щодо його укладення, передбачених цим розділом.</w:t>
            </w:r>
          </w:p>
          <w:p w:rsidR="001556CE" w:rsidRDefault="00261993">
            <w:pPr>
              <w:shd w:val="clear" w:color="auto" w:fill="FFFFFF"/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Договір транспортування є документом, який регулює правовідно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сини між оператором газотранспортної системи і окремим замовником послуг транспортування.</w:t>
            </w:r>
          </w:p>
          <w:p w:rsidR="001556CE" w:rsidRDefault="00261993">
            <w:pPr>
              <w:shd w:val="clear" w:color="auto" w:fill="FFFFFF"/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 моменту укладення договору транспортування замовник послуг транспортування також одержує право доступу до віртуальної торгової точки.</w:t>
            </w:r>
          </w:p>
          <w:p w:rsidR="001556CE" w:rsidRDefault="00261993">
            <w:pPr>
              <w:shd w:val="clear" w:color="auto" w:fill="FFFFFF"/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Не приймати</w:t>
            </w:r>
          </w:p>
          <w:p w:rsidR="001556CE" w:rsidRDefault="00261993">
            <w:pPr>
              <w:shd w:val="clear" w:color="auto" w:fill="FFFFFF"/>
              <w:spacing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Прямий споживач зо</w:t>
            </w:r>
            <w:r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бов’язаний  зареєструватись як учасник оптового енергетичного ринку відповідно до Порядку реєстрації учасників оптового енергетичного ринку затвердженого постановою Національної комісії, що здійснює державне регулювання у сферах енергетики та комунальних п</w:t>
            </w:r>
            <w:r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 xml:space="preserve">ослуг, від 04 жовтня 2023 року № 1812 (далі – Порядок реєстрації), у разі якщо сумарна номінальна потужність газового обладнання споживача забезпечує технічну спроможність споживання природного газу в обсязі 600 </w:t>
            </w:r>
            <w:proofErr w:type="spellStart"/>
            <w:r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ГВт·год</w:t>
            </w:r>
            <w:proofErr w:type="spellEnd"/>
            <w:r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 xml:space="preserve"> (56 391 тис. м</w:t>
            </w:r>
            <w:r>
              <w:rPr>
                <w:rFonts w:ascii="Times New Roman" w:eastAsia="Times New Roman" w:hAnsi="Times New Roman" w:cs="Times New Roman"/>
                <w:strike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) на рік та вище.</w:t>
            </w:r>
          </w:p>
          <w:p w:rsidR="001556CE" w:rsidRDefault="00261993">
            <w:pPr>
              <w:shd w:val="clear" w:color="auto" w:fill="FFFFFF"/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Замовник послуг транспортування зобов’язується зареєструватись як учасник оптового енергетичного ринку відповідно до Порядку реєстрації.</w:t>
            </w:r>
          </w:p>
          <w:p w:rsidR="001556CE" w:rsidRDefault="00261993">
            <w:pPr>
              <w:shd w:val="clear" w:color="auto" w:fill="FFFFFF"/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Оператор газотранспортної системи перевіряє наявність замовників послуг транспортування, які уклали договір транспортув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ання, у реєстрі учасників оптового енергетичного ринку, оприлюдненого Регулятором у день укладення такого договору.</w:t>
            </w:r>
          </w:p>
          <w:p w:rsidR="001556CE" w:rsidRDefault="00261993">
            <w:pPr>
              <w:shd w:val="clear" w:color="auto" w:fill="FFFFFF"/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випадку коли замовник послуг транспортування, з яким укладено договір, не включений до такого реєстру, оператор газотранспортної системи 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омісяця у строк до 5-го числа поточного місяця інформує про це Регулятора, із зазначенням інформації про найменування, EIC-коду такого замовника послуг транспортування та дати укладення з ним договору транспортування природного газу.</w:t>
            </w:r>
          </w:p>
          <w:p w:rsidR="001556CE" w:rsidRDefault="001556CE">
            <w:pPr>
              <w:shd w:val="clear" w:color="auto" w:fill="FFFFFF"/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</w:p>
          <w:p w:rsidR="001556CE" w:rsidRDefault="00261993">
            <w:pPr>
              <w:shd w:val="clear" w:color="auto" w:fill="FFFFFF"/>
              <w:spacing w:after="0" w:line="216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Обґрунтування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НКРЕКП незаконно зобов’язало споживачів реєструватися як учасників оптового енергетичного ринку постановою від 04 жовтня 2023 року № 1812.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Відповідно до статті 20-1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Закону України «Про НКРЕКП»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Регулятор здійснює реєстрацію учасників оптового енергетичного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ринку…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Закон України «Про НКРЕКП» у п. 8 ст. 2-1 містить визначення терміну учасник оптового енергетичного ринку - будь-яка особа, яка здійснює укладання угод з купівлі-продажу або подає пропозиції (заявки) на купівлю-продаж відповідно до оптового енергет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ичного продукту на оптовому енергетичному ринку.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Відповідно до п.5 цієї статті  оптовими енергетичними продуктами визначаються , зокрема договори про постачання або розподіл електричної енергії та/або природного газу кінцевим споживачам з сумарною номіналь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ною потужністю споживання установок споживача, що забезпечує технічну спроможність споживання електричної енергії або газу в обсязі 600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ГВт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•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на рік та вище.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 тексту ЗУ «Про ринок природного газу та ЗУ «Про ринок електричної енергії» законодавець послі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довно запроваджує відокремлення договору постачання від договору купівлі-продажу.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 своєї сукупності наведене дає підстави визначити, що певна категорія споживачів може укладати договори постачання оптовими енергетичними продуктами, але в силу законодавчих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обмежень вони не відносяться до учасників ринку , який підлягає реєстрації, оскільки договорів -купівлі продажу не укладають. </w:t>
            </w:r>
          </w:p>
        </w:tc>
        <w:tc>
          <w:tcPr>
            <w:tcW w:w="3827" w:type="dxa"/>
            <w:shd w:val="clear" w:color="auto" w:fill="auto"/>
          </w:tcPr>
          <w:p w:rsidR="001556CE" w:rsidRDefault="00261993">
            <w:pPr>
              <w:spacing w:after="0" w:line="216" w:lineRule="auto"/>
              <w:ind w:firstLine="17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Попередньо відхиляється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Положеннями статті 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Закону України «Про Національну комісію, що здійснює державне регулювання у сферах енергетики та комунальних послуг» зазначено, що оптові енергетичні продукти - договори про постачання або розподіл  природного газу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u w:val="single"/>
              </w:rPr>
              <w:t>кінцевим споживачам з сумарною номінально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u w:val="single"/>
              </w:rPr>
              <w:t xml:space="preserve">ю потужністю споживання установок споживача, що забезпечує технічну спроможність споживання електричної енергії або газу в обсязі 600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u w:val="single"/>
              </w:rPr>
              <w:t>ГВт•год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u w:val="single"/>
              </w:rPr>
              <w:t xml:space="preserve"> на рік та вище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;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учасник оптового енергетичного ринку - будь-яка особа, яка здійснює укладання угод з купівлі-прода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жу або подає пропозиції (заявки) на купівлю-продаж відповідно до оптового енергетичного продукту на оптовому енергетичному ринку.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цьому, положеннями частини другої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Стаття 13 Закону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України «Про ринок природного газу» визначено, що Споживач зобов’язаний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, зокрема: надавати стороні, з якою укладено договір про постачання/купівлю-продаж природного газу, інформацію про сумарну номінальну потужність свого газового обладнання, якщо технічна спроможність такого обладнання може забезпечити споживання газу в обся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зі 600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ГВт·год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на рік та вище.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Таким чином, положеннями чинного законодавства визначено що, споживач,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сумарна номінальна потужністю установок якого, забезпечує технічну спроможність споживання електричної енергії або газу в обсязі 600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ГВт•год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на рік та вищ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е є учасник оптового енергетичного ринку.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Отже, нормами чинного законодавства передбачено реєстрація такого споживача, як учасника оптового енергетичного ринку.</w:t>
            </w:r>
          </w:p>
          <w:p w:rsidR="001556CE" w:rsidRDefault="001556CE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56CE">
        <w:trPr>
          <w:trHeight w:val="20"/>
        </w:trPr>
        <w:tc>
          <w:tcPr>
            <w:tcW w:w="4566" w:type="dxa"/>
            <w:vMerge/>
            <w:shd w:val="clear" w:color="auto" w:fill="auto"/>
          </w:tcPr>
          <w:p w:rsidR="001556CE" w:rsidRDefault="001556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  <w:shd w:val="clear" w:color="auto" w:fill="auto"/>
          </w:tcPr>
          <w:p w:rsidR="001556CE" w:rsidRDefault="00261993">
            <w:pPr>
              <w:spacing w:after="0" w:line="216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Бакулін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О. Ю. </w:t>
            </w:r>
          </w:p>
          <w:p w:rsidR="001556CE" w:rsidRDefault="00261993">
            <w:pPr>
              <w:shd w:val="clear" w:color="auto" w:fill="FFFFFF"/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Одержання доступу до потужності, надання послуг із транспортування, у тому числі вчинення дій з врегулювання добового небалансу, є складовими послуги транспортування природного газу та здійснюються виключно на підставі договору транспортування. Оператор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газотранспортної системи не має права відмовити в укладенні договору транспортування за умови дотримання заявником вимог щодо його укладення, передбачених цим розділом.</w:t>
            </w:r>
          </w:p>
          <w:p w:rsidR="001556CE" w:rsidRDefault="00261993">
            <w:pPr>
              <w:shd w:val="clear" w:color="auto" w:fill="FFFFFF"/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Договір транспортування є документом, який регулює правовідносини між оператором газот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ранспортної системи і окремим замовником послуг транспортування.</w:t>
            </w:r>
          </w:p>
          <w:p w:rsidR="001556CE" w:rsidRDefault="00261993">
            <w:pPr>
              <w:shd w:val="clear" w:color="auto" w:fill="FFFFFF"/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 моменту укладення договору транспортування замовник послуг транспортування також одержує право доступу до віртуальної торгової точки.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Не приймати</w:t>
            </w:r>
          </w:p>
          <w:p w:rsidR="001556CE" w:rsidRDefault="00261993">
            <w:pPr>
              <w:shd w:val="clear" w:color="auto" w:fill="FFFFFF"/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Прямий споживач зобов’язаний  зареєструватись як учасник оптового енергетичного ринку відповідно до Порядку реєстрації учасників оптового енергетичного ринку затвердженого постановою Національної комісії, що здійснює державне регулювання у сферах енергетик</w:t>
            </w:r>
            <w:r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 xml:space="preserve">и та комунальних послуг, від 04 жовтня 2023 року № 1812 (далі – Порядок реєстрації), у разі якщо сумарна номінальна потужність газового обладнання споживача забезпечує технічну спроможність споживання природного газу в обсязі 600 </w:t>
            </w:r>
            <w:proofErr w:type="spellStart"/>
            <w:r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ГВт·год</w:t>
            </w:r>
            <w:proofErr w:type="spellEnd"/>
            <w:r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 xml:space="preserve"> (56 391 тис. м</w:t>
            </w:r>
            <w:r>
              <w:rPr>
                <w:rFonts w:ascii="Times New Roman" w:eastAsia="Times New Roman" w:hAnsi="Times New Roman" w:cs="Times New Roman"/>
                <w:strike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) н</w:t>
            </w:r>
            <w:r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а рік та вище.</w:t>
            </w:r>
          </w:p>
          <w:p w:rsidR="001556CE" w:rsidRDefault="00261993">
            <w:pPr>
              <w:shd w:val="clear" w:color="auto" w:fill="FFFFFF"/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Замовник послуг транспортування зобов’язується зареєструватись як учасник оптового енергетичного ринку відповідно до Порядку реєстрації.</w:t>
            </w:r>
          </w:p>
          <w:p w:rsidR="001556CE" w:rsidRDefault="00261993">
            <w:pPr>
              <w:shd w:val="clear" w:color="auto" w:fill="FFFFFF"/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Оператор газотранспортної системи перевіряє наявність замовників послуг транспортування, які уклали дого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вір транспортування, у реєстрі учасників оптового енергетичного ринку, оприлюдненого Регулятором у день укладення такого договору.</w:t>
            </w:r>
          </w:p>
          <w:p w:rsidR="001556CE" w:rsidRDefault="00261993">
            <w:pPr>
              <w:shd w:val="clear" w:color="auto" w:fill="FFFFFF"/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випадку коли замовник послуг транспортування, з яким укладено договір, не включений до такого реєстру, оператор газотранспо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ртної системи щомісяця у строк до 5-го числа поточного місяця інформує про це Регулятора, із зазначенням інформації про найменування, EIC-коду такого замовника послуг транспортування та дати укладення з ним договору транспортування природного газу.</w:t>
            </w:r>
          </w:p>
          <w:p w:rsidR="001556CE" w:rsidRDefault="001556CE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  <w:p w:rsidR="001556CE" w:rsidRDefault="00261993">
            <w:pPr>
              <w:shd w:val="clear" w:color="auto" w:fill="FFFFFF"/>
              <w:spacing w:after="0" w:line="216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Обґрун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тування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НКРЕКП незаконно зобов’язало споживачів реєструватися як учасників оптового енергетичного ринку постановою від 04 жовтня 2023 року № 1812.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Відповідно до статті 20-1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Закону України «Про НКРЕКП» </w:t>
            </w:r>
            <w:bookmarkStart w:id="0" w:name="bookmark=id.gjdgxs" w:colFirst="0" w:colLast="0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Регулятор здійснює реєстрацію учасників оптового енерг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етичного ринку…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Закон України «Про НКРЕКП» у п. 8  ст. 2-1 містить визначення терміну учасник оптового енергетичного ринку - будь-яка особа, яка здійснює укладання угод з купівлі-продажу або подає пропозиції (заявки) на купівлю-продаж відповідно до оптовог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 енергетичного продукту на оптовому енергетичному ринку.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Відповідно до п.5 цієї статті  оптовими енергетичними продуктами визначаються , зокрема договори про постачання або розподіл електричної енергії та/або природного газу кінцевим споживачам з сумарною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номінальною потужністю споживання установок споживача, що забезпечує технічну спроможність споживання електричної енергії або газу в обсязі 600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ГВт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•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на рік та вище.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 тексту ЗУ «Про ринок природного газу та ЗУ «Про ринок електричної енергії» законодав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ець послідовно запроваджує відокремлення договору постачання від договору купівлі-продажу.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 своєї сукупності наведене дає підстави визначити, що певна категорія споживачів може укладати договори постачання оптовими енергетичними продуктами, але в силу законодавчих обмежень вони не відносяться до учасників ринку , який підлягає реєстрації, оскіл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ьки договорів -купівлі продажу не укладають</w:t>
            </w:r>
          </w:p>
        </w:tc>
        <w:tc>
          <w:tcPr>
            <w:tcW w:w="3827" w:type="dxa"/>
            <w:shd w:val="clear" w:color="auto" w:fill="auto"/>
          </w:tcPr>
          <w:p w:rsidR="001556CE" w:rsidRDefault="00261993">
            <w:pPr>
              <w:spacing w:after="0" w:line="216" w:lineRule="auto"/>
              <w:ind w:firstLine="17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Попередньо відхиляється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Положеннями статті 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Закону України «Про Національну комісію, що здійснює державне регулювання у сферах енергетики та комунальних послуг» зазначено, що оптові енергетичні продукти - дого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вори (угоди) незалежно від місця та часу їх укладення, зокрема: договори про постачання або розподіл електричної енергії та/або природного газу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u w:val="single"/>
              </w:rPr>
              <w:t>кінцевим споживачам з сумарною номінальною потужністю споживання установок споживача, що забезпечує технічну спр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u w:val="single"/>
              </w:rPr>
              <w:t xml:space="preserve">оможність споживання електричної енергії або газу в обсязі 600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u w:val="single"/>
              </w:rPr>
              <w:t>ГВт•год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u w:val="single"/>
              </w:rPr>
              <w:t xml:space="preserve"> на рік та вище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;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учасник оптового енергетичного ринку - будь-яка особа, яка здійснює укладання угод з купівлі-продажу або подає пропозиції (заявки) на купівлю-продаж відповідно до оптово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го енергетичного продукту на оптовому енергетичному ринку.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цьому, положеннями частини другої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Стаття 13 Закону України «Про ринок природного газу» визначено, що Споживач зобов’язаний, зокрема: надавати стороні, з якою укладено договір про постачання/купівлю-продаж природного газу, інформацію про сумарну номінальну потужність свого газового обладнан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ня, якщо технічна спроможність такого обладнання може забезпечити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споживання газу в обсязі 600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ГВт·год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на рік та вище.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Таким чином, положеннями чинного законодавства визначено що, споживач,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сумарна номінальна потужністю установок якого, забезпечує технічну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спроможність споживання електричної енергії або газу в обсязі 600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ГВт•год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на рік та вище є учасник оптового енергетичного ринку.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Отже, нормами чинного законодавства передбачено реєстрація такого споживача, як учасника оптового енергетичного ринку.</w:t>
            </w:r>
          </w:p>
          <w:p w:rsidR="001556CE" w:rsidRDefault="001556CE">
            <w:pPr>
              <w:spacing w:after="0" w:line="216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56CE">
        <w:trPr>
          <w:trHeight w:val="20"/>
        </w:trPr>
        <w:tc>
          <w:tcPr>
            <w:tcW w:w="4566" w:type="dxa"/>
            <w:vMerge/>
            <w:shd w:val="clear" w:color="auto" w:fill="auto"/>
          </w:tcPr>
          <w:p w:rsidR="001556CE" w:rsidRDefault="001556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  <w:shd w:val="clear" w:color="auto" w:fill="auto"/>
          </w:tcPr>
          <w:p w:rsidR="001556CE" w:rsidRDefault="00261993">
            <w:pPr>
              <w:spacing w:after="0" w:line="216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ТОВ «Оператор ГТС України»</w:t>
            </w:r>
          </w:p>
          <w:p w:rsidR="001556CE" w:rsidRDefault="00261993">
            <w:pPr>
              <w:shd w:val="clear" w:color="auto" w:fill="FFFFFF"/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Одержання доступу до потужності, надання послуг із транспортування, у тому числі вчинення дій з врегулювання добового небалансу, є складовими послуги транспортування природного газу та здійснюються виключно на підставі договор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транспортування. Оператор газотранспортної системи не має права відмовити в укладенні договору транспортування за умови дотримання заявником вимог щодо його укладення, передбачених цим розділом.</w:t>
            </w:r>
          </w:p>
          <w:p w:rsidR="001556CE" w:rsidRDefault="00261993">
            <w:pPr>
              <w:shd w:val="clear" w:color="auto" w:fill="FFFFFF"/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Договір транспортування є документом, який регулює правовід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носини між оператором газотранспортної системи і окремим замовником послуг транспортування.</w:t>
            </w:r>
          </w:p>
          <w:p w:rsidR="001556CE" w:rsidRDefault="00261993">
            <w:pPr>
              <w:shd w:val="clear" w:color="auto" w:fill="FFFFFF"/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 моменту укладення договору транспортування замовник послуг транспортування також одержує право доступу до віртуальної торгової точки.</w:t>
            </w:r>
          </w:p>
          <w:p w:rsidR="001556CE" w:rsidRDefault="00261993">
            <w:pPr>
              <w:shd w:val="clear" w:color="auto" w:fill="FFFFFF"/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Прямий споживач зобов’язаний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зареєструватись як учасник оптового енергетичного ринку відповідно до Порядку реєстрації учасників оптового енергетичного ринку затвердженого постановою Національної комісії, що здійснює державне регулювання у сферах енергетики та комунальних послуг, від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04 жовтня 2023 року № 1812 (далі – Порядок реєстрації), у разі якщо сумарна номінальна потужність газового обладнання споживача забезпечує технічну спроможність споживання природного газу в обсязі 600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ГВт·год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(56 391 тис.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на рік та вище.</w:t>
            </w:r>
          </w:p>
          <w:p w:rsidR="001556CE" w:rsidRDefault="00261993">
            <w:pPr>
              <w:shd w:val="clear" w:color="auto" w:fill="FFFFFF"/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Замовник послуг транспортування зобов’язується зареєструватись як учасник оптового енергетичного ринку відповідно до Порядку реєстрації.</w:t>
            </w:r>
          </w:p>
          <w:p w:rsidR="001556CE" w:rsidRDefault="00261993">
            <w:pPr>
              <w:shd w:val="clear" w:color="auto" w:fill="FFFFFF"/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Оператор газотранспортної системи перевіряє наявність замовників послуг транспортування, які уклали договір транспортув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ання, у реєстрі учасників оптового енергетичного ринку, оприлюдненого Регулятором у день укладення такого договору.</w:t>
            </w:r>
          </w:p>
          <w:p w:rsidR="001556CE" w:rsidRDefault="00261993">
            <w:pPr>
              <w:shd w:val="clear" w:color="auto" w:fill="FFFFFF"/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випадку коли замовник послуг транспортування, з яким укладено договір, не включений до такого реєстру, оператор газотранспортної системи 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омісяця у строк до 5-го числа </w:t>
            </w:r>
            <w:r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</w:rPr>
              <w:t>поточного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місяця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наступного за звітним,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інформує про це Регулятора, із зазначенням інформації про найменування, EIC-коду такого замовника послуг транспортування та дати укладення з ним договору транспортування природного газу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556CE" w:rsidRDefault="00261993">
            <w:pPr>
              <w:shd w:val="clear" w:color="auto" w:fill="FFFFFF"/>
              <w:spacing w:after="0" w:line="216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Обґрунтування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Редакційна правка.</w:t>
            </w:r>
          </w:p>
        </w:tc>
        <w:tc>
          <w:tcPr>
            <w:tcW w:w="3827" w:type="dxa"/>
            <w:shd w:val="clear" w:color="auto" w:fill="auto"/>
          </w:tcPr>
          <w:p w:rsidR="001556CE" w:rsidRDefault="00261993">
            <w:pPr>
              <w:spacing w:after="0" w:line="216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Попередньо приймається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56CE">
        <w:trPr>
          <w:trHeight w:val="20"/>
        </w:trPr>
        <w:tc>
          <w:tcPr>
            <w:tcW w:w="15480" w:type="dxa"/>
            <w:gridSpan w:val="3"/>
            <w:shd w:val="clear" w:color="auto" w:fill="auto"/>
          </w:tcPr>
          <w:p w:rsidR="001556CE" w:rsidRDefault="0026199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XIV. Комерційне балансування</w:t>
            </w:r>
          </w:p>
        </w:tc>
      </w:tr>
      <w:tr w:rsidR="001556CE">
        <w:trPr>
          <w:trHeight w:val="20"/>
        </w:trPr>
        <w:tc>
          <w:tcPr>
            <w:tcW w:w="15480" w:type="dxa"/>
            <w:gridSpan w:val="3"/>
            <w:shd w:val="clear" w:color="auto" w:fill="auto"/>
          </w:tcPr>
          <w:p w:rsidR="001556CE" w:rsidRDefault="0026199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 Торгові сповіщення</w:t>
            </w:r>
          </w:p>
        </w:tc>
      </w:tr>
      <w:tr w:rsidR="001556CE">
        <w:trPr>
          <w:trHeight w:val="20"/>
        </w:trPr>
        <w:tc>
          <w:tcPr>
            <w:tcW w:w="4566" w:type="dxa"/>
            <w:shd w:val="clear" w:color="auto" w:fill="auto"/>
          </w:tcPr>
          <w:p w:rsidR="001556CE" w:rsidRDefault="001556CE">
            <w:pPr>
              <w:spacing w:after="0" w:line="216" w:lineRule="auto"/>
              <w:ind w:firstLine="2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56CE" w:rsidRDefault="00261993">
            <w:pPr>
              <w:shd w:val="clear" w:color="auto" w:fill="FFFFFF"/>
              <w:spacing w:after="0" w:line="216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Замовник послуг транспортування природного газу може надавати торгове сповіщення на газову добу незалежно від надання номінації/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реномінації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таку газову добу.</w:t>
            </w:r>
          </w:p>
          <w:p w:rsidR="001556CE" w:rsidRDefault="00261993">
            <w:pPr>
              <w:shd w:val="clear" w:color="auto" w:fill="FFFFFF"/>
              <w:spacing w:after="0" w:line="216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bookmark=id.30j0zll" w:colFirst="0" w:colLast="0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Замовник послуг транспортування природного газу може надавати необмежену кількість торгових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сповіщень протягом газової доби (D).</w:t>
            </w:r>
          </w:p>
          <w:p w:rsidR="001556CE" w:rsidRDefault="00261993">
            <w:pPr>
              <w:shd w:val="clear" w:color="auto" w:fill="FFFFFF"/>
              <w:spacing w:after="0" w:line="216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bookmark=id.1fob9te" w:colFirst="0" w:colLast="0"/>
            <w:bookmarkEnd w:id="2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Обробка торгових сповіщень оператором газотранспортної системи здійснюється цілодобово не довше тридцяти хвилин, крім випадку якщо замовником послуг транспортування не визначено інший строк набрання чинності торговим сп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овіщенням, що дає можливість подовжити термін обробки торгового сповіщення до двох годин.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3" w:name="_heading=h.3znysh7" w:colFirst="0" w:colLast="0"/>
            <w:bookmarkEnd w:id="3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Під час обробки торгових сповіщень оператор газотранспортної системи перевіряє наявність замовників послуг транспортування, які подали торгові сповіщення на відчуженн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 та на набуття природного газу, у реєстрі учасників оптового енергетичного ринку, оприлюдненого Регулятором у день подання торгових сповіщень.</w:t>
            </w:r>
          </w:p>
          <w:p w:rsidR="001556CE" w:rsidRDefault="00261993">
            <w:pPr>
              <w:spacing w:after="0" w:line="216" w:lineRule="auto"/>
              <w:ind w:firstLine="2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 випадку коли замовник/замовники послуг транспортування, між якими відбувається передача природного газу, не вк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лючені до такого реєстру, оператор газотранспортної системи щомісяця у строк до 5-го числа поточного місяця інформує про це Регулятора, у розрізі погоджених/відхилених торгових сповіщень із зазначенням інформації, передбаченої пунктом 5 цієї глави.</w:t>
            </w:r>
          </w:p>
        </w:tc>
        <w:tc>
          <w:tcPr>
            <w:tcW w:w="7087" w:type="dxa"/>
            <w:shd w:val="clear" w:color="auto" w:fill="auto"/>
          </w:tcPr>
          <w:p w:rsidR="001556CE" w:rsidRDefault="00261993">
            <w:pPr>
              <w:shd w:val="clear" w:color="auto" w:fill="FFFFFF"/>
              <w:spacing w:after="0" w:line="216" w:lineRule="auto"/>
              <w:ind w:firstLine="4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ТОВ «Оп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ератор ГТС України»</w:t>
            </w:r>
          </w:p>
          <w:p w:rsidR="001556CE" w:rsidRDefault="00261993">
            <w:pPr>
              <w:shd w:val="clear" w:color="auto" w:fill="FFFFFF"/>
              <w:spacing w:after="0" w:line="216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Замовник послуг транспортування природного газу може надавати торгове сповіщення на газову добу незалежно від надання номінації/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реномінації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таку газову добу.</w:t>
            </w:r>
          </w:p>
          <w:p w:rsidR="001556CE" w:rsidRDefault="00261993">
            <w:pPr>
              <w:shd w:val="clear" w:color="auto" w:fill="FFFFFF"/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Замовник послуг транспортування природного газу може надавати необмежену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кількість торгових сповіщень протягом газової доби (D).</w:t>
            </w:r>
          </w:p>
          <w:p w:rsidR="001556CE" w:rsidRDefault="00261993">
            <w:pPr>
              <w:shd w:val="clear" w:color="auto" w:fill="FFFFFF"/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Обробка торгових сповіщень оператором газотранспортної системи здійснюється цілодобово не довше тридцяти хвилин, крім випадку якщо замовником послуг транспортування не визначено інший строк набрання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чинності торговим сповіщенням, що дає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можливість подовжити термін обробки торгового сповіщення до двох годин.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Під час обробки торгових сповіщень оператор газотранспортної системи перевіряє </w:t>
            </w:r>
            <w:r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</w:rPr>
              <w:t>наявність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замовників послуг транспортування, які подали торгові сповіщення на відчуження та на набуття природного газу,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 наявність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реєстрі учасників оптового енергетичного ринку, оприлюдненого Регулятором </w:t>
            </w:r>
            <w:r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день подання торгових сповіщень.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випадку коли замовник/замовники послуг транспортування, між якими відбувається передача природного газу, не включені до такого реєстру, оператор газотранспортної системи щомісяця у строк до 5-го числа </w:t>
            </w:r>
            <w:r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</w:rPr>
              <w:t>поточного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місяця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наступного за звітним,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інформує про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 Регулятора, у розрізі погоджених/відхилених торгових сповіщень із зазначенням інформації, передбаченої пунктом 5 цієї глави.</w:t>
            </w:r>
          </w:p>
          <w:p w:rsidR="001556CE" w:rsidRDefault="00261993">
            <w:pPr>
              <w:shd w:val="clear" w:color="auto" w:fill="FFFFFF"/>
              <w:spacing w:after="0" w:line="216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Обґрунтування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Редакційна правка.</w:t>
            </w:r>
          </w:p>
        </w:tc>
        <w:tc>
          <w:tcPr>
            <w:tcW w:w="3827" w:type="dxa"/>
            <w:shd w:val="clear" w:color="auto" w:fill="auto"/>
          </w:tcPr>
          <w:p w:rsidR="001556CE" w:rsidRDefault="00261993">
            <w:pPr>
              <w:spacing w:after="0" w:line="216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Попередньо частково приймається у редакції: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556CE" w:rsidRDefault="00261993">
            <w:pPr>
              <w:shd w:val="clear" w:color="auto" w:fill="FFFFFF"/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«3. </w:t>
            </w:r>
          </w:p>
          <w:p w:rsidR="001556CE" w:rsidRDefault="00261993">
            <w:pPr>
              <w:shd w:val="clear" w:color="auto" w:fill="FFFFFF"/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….</w:t>
            </w:r>
          </w:p>
          <w:p w:rsidR="001556CE" w:rsidRDefault="00261993">
            <w:pPr>
              <w:shd w:val="clear" w:color="auto" w:fill="FFFFFF"/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випадку коли замовник/замовники послуг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транспортування, між якими відбувається передача природного газу, не включені до такого реєстру, оператор газотранспортної системи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щомісяця у строк до 5-го числа  місяця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наступного за звітним,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інформує про це Регулятора, у розрізі погоджених/відхилених 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ргових сповіщень із зазначенням інформації, передбаченої пунктом 5 цієї глави.»</w:t>
            </w:r>
          </w:p>
          <w:p w:rsidR="001556CE" w:rsidRDefault="001556CE">
            <w:pPr>
              <w:spacing w:after="0" w:line="216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56CE" w:rsidRDefault="00261993">
            <w:pPr>
              <w:spacing w:after="0" w:line="216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Інші пропозиції попередньо не враховані, оскільки вони не змінюють суті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56CE">
        <w:trPr>
          <w:trHeight w:val="20"/>
        </w:trPr>
        <w:tc>
          <w:tcPr>
            <w:tcW w:w="15480" w:type="dxa"/>
            <w:gridSpan w:val="3"/>
            <w:shd w:val="clear" w:color="auto" w:fill="auto"/>
          </w:tcPr>
          <w:p w:rsidR="001556CE" w:rsidRDefault="0026199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ЗМІНИ ДО КОДЕКСУ ГАЗОСХОВИЩ</w:t>
            </w:r>
          </w:p>
        </w:tc>
      </w:tr>
      <w:tr w:rsidR="001556CE">
        <w:trPr>
          <w:trHeight w:val="20"/>
        </w:trPr>
        <w:tc>
          <w:tcPr>
            <w:tcW w:w="15480" w:type="dxa"/>
            <w:gridSpan w:val="3"/>
            <w:shd w:val="clear" w:color="auto" w:fill="auto"/>
          </w:tcPr>
          <w:p w:rsidR="001556CE" w:rsidRDefault="0026199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VIII. Адміністрування передачі природного газу, що зберігається в газосховищах, та адміністрування передачі розподілених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потужностей</w:t>
            </w:r>
            <w:proofErr w:type="spellEnd"/>
          </w:p>
        </w:tc>
      </w:tr>
      <w:tr w:rsidR="001556CE">
        <w:trPr>
          <w:trHeight w:val="20"/>
        </w:trPr>
        <w:tc>
          <w:tcPr>
            <w:tcW w:w="15480" w:type="dxa"/>
            <w:gridSpan w:val="3"/>
            <w:shd w:val="clear" w:color="auto" w:fill="auto"/>
          </w:tcPr>
          <w:p w:rsidR="001556CE" w:rsidRDefault="0026199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 Адміністрування передачі природного газу, що зберігається в газосховищах</w:t>
            </w:r>
          </w:p>
        </w:tc>
      </w:tr>
      <w:tr w:rsidR="001556CE">
        <w:trPr>
          <w:trHeight w:val="20"/>
        </w:trPr>
        <w:tc>
          <w:tcPr>
            <w:tcW w:w="4566" w:type="dxa"/>
            <w:shd w:val="clear" w:color="auto" w:fill="auto"/>
          </w:tcPr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12. Під час обробки торгових сповіщень оператор газосховища перевіряє наявність замовника, що передає природний газ, та замовника, що приймає природний газ, у реєстрі учасників оптового енергетичного ринку, оприлюдненого Регулятором у день подання торгових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сповіщень.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 випадку коли замовник/замовники, між якими відбувається передача природного газу, не включені до такого реєстру, оператор газосховища щомісяця у строк до 5-го числа поточного місяця інформує про це Регулятора, у розрізі підтверджених/не підтв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ерджених торгових сповіщень із зазначенням інформації, передбаченої пунктом 4 цієї глави.</w:t>
            </w:r>
          </w:p>
        </w:tc>
        <w:tc>
          <w:tcPr>
            <w:tcW w:w="7087" w:type="dxa"/>
            <w:shd w:val="clear" w:color="auto" w:fill="auto"/>
          </w:tcPr>
          <w:p w:rsidR="001556CE" w:rsidRDefault="001556CE">
            <w:pPr>
              <w:spacing w:after="0" w:line="216" w:lineRule="auto"/>
              <w:ind w:firstLine="31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1556CE" w:rsidRDefault="00261993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 метою забезпечення єдиного підходу регулювання в сфері транспортування та зберігання природного газу попередньо пропонується до відкритих обговорень нести до абзац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 другого пункту 12 такі зміни: 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 випадку коли замовник/замовники послуг транспортування, між якими відбувається передача природного газу, не включені до такого реєстру, оператор газотранспортної системи щомісяця у строк до 5-го числа  місяця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наступног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 за звітним,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інформує про це Регулятора, у розрізі погоджених/відхилених торгових сповіщень із зазначенням інформації, передбаченої пунктом 5 цієї глави.”</w:t>
            </w:r>
          </w:p>
        </w:tc>
      </w:tr>
      <w:tr w:rsidR="001556CE">
        <w:trPr>
          <w:trHeight w:val="20"/>
        </w:trPr>
        <w:tc>
          <w:tcPr>
            <w:tcW w:w="15480" w:type="dxa"/>
            <w:gridSpan w:val="3"/>
            <w:shd w:val="clear" w:color="auto" w:fill="auto"/>
          </w:tcPr>
          <w:p w:rsidR="001556CE" w:rsidRDefault="00261993">
            <w:pPr>
              <w:spacing w:after="0" w:line="216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ЗМІНИ ДО КОДЕКСУ ГАЗОРОЗПОДІЛЬНИХ СИСТЕМ</w:t>
            </w:r>
          </w:p>
        </w:tc>
      </w:tr>
      <w:tr w:rsidR="001556CE">
        <w:trPr>
          <w:trHeight w:val="20"/>
        </w:trPr>
        <w:tc>
          <w:tcPr>
            <w:tcW w:w="15480" w:type="dxa"/>
            <w:gridSpan w:val="3"/>
            <w:shd w:val="clear" w:color="auto" w:fill="auto"/>
          </w:tcPr>
          <w:p w:rsidR="001556CE" w:rsidRDefault="00261993">
            <w:pPr>
              <w:spacing w:after="0" w:line="216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I. Загальні положення</w:t>
            </w:r>
          </w:p>
        </w:tc>
      </w:tr>
      <w:tr w:rsidR="001556CE">
        <w:trPr>
          <w:trHeight w:val="20"/>
        </w:trPr>
        <w:tc>
          <w:tcPr>
            <w:tcW w:w="15480" w:type="dxa"/>
            <w:gridSpan w:val="3"/>
            <w:shd w:val="clear" w:color="auto" w:fill="auto"/>
          </w:tcPr>
          <w:p w:rsidR="001556CE" w:rsidRDefault="00261993">
            <w:pPr>
              <w:spacing w:after="0" w:line="216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3. Основні засади доступу до газорозподільної системи</w:t>
            </w:r>
          </w:p>
        </w:tc>
      </w:tr>
      <w:tr w:rsidR="001556CE">
        <w:trPr>
          <w:trHeight w:val="20"/>
        </w:trPr>
        <w:tc>
          <w:tcPr>
            <w:tcW w:w="4566" w:type="dxa"/>
            <w:vMerge w:val="restart"/>
            <w:shd w:val="clear" w:color="auto" w:fill="auto"/>
          </w:tcPr>
          <w:p w:rsidR="001556CE" w:rsidRDefault="00261993">
            <w:pPr>
              <w:shd w:val="clear" w:color="auto" w:fill="FFFFFF"/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Для забезпечення цілодобового доступу до газорозподільної системи та можливості розподілу (переміщення) належного споживачу (суміжному суб’єкту ринку природного газу) природного газу ГРМ обов’язково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 умовою є наявність фізичного підключення об’єкта споживача (суміжного суб’єкта ринку природного газу) до ГРМ.</w:t>
            </w:r>
          </w:p>
          <w:p w:rsidR="001556CE" w:rsidRDefault="00261993">
            <w:pPr>
              <w:shd w:val="clear" w:color="auto" w:fill="FFFFFF"/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Власники об’єктів будівництва або існуючих об’єктів (земельних ділянок), які фізично не підключені до ГРМ, для набуття права на цілодобовий дост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 до ГРМ та розподіл (переміщення) природного газу ГРМ повинні здійснити заходи щодо підключення (приєднання) власних об’єктів до ГРМ у порядку, визначеному в </w:t>
            </w:r>
            <w:hyperlink r:id="rId7" w:anchor="n398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розділі V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цього Кодекс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у.</w:t>
            </w:r>
          </w:p>
          <w:p w:rsidR="001556CE" w:rsidRDefault="00261993">
            <w:pPr>
              <w:shd w:val="clear" w:color="auto" w:fill="FFFFFF"/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Споживачі, у тому числі побутові, та суміжні суб’єкти ринку природного газу, які фізично підключені до ГРМ, забезпечуються цілодобовим доступом до ГРМ та можливістю розподілу (переміщення) природного газу ГРМ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порядку, визначеному в </w:t>
            </w:r>
            <w:hyperlink r:id="rId8" w:anchor="n531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розділі VІ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цього Кодексу.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Споживач, що не є побутовим, зобов’язаний  зареєструватись як учасник оптового енергетичного ринку відповідно до Порядку реєстрації учасників оптового енергетичного ринку затв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ердженого постановою Національної комісії, що здійснює державне регулювання у сферах енергетики та комунальних послуг, від 04 жовтня 2023 року № 1812, у разі якщо сумарна номінальна потужність газового обладнання споживача забезпечує технічну спроможність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споживання природного газу в обсязі 600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ГВт·год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(56 391 тис. 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 на рік та вище.</w:t>
            </w:r>
          </w:p>
        </w:tc>
        <w:tc>
          <w:tcPr>
            <w:tcW w:w="7087" w:type="dxa"/>
            <w:shd w:val="clear" w:color="auto" w:fill="auto"/>
          </w:tcPr>
          <w:p w:rsidR="001556CE" w:rsidRDefault="00261993">
            <w:pPr>
              <w:spacing w:after="0" w:line="216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 xml:space="preserve">ТОВ «Нові енергетичні проекти» </w:t>
            </w:r>
          </w:p>
          <w:p w:rsidR="001556CE" w:rsidRDefault="00261993">
            <w:pPr>
              <w:shd w:val="clear" w:color="auto" w:fill="FFFFFF"/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Для забезпечення цілодобового доступу до газорозподільної системи та можливості розподілу (переміщення) належного споживачу (суміжному суб’є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кту ринку природного газу) природного газу ГРМ обов’язковою умовою є наявність фізичного підключення об’єкта споживача (суміжного суб’єкта ринку природного газу) до ГРМ.</w:t>
            </w:r>
          </w:p>
          <w:p w:rsidR="001556CE" w:rsidRDefault="00261993">
            <w:pPr>
              <w:shd w:val="clear" w:color="auto" w:fill="FFFFFF"/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Власники об’єктів будівництва або існуючих об’єктів (земельних ділянок), які фізично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 підключені до ГРМ, для набуття права на цілодобовий доступ до ГРМ та розподіл (переміщення) природного газу ГРМ повинні здійснити заходи щодо підключення (приєднання) власних об’єктів до ГРМ у порядку, визначеному в </w:t>
            </w:r>
            <w:hyperlink r:id="rId9" w:anchor="n398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розділі V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цього Кодексу.</w:t>
            </w:r>
          </w:p>
          <w:p w:rsidR="001556CE" w:rsidRDefault="00261993">
            <w:pPr>
              <w:shd w:val="clear" w:color="auto" w:fill="FFFFFF"/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Споживачі, у тому числі побутові, та суміжні суб’єкти ринку природного газу, які фізично підключені до ГРМ, забезпечуються цілодобовим доступом до ГРМ та можливістю розподілу (переміщення) природного газу ГРМ у порядку, визначеному в </w:t>
            </w:r>
            <w:hyperlink r:id="rId10" w:anchor="n531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розділі VІ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цього Кодексу.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Не приймати</w:t>
            </w:r>
          </w:p>
          <w:p w:rsidR="001556CE" w:rsidRDefault="00261993">
            <w:pPr>
              <w:spacing w:after="0" w:line="216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Обґрунтування</w:t>
            </w:r>
          </w:p>
          <w:p w:rsidR="001556CE" w:rsidRDefault="00261993">
            <w:pPr>
              <w:spacing w:after="0" w:line="216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НКРЕКП незаконно зобов’язало споживачів реєструватися як учасників оптового енергетичного ринку постановою від 04 жовтня 2023 року № 1812.</w:t>
            </w:r>
          </w:p>
          <w:p w:rsidR="001556CE" w:rsidRDefault="00261993">
            <w:pPr>
              <w:spacing w:after="0" w:line="216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Відповідно до статті 20-1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Закону України «Про НКРЕКП»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Регулятор здійснює реєстрацію учасників оптового енергетичного ринку…</w:t>
            </w:r>
          </w:p>
          <w:p w:rsidR="001556CE" w:rsidRDefault="00261993">
            <w:pPr>
              <w:spacing w:after="0" w:line="216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Закон України «Про НКРЕКП» у п. 8  ст. 2-1 містить визначення терміну учасник оптового енергетичного ринку - будь-яка особа, яка зд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ійснює укладання угод з купівлі-продажу або подає пропозиції (заявки) на купівлю-продаж відповідно до оптового енергетичного продукту на оптовому енергетичному ринку.</w:t>
            </w:r>
          </w:p>
          <w:p w:rsidR="001556CE" w:rsidRDefault="00261993">
            <w:pPr>
              <w:spacing w:after="0" w:line="216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Відповідно до п.5 цієї статті  оптовими енергетичними продуктами визначаються , зокрема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оговори про постачання або розподіл електричної енергії та/або природного газу кінцевим споживачам з сумарною номінальною потужністю споживання установок споживача, що забезпечує технічну спроможність споживання електричної енергії або газу в обсязі 600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•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на рік та вище.</w:t>
            </w:r>
          </w:p>
          <w:p w:rsidR="001556CE" w:rsidRDefault="00261993">
            <w:pPr>
              <w:spacing w:after="0" w:line="216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 тексту ЗУ «Про ринок природного газу та ЗУ «Про ринок електричної енергії» законодавець послідовно запроваджує відокремлення договору постачання від договору купівлі-продажу.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 своєї сукупності наведене дає підстави визначити, що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евна категорія споживачів може укладати договори постачання оптовими енергетичними продуктами, але в силу законодавчих обмежень вони не відносяться до учасників ринку , який підлягає реєстрації, оскільки договорів -купівлі продажу не укладають.</w:t>
            </w:r>
          </w:p>
        </w:tc>
        <w:tc>
          <w:tcPr>
            <w:tcW w:w="3827" w:type="dxa"/>
            <w:shd w:val="clear" w:color="auto" w:fill="auto"/>
          </w:tcPr>
          <w:p w:rsidR="001556CE" w:rsidRDefault="00261993">
            <w:pPr>
              <w:spacing w:after="0" w:line="216" w:lineRule="auto"/>
              <w:ind w:firstLine="17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Попередньо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відхиляється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Положеннями статті 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Закону України «Про Національну комісію, що здійснює державне регулювання у сферах енергетики та комунальних послуг» зазначено, що оптові енергетичні продукти - договори (угоди) незалежно від місця та часу їх укладення,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зокрема: договори про постачання або розподіл електричної енергії та/або природного газу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u w:val="single"/>
              </w:rPr>
              <w:t>кінцевим споживачам з сумарною номінальною потужністю споживання установок споживача, що забезпечує технічну спроможність споживання електричної енергії або газу в обс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u w:val="single"/>
              </w:rPr>
              <w:t xml:space="preserve">язі 600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u w:val="single"/>
              </w:rPr>
              <w:t>ГВт•год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u w:val="single"/>
              </w:rPr>
              <w:t xml:space="preserve"> на рік та вище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;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учасник оптового енергетичного ринку - будь-яка особа, яка здійснює укладання угод з купівлі-продажу або подає пропозиції (заявки) на купівлю-продаж відповідно до оптового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енергетичного продукту на оптовому енергетичному ринку.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цьому, положеннями части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 другої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Стаття 13 Закону України «Про ринок природного газу» визначено, що Споживач зобов’язаний, зокрема: надавати стороні, з якою укладено договір про постачання/купівлю-продаж природного газу, інформацію про сумарну номінальну потужність свого газовог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о обладнання, якщо технічна спроможність такого обладнання може забезпечити споживання газу в обсязі 600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ГВт·год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на рік та вище.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Таким чином, положеннями чинного законодавства визначено що, споживач,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сумарна номінальна потужністю установок якого, забезпечу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є технічну спроможність споживання електричної енергії або газу в обсязі 600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ГВт•год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на рік та вище є учасник оптового енергетичного ринку.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Отже, нормами чинного законодавства передбачено реєстрація такого споживача, як учасника оптового енергетичного ринк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у.</w:t>
            </w:r>
          </w:p>
        </w:tc>
      </w:tr>
      <w:tr w:rsidR="001556CE">
        <w:trPr>
          <w:trHeight w:val="20"/>
        </w:trPr>
        <w:tc>
          <w:tcPr>
            <w:tcW w:w="4566" w:type="dxa"/>
            <w:vMerge/>
            <w:shd w:val="clear" w:color="auto" w:fill="auto"/>
          </w:tcPr>
          <w:p w:rsidR="001556CE" w:rsidRDefault="001556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7" w:type="dxa"/>
            <w:shd w:val="clear" w:color="auto" w:fill="auto"/>
          </w:tcPr>
          <w:p w:rsidR="001556CE" w:rsidRDefault="00261993">
            <w:pPr>
              <w:spacing w:after="0" w:line="216" w:lineRule="auto"/>
              <w:ind w:firstLine="31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Бакулін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 О. Ю.</w:t>
            </w:r>
          </w:p>
          <w:p w:rsidR="001556CE" w:rsidRDefault="00261993">
            <w:pPr>
              <w:shd w:val="clear" w:color="auto" w:fill="FFFFFF"/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Для забезпечення цілодобового доступу до газорозподільної системи та можливості розподілу (переміщення) належного споживачу (суміжному суб’єкту ринку природного газу) природного газу ГРМ обов’язковою умовою є наявність фізичного підключення об’єкта спож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ивача (суміжного суб’єкта ринку природного газу) до ГРМ.</w:t>
            </w:r>
          </w:p>
          <w:p w:rsidR="001556CE" w:rsidRDefault="00261993">
            <w:pPr>
              <w:shd w:val="clear" w:color="auto" w:fill="FFFFFF"/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Власники об’єктів будівництва або існуючих об’єктів (земельних ділянок), які фізично не підключені до ГРМ, для набуття права на цілодобовий доступ до ГРМ та розподіл (переміщення) природного газу ГРМ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повинні здійснити заходи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щодо підключення (приєднання) власних об’єктів до ГРМ у порядку, визначеному в </w:t>
            </w:r>
            <w:hyperlink r:id="rId11" w:anchor="n398">
              <w: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розділі V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цього Кодексу.</w:t>
            </w:r>
          </w:p>
          <w:p w:rsidR="001556CE" w:rsidRDefault="00261993">
            <w:pPr>
              <w:shd w:val="clear" w:color="auto" w:fill="FFFFFF"/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Споживачі, у тому числі побутові, та суміжні суб’єкт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ринку природного газу, які фізично підключені до ГРМ, забезпечуються цілодобовим доступом до ГРМ та можливістю розподілу (переміщення) природного газу ГРМ у порядку, визначеному в </w:t>
            </w:r>
            <w:hyperlink r:id="rId12" w:anchor="n531">
              <w: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розділі VІ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цього Кодексу.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Не приймати</w:t>
            </w:r>
          </w:p>
          <w:p w:rsidR="001556CE" w:rsidRDefault="00261993">
            <w:pPr>
              <w:spacing w:after="0" w:line="216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Обґрунтування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НКРЕКП незаконно зобов’язало споживачів реєструватися як учасників оптового енергетичного ринку постановою від 04 жовтня 2023 року № 1812.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Відповідно до статті 20-1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Закону України «Про НКРЕКП»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Регулятор здійснює реєстрацію учасників оптового енергетичного ринку…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Закон України «Про НКРЕКП» у п. 8  ст. 2-1 містить визначення терміну учасник оптового енергетичного ринку - будь-яка особа, яка здійснює укладання угод з купівлі-продажу або подає проп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озиції (заявки) на купівлю-продаж відповідно до оптового енергетичного продукту на оптовому енергетичному ринку.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Відповідно до п.5 цієї статті  оптовими енергетичними продуктами визначаються , зокрема договори про постачання або розподіл електричної енергі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ї та/або природного газу кінцевим споживачам з сумарною номінальною потужністю споживання установок споживача, що забезпечує технічну спроможність споживання електричної енергії або газу в обсязі 600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ГВт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•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на рік та вище.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 тексту ЗУ «Про ринок природно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го газу та ЗУ «Про ринок електричної енергії» законодавець послідовно запроваджує відокремлення договору постачання від договору купівлі-продажу.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 своєї сукупності наведене дає підстави визначити, що певна категорія споживачів може укладати договори поста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чання оптовими енергетичними продуктами, але в силу законодавчих обмежень вони не відносяться до учасників ринку , який підлягає реєстрації, оскільки договорів -купівлі продажу не укладають. </w:t>
            </w:r>
          </w:p>
          <w:p w:rsidR="001556CE" w:rsidRDefault="001556CE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1556CE" w:rsidRDefault="00261993">
            <w:pPr>
              <w:spacing w:after="0" w:line="216" w:lineRule="auto"/>
              <w:ind w:firstLine="17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Попередньо відхиляється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Положеннями статті 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Закону України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Про Національну комісію, що здійснює державне регулювання у сферах енергетики та комунальних послуг» зазначено, що оптові енергетичні продукти - договори (угоди) незалежно від місця та часу їх укладення, зокрема: договори про постачання або розподіл електр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ичної енергії та/або природного газу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u w:val="single"/>
              </w:rPr>
              <w:t xml:space="preserve">кінцевим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u w:val="single"/>
              </w:rPr>
              <w:lastRenderedPageBreak/>
              <w:t xml:space="preserve">споживачам з сумарною номінальною потужністю споживання установок споживача, що забезпечує технічну спроможність споживання електричної енергії або газу в обсязі 600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u w:val="single"/>
              </w:rPr>
              <w:t>ГВт•год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u w:val="single"/>
              </w:rPr>
              <w:t xml:space="preserve"> на рік та вище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;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учасник оптового ене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ргетичного ринку - будь-яка особа, яка здійснює укладання угод з купівлі-продажу або подає пропозиції (заявки) на купівлю-продаж відповідно до оптового енергетичного продукту на оптовому енергетичному ринку.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цьому, положеннями частини другої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Стаття 13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Закону України «Про ринок природного газу» визначено, що Споживач зобов’язаний, зокрема: надавати стороні, з якою укладено договір про постачання/купівлю-продаж природного газу, інформацію про сумарну номінальну потужність свого газового обладнання, якщо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ехнічна спроможність такого обладнання може забезпечити споживання газу в обсязі 600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ГВт·год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на рік та вище.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Таким чином, положеннями чинного законодавства визначено що, споживач,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сумарна номінальна потужністю установок якого, забезпечує технічну спроможні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сть споживання електричної енергії або газу в обсязі 600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ГВт•год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на рік та вище є учасник оптового енергетичного ринку.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Отже, нормами чинного законодавства передбачено реєстрація такого споживача, як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учасника оптового енергетичного ринку.</w:t>
            </w:r>
          </w:p>
        </w:tc>
      </w:tr>
      <w:tr w:rsidR="001556CE">
        <w:trPr>
          <w:trHeight w:val="20"/>
        </w:trPr>
        <w:tc>
          <w:tcPr>
            <w:tcW w:w="15480" w:type="dxa"/>
            <w:gridSpan w:val="3"/>
            <w:shd w:val="clear" w:color="auto" w:fill="auto"/>
          </w:tcPr>
          <w:p w:rsidR="001556CE" w:rsidRDefault="00261993">
            <w:pPr>
              <w:spacing w:after="0" w:line="216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ЗМІНИ ДО ПРАВИЛ ПОСТАЧАННЯ ПРИРОДНОГО ГАЗУ</w:t>
            </w:r>
          </w:p>
        </w:tc>
      </w:tr>
      <w:tr w:rsidR="001556CE">
        <w:trPr>
          <w:trHeight w:val="20"/>
        </w:trPr>
        <w:tc>
          <w:tcPr>
            <w:tcW w:w="15480" w:type="dxa"/>
            <w:gridSpan w:val="3"/>
            <w:shd w:val="clear" w:color="auto" w:fill="auto"/>
          </w:tcPr>
          <w:p w:rsidR="001556CE" w:rsidRDefault="00261993">
            <w:pPr>
              <w:spacing w:after="0" w:line="216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ІІ.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Порядок постачання природного газу споживачам, що не є побутовими</w:t>
            </w:r>
          </w:p>
        </w:tc>
      </w:tr>
      <w:tr w:rsidR="001556CE">
        <w:trPr>
          <w:trHeight w:val="20"/>
        </w:trPr>
        <w:tc>
          <w:tcPr>
            <w:tcW w:w="4566" w:type="dxa"/>
            <w:vMerge w:val="restart"/>
            <w:shd w:val="clear" w:color="auto" w:fill="auto"/>
          </w:tcPr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21. Споживач зобов'язується:</w:t>
            </w:r>
          </w:p>
          <w:p w:rsidR="001556CE" w:rsidRDefault="002619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дотримуватись вимог цих Правил;</w:t>
            </w:r>
          </w:p>
          <w:p w:rsidR="001556CE" w:rsidRDefault="002619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забезпечувати дотримання дисципліни відбору (споживання) природного газу в обсягах та на умовах, визначених договорами;</w:t>
            </w:r>
          </w:p>
          <w:p w:rsidR="001556CE" w:rsidRDefault="00261993">
            <w:pPr>
              <w:spacing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4" w:name="_heading=h.44sinio" w:colFirst="0" w:colLast="0"/>
            <w:bookmarkEnd w:id="4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зареєструватись як учасник оптового енергетичного ринку, відповідно до Порядку реєстрації учасників оптового енергетичного ринку, затве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рдженого постановою Національної комісії, що здійснює державне регулювання у сферах енергетики та комунальних послуг, від 04 жовтня 2023 року № 1812, у разі якщо сумарна номінальна потужність газового обладнання споживача забезпечує технічну спроможність 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поживання природного газу в обсязі 600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ГВт·год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(56 391 тис. 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 на рік та вище;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надати постачальнику розмір сумарної номінальної потужності свого газового обладнання, якщо технічна спроможність такого обладнання може забезпечити споживання газу в обсязі 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00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ГВт·год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(56 391 тис. 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 на рік та вище;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7087" w:type="dxa"/>
            <w:shd w:val="clear" w:color="auto" w:fill="auto"/>
          </w:tcPr>
          <w:p w:rsidR="001556CE" w:rsidRDefault="00261993">
            <w:pPr>
              <w:spacing w:after="0" w:line="216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ТОВ «Нові енергетичні проекти» 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21. Споживач зобов'язується:</w:t>
            </w:r>
          </w:p>
          <w:p w:rsidR="001556CE" w:rsidRDefault="002619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дотримуватись вимог цих Правил;</w:t>
            </w:r>
          </w:p>
          <w:p w:rsidR="001556CE" w:rsidRDefault="002619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забезпечувати дотримання дисципліни відбору (споживання) природного газу в обсягах та на умовах, визначених договорами;</w:t>
            </w:r>
          </w:p>
          <w:p w:rsidR="001556CE" w:rsidRDefault="002619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Не приймати </w:t>
            </w:r>
          </w:p>
          <w:p w:rsidR="001556CE" w:rsidRDefault="002619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  <w:p w:rsidR="001556CE" w:rsidRDefault="00261993">
            <w:pPr>
              <w:spacing w:after="0" w:line="216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Обґрунтування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НКРЕКП незаконно зобов’язало споживачів реєструватися як учасники оптового енергетичного ринку постановою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ід 04 жовтня 2023 року № 1812.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Відповідно до статті 20-1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Закону України «Про НКРЕКП»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Регулятор здійснює реєстрацію учасників оптового енергетичного ринку…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Закон України «Про НКРЕКП» у п. 8  ст. 2-1 містить визначення терміну учасник оптового енергетичного ринку - будь-яка особа, яка здійснює укладання угод з купівлі-продажу або подає пропозиції (заявки) на купівлю-продаж відповідно до оптового енергетичного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продукту на оптовому енергетичному ринку.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Відповідно до п.5 цієї статті  оптовими енергетичними продуктами визначаються , зокрема договори про постачання або розподіл електричної енергії та/або природного газу кінцевим споживачам з сумарною номінальною пот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ужністю споживання установок споживача, що забезпечує технічну спроможність споживання електричної енергії або газу в обсязі 600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ГВт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•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на рік та вище.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 тексту ЗУ «Про ринок природного газу та ЗУ «Про ринок електричної енергії» законодавець послідовно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апроваджує відокремлення договору постачання від договору купівлі-продажу.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 своєї сукупності наведене дає підстави визначити, що певна категорія споживачів може укладати договори постачання оптовими енергетичними продуктами, але в силу законодавчих обмеже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нь вони не відносяться до учасників ринку , який підлягає реєстрації, оскільки договорів -купівлі продажу не укладають. </w:t>
            </w:r>
          </w:p>
        </w:tc>
        <w:tc>
          <w:tcPr>
            <w:tcW w:w="3827" w:type="dxa"/>
            <w:shd w:val="clear" w:color="auto" w:fill="auto"/>
          </w:tcPr>
          <w:p w:rsidR="001556CE" w:rsidRDefault="00261993">
            <w:pPr>
              <w:spacing w:after="0" w:line="216" w:lineRule="auto"/>
              <w:ind w:firstLine="17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Попередньо відхиляється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Положеннями статті 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Закону України «Про Національну комісію, що здійснює державне регулювання у сферах енерг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етики та комунальних послуг» зазначено, що оптові енергетичні продукти - договори (угоди) незалежно від місця та часу їх укладення, зокрема: договори про постачання або розподіл електричної енергії та/або природного газу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u w:val="single"/>
              </w:rPr>
              <w:t>кінцевим споживачам з сумарною номі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u w:val="single"/>
              </w:rPr>
              <w:t xml:space="preserve">нальною потужністю споживання установок споживача, що забезпечує технічну спроможність споживання електричної енергії або газу в обсязі 600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u w:val="single"/>
              </w:rPr>
              <w:t>ГВт•год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u w:val="single"/>
              </w:rPr>
              <w:t xml:space="preserve"> на рік та вище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;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учасник оптового енергетичного ринку - будь-яка особа, яка здійснює укладання угод з купівлі-продажу або подає пропозиції (заявки) на купівлю-продаж відповідно до оптового енергетичного продукту на оптовому енергетичному ринку.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цьому, положеннями части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 другої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Стаття 13 Закону України «Про ринок природного газу» визначено, що Споживач зобов’язаний, зокрема: надавати стороні, з якою укладено договір про постачання/купівлю-продаж природного газу, інформацію про сумарну номінальну потужність свого газовог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о обладнання, якщо технічна спроможність такого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обладнання може забезпечити споживання газу в обсязі 600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ГВт·год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на рік та вище.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Таким чином, положеннями чинного законодавства визначено що, споживач,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сумарна номінальна потужністю установок якого, забезпечу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є технічну спроможність споживання електричної енергії або газу в обсязі 600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ГВт•год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на рік та вище є учасник оптового енергетичного ринку.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Отже, нормами чинного законодавства передбачено реєстрація такого споживача, як учасника оптового енергетичного ринк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у.</w:t>
            </w:r>
          </w:p>
        </w:tc>
      </w:tr>
      <w:tr w:rsidR="001556CE">
        <w:trPr>
          <w:trHeight w:val="20"/>
        </w:trPr>
        <w:tc>
          <w:tcPr>
            <w:tcW w:w="4566" w:type="dxa"/>
            <w:vMerge/>
            <w:shd w:val="clear" w:color="auto" w:fill="auto"/>
          </w:tcPr>
          <w:p w:rsidR="001556CE" w:rsidRDefault="001556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7" w:type="dxa"/>
            <w:shd w:val="clear" w:color="auto" w:fill="auto"/>
          </w:tcPr>
          <w:p w:rsidR="001556CE" w:rsidRDefault="00261993">
            <w:pPr>
              <w:spacing w:after="0" w:line="216" w:lineRule="auto"/>
              <w:ind w:firstLine="31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Бакулін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 О. Ю.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21. Споживач зобов'язується:</w:t>
            </w:r>
          </w:p>
          <w:p w:rsidR="001556CE" w:rsidRDefault="00261993">
            <w:pPr>
              <w:shd w:val="clear" w:color="auto" w:fill="FFFFFF"/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дотримуватись вимог цих Правил;</w:t>
            </w:r>
          </w:p>
          <w:p w:rsidR="001556CE" w:rsidRDefault="00261993">
            <w:pPr>
              <w:shd w:val="clear" w:color="auto" w:fill="FFFFFF"/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забезпечувати дотримання дисципліни відбору (споживання) природного газу в обсягах та на умовах, визначених договорами;</w:t>
            </w:r>
          </w:p>
          <w:p w:rsidR="001556CE" w:rsidRDefault="00261993">
            <w:pPr>
              <w:shd w:val="clear" w:color="auto" w:fill="FFFFFF"/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Не приймати 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…</w:t>
            </w:r>
          </w:p>
          <w:p w:rsidR="001556CE" w:rsidRDefault="00261993">
            <w:pPr>
              <w:spacing w:after="0" w:line="216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Обґрунтування</w:t>
            </w:r>
          </w:p>
          <w:p w:rsidR="001556CE" w:rsidRDefault="00261993">
            <w:pPr>
              <w:spacing w:after="0" w:line="216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НКРЕКП незаконно зобов’язало споживачів реєструватися як учасники оптового енергетичного ринку постановою від 04 жовтня 2023 року № 1812.</w:t>
            </w:r>
          </w:p>
          <w:p w:rsidR="001556CE" w:rsidRDefault="00261993">
            <w:pPr>
              <w:spacing w:after="0" w:line="216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Відповідно до статті 20-1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Закону України «Про НКРЕКП»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Регулятор здійснює реєстрацію учасників оптового енергетичного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ринку…</w:t>
            </w:r>
          </w:p>
          <w:p w:rsidR="001556CE" w:rsidRDefault="00261993">
            <w:pPr>
              <w:spacing w:after="0" w:line="216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Закон України «Про НКРЕКП» у п. 8  ст. 2-1 містить визначення терміну учасник оптового енергетичного ринку - будь-яка особа, яка здійснює укладання угод з купівлі-продажу або подає пропозиції (заявки) на купівлю-продаж відповідно до оптового енергет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ичного продукту на оптовому енергетичному ринку.</w:t>
            </w:r>
          </w:p>
          <w:p w:rsidR="001556CE" w:rsidRDefault="00261993">
            <w:pPr>
              <w:spacing w:after="0" w:line="216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Відповідно до п.5 цієї статті  оптовими енергетичними продуктами визначаються , зокрема договори про постачання або розподіл електричної енергії та/або природного газу кінцевим споживачам з сумарною номіналь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ною потужністю споживання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установок споживача, що забезпечує технічну спроможність споживання електричної енергії або газу в обсязі 600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ГВт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•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на рік та вище.</w:t>
            </w:r>
          </w:p>
          <w:p w:rsidR="001556CE" w:rsidRDefault="00261993">
            <w:pPr>
              <w:spacing w:after="0" w:line="216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 тексту ЗУ «Про ринок природного газу та ЗУ «Про ринок електричної енергії» законодавець послідовно запроваджує відокремлення договору постачання від договору купівлі-продажу.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 своєї сукупності наведене дає підстави визначити, що певна категорія спожива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чів може укладати договори постачання оптовими енергетичними продуктами, але в силу законодавчих обмежень вони не відносяться до учасників ринку , який підлягає реєстрації, оскільки договорів -купівлі продажу не укладають.</w:t>
            </w:r>
          </w:p>
        </w:tc>
        <w:tc>
          <w:tcPr>
            <w:tcW w:w="3827" w:type="dxa"/>
            <w:shd w:val="clear" w:color="auto" w:fill="auto"/>
          </w:tcPr>
          <w:p w:rsidR="001556CE" w:rsidRDefault="00261993">
            <w:pPr>
              <w:spacing w:after="0" w:line="216" w:lineRule="auto"/>
              <w:ind w:firstLine="17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Попередньо відхиляється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 статті 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Закону України «Про Національну комісію, що здійснює державне регулювання у сферах енергетики та комунальних послуг» зазначено, що оптові енергетичні продукти - договори (угоди) незалежно від місця та часу їх укладення, зокрема: договори про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постачання або розподіл електричної енергії та/або природного газу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u w:val="single"/>
              </w:rPr>
              <w:t xml:space="preserve">кінцевим споживачам з сумарною номінальною потужністю споживання установок споживача, що забезпечує технічну спроможність споживання електричної енергії або газу в обсязі 600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u w:val="single"/>
              </w:rPr>
              <w:t>ГВт•год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u w:val="single"/>
              </w:rPr>
              <w:t xml:space="preserve"> на рік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u w:val="single"/>
              </w:rPr>
              <w:t xml:space="preserve"> та вище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;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учасник оптового енергетичного ринку - будь-яка особа, яка здійснює укладання угод з купівлі-продажу або подає пропозиції (заявки) на купівлю-продаж відповідно до оптового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енергетичного продукту на оптовому енергетичному ринку.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цьому, положен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нями частини другої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Стаття 13 Закону України «Про ринок природного газу» визначено, що Споживач зобов’язаний, зокрема: надавати стороні, з якою укладено договір про постачання/купівлю-продаж природного газу, інформацію про сумарну номінальну потужність сво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го газового обладнання, якщо технічна спроможність такого обладнання може забезпечити споживання газу в обсязі 600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ГВт·год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на рік та вище.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Таким чином, положеннями чинного законодавства визначено що, споживач,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сумарна номінальна потужністю установок якого,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забезпечує технічну спроможність споживання електричної енергії або газу в обсязі 600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ГВт•год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на рік та вище є учасник оптового енергетичного ринку.</w:t>
            </w:r>
          </w:p>
          <w:p w:rsidR="001556CE" w:rsidRDefault="00261993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Отже, нормами чинного законодавства передбачено реєстрація такого споживача, як учасника оптового енергети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чного ринку.</w:t>
            </w:r>
          </w:p>
        </w:tc>
      </w:tr>
    </w:tbl>
    <w:p w:rsidR="001556CE" w:rsidRDefault="001556CE">
      <w:pPr>
        <w:spacing w:after="0" w:line="21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56CE" w:rsidRDefault="001556CE">
      <w:pPr>
        <w:spacing w:after="0" w:line="21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5" w:name="_GoBack"/>
      <w:bookmarkEnd w:id="5"/>
    </w:p>
    <w:p w:rsidR="001556CE" w:rsidRDefault="00261993">
      <w:pPr>
        <w:spacing w:after="0" w:line="21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Директор Департаменту із </w:t>
      </w:r>
    </w:p>
    <w:p w:rsidR="001556CE" w:rsidRDefault="00261993">
      <w:pPr>
        <w:spacing w:after="0" w:line="216" w:lineRule="auto"/>
        <w:jc w:val="both"/>
        <w:rPr>
          <w:sz w:val="24"/>
          <w:szCs w:val="24"/>
        </w:rPr>
      </w:pPr>
      <w:bookmarkStart w:id="6" w:name="_heading=h.30j0zll" w:colFirst="0" w:colLast="0"/>
      <w:bookmarkEnd w:id="6"/>
      <w:r>
        <w:rPr>
          <w:rFonts w:ascii="Times New Roman" w:eastAsia="Times New Roman" w:hAnsi="Times New Roman" w:cs="Times New Roman"/>
          <w:b/>
          <w:sz w:val="24"/>
          <w:szCs w:val="24"/>
        </w:rPr>
        <w:t>регулювання відносин у нафтогазовій сфері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    Олександр КОСЯНЧУК </w:t>
      </w:r>
    </w:p>
    <w:sectPr w:rsidR="001556CE" w:rsidSect="00AA296D">
      <w:footerReference w:type="default" r:id="rId13"/>
      <w:pgSz w:w="16838" w:h="11906" w:orient="landscape"/>
      <w:pgMar w:top="567" w:right="567" w:bottom="567" w:left="1134" w:header="709" w:footer="11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1993" w:rsidRDefault="00261993">
      <w:pPr>
        <w:spacing w:after="0" w:line="240" w:lineRule="auto"/>
      </w:pPr>
      <w:r>
        <w:separator/>
      </w:r>
    </w:p>
  </w:endnote>
  <w:endnote w:type="continuationSeparator" w:id="0">
    <w:p w:rsidR="00261993" w:rsidRDefault="002619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6CE" w:rsidRDefault="0026199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 w:rsidR="00880B58">
      <w:rPr>
        <w:color w:val="000000"/>
        <w:sz w:val="20"/>
        <w:szCs w:val="20"/>
      </w:rPr>
      <w:fldChar w:fldCharType="separate"/>
    </w:r>
    <w:r w:rsidR="00880B58"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:rsidR="001556CE" w:rsidRDefault="001556C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1993" w:rsidRDefault="00261993">
      <w:pPr>
        <w:spacing w:after="0" w:line="240" w:lineRule="auto"/>
      </w:pPr>
      <w:r>
        <w:separator/>
      </w:r>
    </w:p>
  </w:footnote>
  <w:footnote w:type="continuationSeparator" w:id="0">
    <w:p w:rsidR="00261993" w:rsidRDefault="002619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6CE"/>
    <w:rsid w:val="001556CE"/>
    <w:rsid w:val="00261993"/>
    <w:rsid w:val="00880B58"/>
    <w:rsid w:val="00AA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88B2B9"/>
  <w15:docId w15:val="{E95A1DE1-29FA-440E-9CBB-AB5247AC3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8"/>
        <w:szCs w:val="28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69C4"/>
    <w:rPr>
      <w:rFonts w:cstheme="minorHAnsi"/>
      <w:szCs w:val="144"/>
      <w:lang w:eastAsia="en-US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rvps2">
    <w:name w:val="rvps2"/>
    <w:basedOn w:val="a"/>
    <w:rsid w:val="00536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No Spacing"/>
    <w:link w:val="a5"/>
    <w:uiPriority w:val="1"/>
    <w:qFormat/>
    <w:rsid w:val="005369C4"/>
    <w:pPr>
      <w:spacing w:after="0" w:line="240" w:lineRule="auto"/>
    </w:pPr>
    <w:rPr>
      <w:lang w:val="ru-RU" w:eastAsia="en-US"/>
    </w:rPr>
  </w:style>
  <w:style w:type="character" w:customStyle="1" w:styleId="a5">
    <w:name w:val="Без інтервалів Знак"/>
    <w:link w:val="a4"/>
    <w:uiPriority w:val="1"/>
    <w:rsid w:val="005369C4"/>
    <w:rPr>
      <w:rFonts w:ascii="Calibri" w:eastAsia="Calibri" w:hAnsi="Calibri" w:cs="Calibri"/>
      <w:sz w:val="28"/>
      <w:szCs w:val="28"/>
      <w:lang w:val="ru-RU" w:eastAsia="en-US"/>
    </w:rPr>
  </w:style>
  <w:style w:type="character" w:styleId="a6">
    <w:name w:val="Hyperlink"/>
    <w:basedOn w:val="a0"/>
    <w:uiPriority w:val="99"/>
    <w:unhideWhenUsed/>
    <w:rsid w:val="005369C4"/>
    <w:rPr>
      <w:color w:val="0563C1" w:themeColor="hyperlink"/>
      <w:u w:val="single"/>
    </w:rPr>
  </w:style>
  <w:style w:type="character" w:styleId="a7">
    <w:name w:val="Strong"/>
    <w:basedOn w:val="a0"/>
    <w:uiPriority w:val="22"/>
    <w:qFormat/>
    <w:rsid w:val="005369C4"/>
    <w:rPr>
      <w:b/>
      <w:bCs/>
    </w:rPr>
  </w:style>
  <w:style w:type="character" w:customStyle="1" w:styleId="rvts80">
    <w:name w:val="rvts80"/>
    <w:basedOn w:val="a0"/>
    <w:rsid w:val="008C5C54"/>
  </w:style>
  <w:style w:type="paragraph" w:styleId="a8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a">
    <w:name w:val="header"/>
    <w:basedOn w:val="a"/>
    <w:link w:val="ab"/>
    <w:uiPriority w:val="99"/>
    <w:unhideWhenUsed/>
    <w:rsid w:val="00AA296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AA296D"/>
    <w:rPr>
      <w:rFonts w:cstheme="minorHAnsi"/>
      <w:szCs w:val="144"/>
      <w:lang w:eastAsia="en-US"/>
    </w:rPr>
  </w:style>
  <w:style w:type="paragraph" w:styleId="ac">
    <w:name w:val="footer"/>
    <w:basedOn w:val="a"/>
    <w:link w:val="ad"/>
    <w:uiPriority w:val="99"/>
    <w:unhideWhenUsed/>
    <w:rsid w:val="00AA296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AA296D"/>
    <w:rPr>
      <w:rFonts w:cstheme="minorHAnsi"/>
      <w:szCs w:val="14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z1379-15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z1379-15" TargetMode="External"/><Relationship Id="rId12" Type="http://schemas.openxmlformats.org/officeDocument/2006/relationships/hyperlink" Target="https://zakon.rada.gov.ua/laws/show/z1379-15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z1379-15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z1379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z1379-1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4xJIuhrOaIJbpSTpoaZs/ZYaVFA==">CgMxLjAyCWlkLmdqZGd4czIKaWQuMzBqMHpsbDIKaWQuMWZvYjl0ZTIJaC4zem55c2g3MgloLjQ0c2luaW8yCWguMzBqMHpsbDgAciExdXdmRzdqeG4zVXBqUDFwcDc4Yk43ckt3SGxUdmhkdmU=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23464</Words>
  <Characters>13375</Characters>
  <Application>Microsoft Office Word</Application>
  <DocSecurity>0</DocSecurity>
  <Lines>111</Lines>
  <Paragraphs>73</Paragraphs>
  <ScaleCrop>false</ScaleCrop>
  <Company>NERC</Company>
  <LinksUpToDate>false</LinksUpToDate>
  <CharactersWithSpaces>36766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Володимир Пріщенко</dc:creator>
  <cp:lastModifiedBy>Людмила Кулаковська</cp:lastModifiedBy>
  <cp:revision>3</cp:revision>
  <dcterms:created xsi:type="dcterms:W3CDTF">2022-07-19T10:20:00Z</dcterms:created>
  <dcterms:modified xsi:type="dcterms:W3CDTF">2024-03-07T13:54:00Z</dcterms:modified>
</cp:coreProperties>
</file>