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3CF" w:rsidRPr="00E05016" w:rsidRDefault="009B2DBB">
      <w:pPr>
        <w:spacing w:after="0"/>
        <w:jc w:val="center"/>
        <w:rPr>
          <w:rFonts w:ascii="Times New Roman" w:eastAsia="Times New Roman" w:hAnsi="Times New Roman" w:cs="Times New Roman"/>
          <w:b/>
        </w:rPr>
      </w:pPr>
      <w:r w:rsidRPr="00E05016">
        <w:rPr>
          <w:rFonts w:ascii="Times New Roman" w:eastAsia="Times New Roman" w:hAnsi="Times New Roman" w:cs="Times New Roman"/>
          <w:b/>
        </w:rPr>
        <w:t xml:space="preserve">Узагальнені зауваження та пропозиції до проєкту </w:t>
      </w:r>
      <w:r w:rsidR="00C640A4">
        <w:rPr>
          <w:rFonts w:ascii="Times New Roman" w:eastAsia="Times New Roman" w:hAnsi="Times New Roman" w:cs="Times New Roman"/>
          <w:b/>
        </w:rPr>
        <w:t xml:space="preserve">рішення, </w:t>
      </w:r>
      <w:r w:rsidR="00C640A4" w:rsidRPr="00E05016">
        <w:rPr>
          <w:rFonts w:ascii="Times New Roman" w:eastAsia="Times New Roman" w:hAnsi="Times New Roman" w:cs="Times New Roman"/>
          <w:b/>
        </w:rPr>
        <w:t>що має ознаки регуляторного акта</w:t>
      </w:r>
      <w:r w:rsidR="00C640A4">
        <w:rPr>
          <w:rFonts w:ascii="Times New Roman" w:eastAsia="Times New Roman" w:hAnsi="Times New Roman" w:cs="Times New Roman"/>
          <w:b/>
        </w:rPr>
        <w:t xml:space="preserve">, </w:t>
      </w:r>
      <w:r w:rsidR="00C640A4">
        <w:rPr>
          <w:rFonts w:ascii="Times New Roman" w:hAnsi="Times New Roman" w:cs="Times New Roman"/>
        </w:rPr>
        <w:t>–</w:t>
      </w:r>
      <w:r w:rsidR="00C640A4" w:rsidRPr="00E05016">
        <w:rPr>
          <w:rFonts w:ascii="Times New Roman" w:eastAsia="Times New Roman" w:hAnsi="Times New Roman" w:cs="Times New Roman"/>
          <w:b/>
        </w:rPr>
        <w:t xml:space="preserve"> </w:t>
      </w:r>
      <w:r w:rsidRPr="00E05016">
        <w:rPr>
          <w:rFonts w:ascii="Times New Roman" w:eastAsia="Times New Roman" w:hAnsi="Times New Roman" w:cs="Times New Roman"/>
          <w:b/>
        </w:rPr>
        <w:t xml:space="preserve">постанови НКРЕКП </w:t>
      </w:r>
      <w:r w:rsidR="006814ED" w:rsidRPr="00E05016">
        <w:rPr>
          <w:rFonts w:ascii="Times New Roman" w:eastAsia="Times New Roman" w:hAnsi="Times New Roman" w:cs="Times New Roman"/>
          <w:b/>
        </w:rPr>
        <w:t>«</w:t>
      </w:r>
      <w:r w:rsidR="00D923A6" w:rsidRPr="00D923A6">
        <w:rPr>
          <w:rFonts w:ascii="Times New Roman" w:eastAsia="Times New Roman" w:hAnsi="Times New Roman" w:cs="Times New Roman"/>
          <w:b/>
        </w:rPr>
        <w:t>Про внесення зміни до Методики визначення істотного коливання цін та встановлення граничних цін на ринку «на добу наперед», внутрішньодобовому ринку та балансуючому ринку</w:t>
      </w:r>
      <w:r w:rsidR="006814ED" w:rsidRPr="00E05016">
        <w:rPr>
          <w:rFonts w:ascii="Times New Roman" w:eastAsia="Times New Roman" w:hAnsi="Times New Roman" w:cs="Times New Roman"/>
          <w:b/>
        </w:rPr>
        <w:t>»</w:t>
      </w:r>
      <w:r w:rsidRPr="00E05016">
        <w:rPr>
          <w:rFonts w:ascii="Times New Roman" w:eastAsia="Times New Roman" w:hAnsi="Times New Roman" w:cs="Times New Roman"/>
          <w:b/>
        </w:rPr>
        <w:t xml:space="preserve"> </w:t>
      </w:r>
    </w:p>
    <w:p w:rsidR="001F03CF" w:rsidRPr="00E05016" w:rsidRDefault="001F03CF">
      <w:pPr>
        <w:spacing w:after="0"/>
        <w:jc w:val="center"/>
        <w:rPr>
          <w:rFonts w:ascii="Times New Roman" w:eastAsia="Times New Roman" w:hAnsi="Times New Roman" w:cs="Times New Roman"/>
          <w:b/>
          <w:color w:val="000000"/>
        </w:rPr>
      </w:pPr>
    </w:p>
    <w:tbl>
      <w:tblPr>
        <w:tblStyle w:val="af2"/>
        <w:tblW w:w="14601"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13"/>
        <w:gridCol w:w="6378"/>
        <w:gridCol w:w="2410"/>
      </w:tblGrid>
      <w:tr w:rsidR="00D916D1" w:rsidRPr="00E05016" w:rsidTr="00D916D1">
        <w:tc>
          <w:tcPr>
            <w:tcW w:w="5813" w:type="dxa"/>
          </w:tcPr>
          <w:p w:rsidR="00D916D1" w:rsidRPr="00E05016" w:rsidRDefault="00D916D1" w:rsidP="009B2DBB">
            <w:pPr>
              <w:jc w:val="center"/>
              <w:rPr>
                <w:rFonts w:ascii="Times New Roman" w:eastAsia="Times New Roman" w:hAnsi="Times New Roman" w:cs="Times New Roman"/>
              </w:rPr>
            </w:pPr>
            <w:r w:rsidRPr="00E05016">
              <w:rPr>
                <w:rFonts w:ascii="Times New Roman" w:eastAsia="Times New Roman" w:hAnsi="Times New Roman" w:cs="Times New Roman"/>
              </w:rPr>
              <w:t>Редакція проєкту рішення НКРЕКП</w:t>
            </w:r>
          </w:p>
        </w:tc>
        <w:tc>
          <w:tcPr>
            <w:tcW w:w="6378" w:type="dxa"/>
          </w:tcPr>
          <w:p w:rsidR="00D916D1" w:rsidRPr="00D916D1" w:rsidRDefault="00D916D1" w:rsidP="009B2DBB">
            <w:pPr>
              <w:jc w:val="center"/>
              <w:rPr>
                <w:rFonts w:ascii="Times New Roman" w:eastAsia="Times New Roman" w:hAnsi="Times New Roman" w:cs="Times New Roman"/>
              </w:rPr>
            </w:pPr>
            <w:r w:rsidRPr="00D916D1">
              <w:rPr>
                <w:rFonts w:ascii="Times New Roman" w:eastAsia="Times New Roman" w:hAnsi="Times New Roman" w:cs="Times New Roman"/>
              </w:rPr>
              <w:t>Зауваження та пропозиції до проєкту рішення НКРЕКП</w:t>
            </w:r>
          </w:p>
        </w:tc>
        <w:tc>
          <w:tcPr>
            <w:tcW w:w="2410" w:type="dxa"/>
          </w:tcPr>
          <w:p w:rsidR="00D916D1" w:rsidRPr="00E05016" w:rsidRDefault="00D916D1" w:rsidP="009B2DBB">
            <w:pPr>
              <w:jc w:val="center"/>
              <w:rPr>
                <w:rFonts w:ascii="Times New Roman" w:eastAsia="Times New Roman" w:hAnsi="Times New Roman" w:cs="Times New Roman"/>
              </w:rPr>
            </w:pPr>
            <w:r w:rsidRPr="00E05016">
              <w:rPr>
                <w:rFonts w:ascii="Times New Roman" w:eastAsia="Times New Roman" w:hAnsi="Times New Roman" w:cs="Times New Roman"/>
              </w:rPr>
              <w:t>Попередня позиція НКРЕКП щодо наданих зауважень та пропозицій з обґрунтуванням щодо прийняття або відхилення</w:t>
            </w:r>
          </w:p>
        </w:tc>
      </w:tr>
      <w:tr w:rsidR="00430435" w:rsidRPr="00E05016" w:rsidTr="00430435">
        <w:trPr>
          <w:trHeight w:val="3938"/>
        </w:trPr>
        <w:tc>
          <w:tcPr>
            <w:tcW w:w="5813" w:type="dxa"/>
            <w:vMerge w:val="restart"/>
          </w:tcPr>
          <w:p w:rsidR="00346A59" w:rsidRPr="00346A59" w:rsidRDefault="00346A59" w:rsidP="00346A59">
            <w:pPr>
              <w:shd w:val="clear" w:color="auto" w:fill="FFFFFF"/>
              <w:spacing w:after="225"/>
              <w:ind w:left="126" w:right="133"/>
              <w:jc w:val="both"/>
              <w:rPr>
                <w:rFonts w:ascii="Times New Roman" w:eastAsia="Times New Roman" w:hAnsi="Times New Roman" w:cs="Times New Roman"/>
                <w:color w:val="000000"/>
                <w:sz w:val="20"/>
                <w:szCs w:val="20"/>
              </w:rPr>
            </w:pPr>
            <w:r w:rsidRPr="00346A59">
              <w:rPr>
                <w:rFonts w:ascii="Times New Roman" w:eastAsia="Times New Roman" w:hAnsi="Times New Roman" w:cs="Times New Roman"/>
                <w:color w:val="000000"/>
                <w:sz w:val="20"/>
                <w:szCs w:val="20"/>
              </w:rPr>
              <w:t>3.1. НКРЕКП після отримання від ОР та</w:t>
            </w:r>
            <w:r w:rsidRPr="00346A59">
              <w:rPr>
                <w:rFonts w:ascii="Times New Roman" w:eastAsia="Times New Roman" w:hAnsi="Times New Roman" w:cs="Times New Roman"/>
                <w:b/>
                <w:color w:val="000000"/>
                <w:sz w:val="20"/>
                <w:szCs w:val="20"/>
              </w:rPr>
              <w:t>/або</w:t>
            </w:r>
            <w:r w:rsidRPr="00346A59">
              <w:rPr>
                <w:rFonts w:ascii="Times New Roman" w:eastAsia="Times New Roman" w:hAnsi="Times New Roman" w:cs="Times New Roman"/>
                <w:color w:val="000000"/>
                <w:sz w:val="20"/>
                <w:szCs w:val="20"/>
              </w:rPr>
              <w:t xml:space="preserve"> АР інформації про наявність істотного коливання цін на РДН, ВДР та</w:t>
            </w:r>
            <w:r w:rsidRPr="00346A59">
              <w:rPr>
                <w:rFonts w:ascii="Times New Roman" w:eastAsia="Times New Roman" w:hAnsi="Times New Roman" w:cs="Times New Roman"/>
                <w:b/>
                <w:color w:val="000000"/>
                <w:sz w:val="20"/>
                <w:szCs w:val="20"/>
              </w:rPr>
              <w:t>/або</w:t>
            </w:r>
            <w:r w:rsidRPr="00346A59">
              <w:rPr>
                <w:rFonts w:ascii="Times New Roman" w:eastAsia="Times New Roman" w:hAnsi="Times New Roman" w:cs="Times New Roman"/>
                <w:color w:val="000000"/>
                <w:sz w:val="20"/>
                <w:szCs w:val="20"/>
              </w:rPr>
              <w:t xml:space="preserve"> балансуючому ринку, визначеного підпунктом 2 пункту 2.1, підпунктом 2 пункту 2.2 та</w:t>
            </w:r>
            <w:r w:rsidRPr="00346A59">
              <w:rPr>
                <w:rFonts w:ascii="Times New Roman" w:eastAsia="Times New Roman" w:hAnsi="Times New Roman" w:cs="Times New Roman"/>
                <w:b/>
                <w:color w:val="000000"/>
                <w:sz w:val="20"/>
                <w:szCs w:val="20"/>
              </w:rPr>
              <w:t>/або</w:t>
            </w:r>
            <w:r w:rsidRPr="00346A59">
              <w:rPr>
                <w:rFonts w:ascii="Times New Roman" w:eastAsia="Times New Roman" w:hAnsi="Times New Roman" w:cs="Times New Roman"/>
                <w:color w:val="000000"/>
                <w:sz w:val="20"/>
                <w:szCs w:val="20"/>
              </w:rPr>
              <w:t xml:space="preserve"> підпунктом 2 пункту 2.3 глави 2 цієї Методики, у разі відсутності граничних цін встановлених НКРЕКП або за умови, що термін дії рішення НКРЕКП щодо встановлення граничних цін спливає протягом наступних 30 днів, у випадку доцільності встановлення граничних цін направляє до ОР, АР та центрального органу виконавчої влади, що забезпечує формування та реалізацію державної політики в електроенергетичному комплексі, запит на отримання пропозицій щодо встановлення граничних цін.</w:t>
            </w:r>
          </w:p>
          <w:p w:rsidR="00430435" w:rsidRPr="00346A59" w:rsidRDefault="00346A59" w:rsidP="00346A59">
            <w:pPr>
              <w:ind w:firstLine="709"/>
              <w:jc w:val="both"/>
              <w:rPr>
                <w:rFonts w:ascii="Times New Roman" w:eastAsia="Times New Roman" w:hAnsi="Times New Roman" w:cs="Times New Roman"/>
                <w:sz w:val="20"/>
                <w:szCs w:val="20"/>
              </w:rPr>
            </w:pPr>
            <w:r w:rsidRPr="00346A59">
              <w:rPr>
                <w:rFonts w:ascii="Times New Roman" w:eastAsia="Times New Roman" w:hAnsi="Times New Roman" w:cs="Times New Roman"/>
                <w:color w:val="000000"/>
                <w:sz w:val="20"/>
                <w:szCs w:val="20"/>
              </w:rPr>
              <w:t>НКРЕКП після отримання від ОР та</w:t>
            </w:r>
            <w:r w:rsidRPr="00346A59">
              <w:rPr>
                <w:rFonts w:ascii="Times New Roman" w:eastAsia="Times New Roman" w:hAnsi="Times New Roman" w:cs="Times New Roman"/>
                <w:b/>
                <w:color w:val="000000"/>
                <w:sz w:val="20"/>
                <w:szCs w:val="20"/>
              </w:rPr>
              <w:t>/або</w:t>
            </w:r>
            <w:r w:rsidRPr="00346A59">
              <w:rPr>
                <w:rFonts w:ascii="Times New Roman" w:eastAsia="Times New Roman" w:hAnsi="Times New Roman" w:cs="Times New Roman"/>
                <w:color w:val="000000"/>
                <w:sz w:val="20"/>
                <w:szCs w:val="20"/>
              </w:rPr>
              <w:t xml:space="preserve"> АР інформації про наявність істотного коливання цін на РДН, ВДР та</w:t>
            </w:r>
            <w:r w:rsidRPr="00346A59">
              <w:rPr>
                <w:rFonts w:ascii="Times New Roman" w:eastAsia="Times New Roman" w:hAnsi="Times New Roman" w:cs="Times New Roman"/>
                <w:b/>
                <w:color w:val="000000"/>
                <w:sz w:val="20"/>
                <w:szCs w:val="20"/>
              </w:rPr>
              <w:t>/або</w:t>
            </w:r>
            <w:r w:rsidRPr="00346A59">
              <w:rPr>
                <w:rFonts w:ascii="Times New Roman" w:eastAsia="Times New Roman" w:hAnsi="Times New Roman" w:cs="Times New Roman"/>
                <w:color w:val="000000"/>
                <w:sz w:val="20"/>
                <w:szCs w:val="20"/>
              </w:rPr>
              <w:t xml:space="preserve"> балансуючому ринку, визначеного підпунктом 1 пункту 2.1, підпунктом 1 пункту 2.2 та</w:t>
            </w:r>
            <w:r w:rsidRPr="00346A59">
              <w:rPr>
                <w:rFonts w:ascii="Times New Roman" w:eastAsia="Times New Roman" w:hAnsi="Times New Roman" w:cs="Times New Roman"/>
                <w:b/>
                <w:color w:val="000000"/>
                <w:sz w:val="20"/>
                <w:szCs w:val="20"/>
              </w:rPr>
              <w:t>/або</w:t>
            </w:r>
            <w:r w:rsidRPr="00346A59">
              <w:rPr>
                <w:rFonts w:ascii="Times New Roman" w:eastAsia="Times New Roman" w:hAnsi="Times New Roman" w:cs="Times New Roman"/>
                <w:color w:val="000000"/>
                <w:sz w:val="20"/>
                <w:szCs w:val="20"/>
              </w:rPr>
              <w:t xml:space="preserve"> підпунктом 1 пункту 2.3 глави 2 цієї Методики, та у випадку доцільності перегляду граничних цін направляє до ОР, АР та центрального органу виконавчої влади, що забезпечує формування та реалізацію державної політики в електроенергетичному комплексі, запит на отримання пропозицій щодо перегляду граничних цін.</w:t>
            </w:r>
          </w:p>
        </w:tc>
        <w:tc>
          <w:tcPr>
            <w:tcW w:w="6378" w:type="dxa"/>
          </w:tcPr>
          <w:p w:rsidR="00430435" w:rsidRPr="00346A59" w:rsidRDefault="00346A59" w:rsidP="00446182">
            <w:pPr>
              <w:jc w:val="center"/>
              <w:rPr>
                <w:rFonts w:ascii="Times New Roman" w:eastAsia="Times New Roman" w:hAnsi="Times New Roman" w:cs="Times New Roman"/>
                <w:b/>
                <w:bCs/>
                <w:sz w:val="20"/>
                <w:szCs w:val="20"/>
                <w:u w:val="single"/>
              </w:rPr>
            </w:pPr>
            <w:r w:rsidRPr="00346A59">
              <w:rPr>
                <w:rFonts w:ascii="Times New Roman" w:eastAsia="Times New Roman" w:hAnsi="Times New Roman" w:cs="Times New Roman"/>
                <w:b/>
                <w:bCs/>
                <w:sz w:val="20"/>
                <w:szCs w:val="20"/>
                <w:u w:val="single"/>
              </w:rPr>
              <w:t>АТ</w:t>
            </w:r>
            <w:r w:rsidR="00430435" w:rsidRPr="00346A59">
              <w:rPr>
                <w:rFonts w:ascii="Times New Roman" w:eastAsia="Times New Roman" w:hAnsi="Times New Roman" w:cs="Times New Roman"/>
                <w:b/>
                <w:bCs/>
                <w:sz w:val="20"/>
                <w:szCs w:val="20"/>
                <w:u w:val="single"/>
              </w:rPr>
              <w:t xml:space="preserve"> «</w:t>
            </w:r>
            <w:r w:rsidRPr="00346A59">
              <w:rPr>
                <w:rFonts w:ascii="Times New Roman" w:eastAsia="Times New Roman" w:hAnsi="Times New Roman" w:cs="Times New Roman"/>
                <w:b/>
                <w:bCs/>
                <w:sz w:val="20"/>
                <w:szCs w:val="20"/>
                <w:u w:val="single"/>
              </w:rPr>
              <w:t>ЕКУ</w:t>
            </w:r>
            <w:r w:rsidR="00430435" w:rsidRPr="00346A59">
              <w:rPr>
                <w:rFonts w:ascii="Times New Roman" w:eastAsia="Times New Roman" w:hAnsi="Times New Roman" w:cs="Times New Roman"/>
                <w:b/>
                <w:bCs/>
                <w:sz w:val="20"/>
                <w:szCs w:val="20"/>
                <w:u w:val="single"/>
              </w:rPr>
              <w:t>»</w:t>
            </w:r>
          </w:p>
          <w:p w:rsidR="00346A59" w:rsidRPr="00346A59" w:rsidRDefault="00346A59" w:rsidP="00346A59">
            <w:pPr>
              <w:jc w:val="both"/>
              <w:rPr>
                <w:rFonts w:ascii="Times New Roman" w:eastAsia="Times New Roman" w:hAnsi="Times New Roman" w:cs="Times New Roman"/>
                <w:b/>
                <w:sz w:val="20"/>
                <w:szCs w:val="20"/>
              </w:rPr>
            </w:pPr>
            <w:r w:rsidRPr="00346A59">
              <w:rPr>
                <w:rFonts w:ascii="Times New Roman" w:eastAsia="Times New Roman" w:hAnsi="Times New Roman" w:cs="Times New Roman"/>
                <w:bCs/>
                <w:sz w:val="20"/>
                <w:szCs w:val="20"/>
              </w:rPr>
              <w:t>3.1. НКРЕКП після отримання від ОР та/або АР інформації про наявність істотного коливання цін на РДН, ВДР та/або балансуючому ринку, визначеного підпунктом 2 пункту 2.1, підпунктом 2 пункту 2.2 та/або підпунктом 2 пункту 2.3 глави 2 цієї Методики, у разі відсутності граничних цін встановлених НКРЕКП або за умови, що термін дії рішення НКРЕКП щодо встановлення граничних цін</w:t>
            </w:r>
            <w:r w:rsidRPr="00346A59">
              <w:rPr>
                <w:rFonts w:ascii="Times New Roman" w:eastAsia="Times New Roman" w:hAnsi="Times New Roman" w:cs="Times New Roman"/>
                <w:b/>
                <w:sz w:val="20"/>
                <w:szCs w:val="20"/>
              </w:rPr>
              <w:t xml:space="preserve"> на відповідному організованому сегменті ринку</w:t>
            </w:r>
            <w:r w:rsidRPr="00346A59">
              <w:rPr>
                <w:rFonts w:ascii="Times New Roman" w:eastAsia="Times New Roman" w:hAnsi="Times New Roman" w:cs="Times New Roman"/>
                <w:bCs/>
                <w:sz w:val="20"/>
                <w:szCs w:val="20"/>
              </w:rPr>
              <w:t xml:space="preserve"> спливає протягом наступних 30 днів, у випадку доцільності встановлення граничних цін направляє до ОР, АР та центрального органу виконавчої влади, що забезпечує формування та реалізацію державної політики в електроенергетичному комплексі, запит на отримання пропозицій щодо встановлення граничних цін </w:t>
            </w:r>
            <w:r w:rsidRPr="00346A59">
              <w:rPr>
                <w:rFonts w:ascii="Times New Roman" w:eastAsia="Times New Roman" w:hAnsi="Times New Roman" w:cs="Times New Roman"/>
                <w:b/>
                <w:sz w:val="20"/>
                <w:szCs w:val="20"/>
              </w:rPr>
              <w:t>на відповідному організованому сегменті ринку.</w:t>
            </w:r>
          </w:p>
          <w:p w:rsidR="00430435" w:rsidRDefault="00346A59" w:rsidP="00346A59">
            <w:pPr>
              <w:ind w:firstLine="600"/>
              <w:jc w:val="both"/>
              <w:rPr>
                <w:rFonts w:ascii="Times New Roman" w:eastAsia="Times New Roman" w:hAnsi="Times New Roman" w:cs="Times New Roman"/>
                <w:b/>
                <w:sz w:val="20"/>
                <w:szCs w:val="20"/>
              </w:rPr>
            </w:pPr>
            <w:r w:rsidRPr="00346A59">
              <w:rPr>
                <w:rFonts w:ascii="Times New Roman" w:eastAsia="Times New Roman" w:hAnsi="Times New Roman" w:cs="Times New Roman"/>
                <w:bCs/>
                <w:sz w:val="20"/>
                <w:szCs w:val="20"/>
              </w:rPr>
              <w:t xml:space="preserve">НКРЕКП після отримання від ОР та/або АР інформації про наявність істотного коливання цін на РДН, ВДР та/або балансуючому ринку, визначеного підпунктом 1 пункту 2.1, підпунктом 1 пункту 2.2 та/або підпунктом 1 пункту 2.3 глави 2 цієї Методики, та у випадку доцільності перегляду граничних цін </w:t>
            </w:r>
            <w:r w:rsidRPr="00346A59">
              <w:rPr>
                <w:rFonts w:ascii="Times New Roman" w:eastAsia="Times New Roman" w:hAnsi="Times New Roman" w:cs="Times New Roman"/>
                <w:b/>
                <w:sz w:val="20"/>
                <w:szCs w:val="20"/>
              </w:rPr>
              <w:t>на відповідному організованому сегменті ринку,</w:t>
            </w:r>
            <w:r w:rsidRPr="00346A59">
              <w:rPr>
                <w:rFonts w:ascii="Times New Roman" w:eastAsia="Times New Roman" w:hAnsi="Times New Roman" w:cs="Times New Roman"/>
                <w:bCs/>
                <w:sz w:val="20"/>
                <w:szCs w:val="20"/>
              </w:rPr>
              <w:t xml:space="preserve"> направляє до ОР, АР та центрального органу виконавчої влади, що забезпечує формування та реалізацію державної політики в електроенергетичному комплексі, запит на отримання пропозицій щодо перегляду граничних цін </w:t>
            </w:r>
            <w:r w:rsidRPr="00346A59">
              <w:rPr>
                <w:rFonts w:ascii="Times New Roman" w:eastAsia="Times New Roman" w:hAnsi="Times New Roman" w:cs="Times New Roman"/>
                <w:b/>
                <w:sz w:val="20"/>
                <w:szCs w:val="20"/>
              </w:rPr>
              <w:t>на відповідному організованому сегменті ринку.</w:t>
            </w:r>
          </w:p>
          <w:p w:rsidR="00346A59" w:rsidRDefault="00346A59" w:rsidP="00346A59">
            <w:pPr>
              <w:ind w:firstLine="600"/>
              <w:jc w:val="both"/>
              <w:rPr>
                <w:rFonts w:ascii="Times New Roman" w:eastAsia="Times New Roman" w:hAnsi="Times New Roman" w:cs="Times New Roman"/>
                <w:sz w:val="20"/>
                <w:szCs w:val="20"/>
              </w:rPr>
            </w:pPr>
          </w:p>
          <w:p w:rsidR="00346A59" w:rsidRPr="00346A59" w:rsidRDefault="00346A59" w:rsidP="00346A59">
            <w:pPr>
              <w:ind w:firstLine="600"/>
              <w:jc w:val="both"/>
              <w:rPr>
                <w:rFonts w:ascii="Times New Roman" w:eastAsia="Times New Roman" w:hAnsi="Times New Roman" w:cs="Times New Roman"/>
                <w:i/>
                <w:sz w:val="20"/>
                <w:szCs w:val="20"/>
              </w:rPr>
            </w:pPr>
            <w:r w:rsidRPr="00346A59">
              <w:rPr>
                <w:rFonts w:ascii="Times New Roman" w:eastAsia="Times New Roman" w:hAnsi="Times New Roman" w:cs="Times New Roman"/>
                <w:bCs/>
                <w:i/>
                <w:sz w:val="20"/>
                <w:szCs w:val="20"/>
              </w:rPr>
              <w:t>Потребує конкретизації для однозначності застосування та чіткого розмежування повноважень Регулятора щодо необхідності встановлення граничних цін на</w:t>
            </w:r>
            <w:r w:rsidRPr="00346A59">
              <w:rPr>
                <w:i/>
              </w:rPr>
              <w:t xml:space="preserve"> </w:t>
            </w:r>
            <w:r w:rsidRPr="00346A59">
              <w:rPr>
                <w:rFonts w:ascii="Times New Roman" w:eastAsia="Times New Roman" w:hAnsi="Times New Roman" w:cs="Times New Roman"/>
                <w:bCs/>
                <w:i/>
                <w:sz w:val="20"/>
                <w:szCs w:val="20"/>
              </w:rPr>
              <w:t>організованих сегментах ринку, організацію функціонування яких здійснюють ОР та АР відповідно до Закону України «Про ринок електричної енергії».</w:t>
            </w:r>
          </w:p>
        </w:tc>
        <w:tc>
          <w:tcPr>
            <w:tcW w:w="2410" w:type="dxa"/>
          </w:tcPr>
          <w:p w:rsidR="00430435" w:rsidRPr="00346A59" w:rsidRDefault="00430435" w:rsidP="00446182">
            <w:pPr>
              <w:tabs>
                <w:tab w:val="left" w:pos="886"/>
              </w:tabs>
              <w:jc w:val="center"/>
              <w:rPr>
                <w:rFonts w:ascii="Times New Roman" w:eastAsia="Times New Roman" w:hAnsi="Times New Roman" w:cs="Times New Roman"/>
                <w:sz w:val="20"/>
                <w:szCs w:val="20"/>
                <w:highlight w:val="white"/>
              </w:rPr>
            </w:pPr>
            <w:r w:rsidRPr="00346A59">
              <w:rPr>
                <w:rFonts w:ascii="Times New Roman" w:eastAsia="Times New Roman" w:hAnsi="Times New Roman" w:cs="Times New Roman"/>
                <w:sz w:val="20"/>
                <w:szCs w:val="20"/>
                <w:highlight w:val="white"/>
              </w:rPr>
              <w:t>Потребує додаткового обговорення</w:t>
            </w:r>
          </w:p>
        </w:tc>
      </w:tr>
      <w:tr w:rsidR="00A0471F" w:rsidRPr="00E05016" w:rsidTr="00430435">
        <w:trPr>
          <w:trHeight w:val="3938"/>
        </w:trPr>
        <w:tc>
          <w:tcPr>
            <w:tcW w:w="5813" w:type="dxa"/>
            <w:vMerge/>
          </w:tcPr>
          <w:p w:rsidR="00A0471F" w:rsidRPr="00346A59" w:rsidRDefault="00A0471F" w:rsidP="00A0471F">
            <w:pPr>
              <w:shd w:val="clear" w:color="auto" w:fill="FFFFFF"/>
              <w:spacing w:after="225"/>
              <w:ind w:left="126" w:right="133"/>
              <w:jc w:val="both"/>
              <w:rPr>
                <w:rFonts w:ascii="Times New Roman" w:eastAsia="Times New Roman" w:hAnsi="Times New Roman" w:cs="Times New Roman"/>
                <w:color w:val="000000"/>
                <w:sz w:val="20"/>
                <w:szCs w:val="20"/>
              </w:rPr>
            </w:pPr>
          </w:p>
        </w:tc>
        <w:tc>
          <w:tcPr>
            <w:tcW w:w="6378" w:type="dxa"/>
          </w:tcPr>
          <w:p w:rsidR="00A0471F" w:rsidRPr="00E05016" w:rsidRDefault="00A0471F" w:rsidP="00A0471F">
            <w:pPr>
              <w:jc w:val="center"/>
              <w:rPr>
                <w:rFonts w:ascii="Times New Roman" w:hAnsi="Times New Roman" w:cs="Times New Roman"/>
                <w:b/>
                <w:u w:val="single"/>
              </w:rPr>
            </w:pPr>
            <w:r>
              <w:rPr>
                <w:rFonts w:ascii="Times New Roman" w:hAnsi="Times New Roman" w:cs="Times New Roman"/>
                <w:b/>
                <w:u w:val="single"/>
              </w:rPr>
              <w:t>ТОВ</w:t>
            </w:r>
            <w:r w:rsidRPr="00E05016">
              <w:rPr>
                <w:rFonts w:ascii="Times New Roman" w:hAnsi="Times New Roman" w:cs="Times New Roman"/>
                <w:b/>
                <w:u w:val="single"/>
              </w:rPr>
              <w:t xml:space="preserve"> «</w:t>
            </w:r>
            <w:r>
              <w:rPr>
                <w:rFonts w:ascii="Times New Roman" w:hAnsi="Times New Roman" w:cs="Times New Roman"/>
                <w:b/>
                <w:u w:val="single"/>
              </w:rPr>
              <w:t>ЕНЕРДЖІ 365</w:t>
            </w:r>
            <w:r w:rsidRPr="00E05016">
              <w:rPr>
                <w:rFonts w:ascii="Times New Roman" w:hAnsi="Times New Roman" w:cs="Times New Roman"/>
                <w:b/>
                <w:u w:val="single"/>
              </w:rPr>
              <w:t>»</w:t>
            </w:r>
          </w:p>
          <w:p w:rsidR="00A0471F" w:rsidRPr="0021403C" w:rsidRDefault="00A0471F" w:rsidP="00A0471F">
            <w:pPr>
              <w:jc w:val="both"/>
              <w:textAlignment w:val="baseline"/>
              <w:rPr>
                <w:rFonts w:ascii="Times New Roman" w:eastAsia="Times New Roman" w:hAnsi="Times New Roman" w:cs="Times New Roman"/>
                <w:bCs/>
                <w:i/>
                <w:sz w:val="20"/>
                <w:szCs w:val="20"/>
              </w:rPr>
            </w:pPr>
            <w:r w:rsidRPr="0021403C">
              <w:rPr>
                <w:rFonts w:ascii="Times New Roman" w:eastAsia="Times New Roman" w:hAnsi="Times New Roman" w:cs="Times New Roman"/>
                <w:bCs/>
                <w:i/>
                <w:sz w:val="20"/>
                <w:szCs w:val="20"/>
              </w:rPr>
              <w:t xml:space="preserve"> Згідно Оцінки Секретаріатом Енергетичного Співтовариства Постанови НКРЕКП № 1126 від 27 червня 2023 року щодо встановлення граничних цін на ринку на добу вперед, внутрішньодобовому ринку та балансуючому ринку, Секретаріат рекомендував НКРЕКП, зокрема:</w:t>
            </w:r>
          </w:p>
          <w:p w:rsidR="00A0471F" w:rsidRPr="0021403C" w:rsidRDefault="00A0471F" w:rsidP="00A0471F">
            <w:pPr>
              <w:pStyle w:val="a7"/>
              <w:numPr>
                <w:ilvl w:val="0"/>
                <w:numId w:val="4"/>
              </w:numPr>
              <w:ind w:left="30" w:firstLine="283"/>
              <w:contextualSpacing w:val="0"/>
              <w:jc w:val="both"/>
              <w:textAlignment w:val="baseline"/>
              <w:rPr>
                <w:rFonts w:ascii="Times New Roman" w:eastAsia="Times New Roman" w:hAnsi="Times New Roman" w:cs="Times New Roman"/>
                <w:bCs/>
                <w:i/>
                <w:sz w:val="20"/>
                <w:szCs w:val="20"/>
              </w:rPr>
            </w:pPr>
            <w:r w:rsidRPr="0021403C">
              <w:rPr>
                <w:rFonts w:ascii="Times New Roman" w:eastAsia="Times New Roman" w:hAnsi="Times New Roman" w:cs="Times New Roman"/>
                <w:bCs/>
                <w:i/>
                <w:sz w:val="20"/>
                <w:szCs w:val="20"/>
              </w:rPr>
              <w:t xml:space="preserve">Зберегти НКРЕКП свою незалежність у процесі прийняття рішень відповідно до </w:t>
            </w:r>
            <w:proofErr w:type="spellStart"/>
            <w:r w:rsidRPr="0021403C">
              <w:rPr>
                <w:rFonts w:ascii="Times New Roman" w:eastAsia="Times New Roman" w:hAnsi="Times New Roman" w:cs="Times New Roman"/>
                <w:bCs/>
                <w:i/>
                <w:sz w:val="20"/>
                <w:szCs w:val="20"/>
              </w:rPr>
              <w:t>acquis</w:t>
            </w:r>
            <w:proofErr w:type="spellEnd"/>
            <w:r w:rsidRPr="0021403C">
              <w:rPr>
                <w:rFonts w:ascii="Times New Roman" w:eastAsia="Times New Roman" w:hAnsi="Times New Roman" w:cs="Times New Roman"/>
                <w:bCs/>
                <w:i/>
                <w:sz w:val="20"/>
                <w:szCs w:val="20"/>
              </w:rPr>
              <w:t xml:space="preserve"> Енергетичного Співтовариства та законодавства України. Звернення до Міністерства чи інших державних чи приватних органів щодо «пропозицій щодо рівнів обмеження цін» порушує вимоги </w:t>
            </w:r>
            <w:proofErr w:type="spellStart"/>
            <w:r w:rsidRPr="0021403C">
              <w:rPr>
                <w:rFonts w:ascii="Times New Roman" w:eastAsia="Times New Roman" w:hAnsi="Times New Roman" w:cs="Times New Roman"/>
                <w:bCs/>
                <w:i/>
                <w:sz w:val="20"/>
                <w:szCs w:val="20"/>
              </w:rPr>
              <w:t>acquis</w:t>
            </w:r>
            <w:proofErr w:type="spellEnd"/>
            <w:r w:rsidRPr="0021403C">
              <w:rPr>
                <w:rFonts w:ascii="Times New Roman" w:eastAsia="Times New Roman" w:hAnsi="Times New Roman" w:cs="Times New Roman"/>
                <w:bCs/>
                <w:i/>
                <w:sz w:val="20"/>
                <w:szCs w:val="20"/>
              </w:rPr>
              <w:t xml:space="preserve"> щодо незалежності регуляторного органу. Крім того, слід підвищити прозорість, зокрема шляхом обґрунтування запропонованих цифр, включаючи внесок зацікавлених сторін, з якими проводилися консультації.</w:t>
            </w:r>
          </w:p>
          <w:p w:rsidR="00A0471F" w:rsidRPr="0021403C" w:rsidRDefault="00A0471F" w:rsidP="00A0471F">
            <w:pPr>
              <w:pStyle w:val="a7"/>
              <w:numPr>
                <w:ilvl w:val="0"/>
                <w:numId w:val="4"/>
              </w:numPr>
              <w:ind w:left="30" w:firstLine="283"/>
              <w:contextualSpacing w:val="0"/>
              <w:jc w:val="both"/>
              <w:rPr>
                <w:rFonts w:ascii="Times New Roman" w:eastAsia="Times New Roman" w:hAnsi="Times New Roman" w:cs="Times New Roman"/>
                <w:bCs/>
                <w:i/>
                <w:sz w:val="20"/>
                <w:szCs w:val="20"/>
              </w:rPr>
            </w:pPr>
            <w:r w:rsidRPr="0021403C">
              <w:rPr>
                <w:rFonts w:ascii="Times New Roman" w:eastAsia="Times New Roman" w:hAnsi="Times New Roman" w:cs="Times New Roman"/>
                <w:bCs/>
                <w:i/>
                <w:sz w:val="20"/>
                <w:szCs w:val="20"/>
              </w:rPr>
              <w:t>Включити автоматичний механізм для коригування граничних цін на основі прозорої методології та включаючи заздалегідь визначений і достатньо тривалий час для фактичної заявки після її оголошення.</w:t>
            </w:r>
          </w:p>
          <w:p w:rsidR="00A0471F" w:rsidRPr="0021403C" w:rsidRDefault="00A0471F" w:rsidP="00A0471F">
            <w:pPr>
              <w:jc w:val="both"/>
              <w:rPr>
                <w:rFonts w:ascii="Times New Roman" w:eastAsia="Times New Roman" w:hAnsi="Times New Roman" w:cs="Times New Roman"/>
                <w:bCs/>
                <w:i/>
                <w:sz w:val="20"/>
                <w:szCs w:val="20"/>
              </w:rPr>
            </w:pPr>
          </w:p>
          <w:p w:rsidR="00A0471F" w:rsidRPr="00E05016" w:rsidRDefault="00A0471F" w:rsidP="00A0471F">
            <w:pPr>
              <w:jc w:val="both"/>
              <w:rPr>
                <w:rFonts w:ascii="Times New Roman" w:eastAsia="Times New Roman" w:hAnsi="Times New Roman" w:cs="Times New Roman"/>
                <w:b/>
                <w:bCs/>
              </w:rPr>
            </w:pPr>
            <w:r w:rsidRPr="0021403C">
              <w:rPr>
                <w:rFonts w:ascii="Times New Roman" w:eastAsia="Times New Roman" w:hAnsi="Times New Roman" w:cs="Times New Roman"/>
                <w:bCs/>
                <w:i/>
                <w:sz w:val="20"/>
                <w:szCs w:val="20"/>
              </w:rPr>
              <w:t>Просимо врахувати відповідні рекомендації при прийнятті змін до Методики.</w:t>
            </w:r>
          </w:p>
        </w:tc>
        <w:tc>
          <w:tcPr>
            <w:tcW w:w="2410" w:type="dxa"/>
          </w:tcPr>
          <w:p w:rsidR="00A0471F" w:rsidRPr="00346A59" w:rsidRDefault="00A0471F" w:rsidP="00A0471F">
            <w:pPr>
              <w:tabs>
                <w:tab w:val="left" w:pos="886"/>
              </w:tabs>
              <w:jc w:val="center"/>
              <w:rPr>
                <w:rFonts w:ascii="Times New Roman" w:eastAsia="Times New Roman" w:hAnsi="Times New Roman" w:cs="Times New Roman"/>
                <w:sz w:val="20"/>
                <w:szCs w:val="20"/>
                <w:highlight w:val="white"/>
              </w:rPr>
            </w:pPr>
            <w:r w:rsidRPr="00346A59">
              <w:rPr>
                <w:rFonts w:ascii="Times New Roman" w:eastAsia="Times New Roman" w:hAnsi="Times New Roman" w:cs="Times New Roman"/>
                <w:sz w:val="20"/>
                <w:szCs w:val="20"/>
                <w:highlight w:val="white"/>
              </w:rPr>
              <w:t>Потребує додаткового обговорення</w:t>
            </w:r>
          </w:p>
        </w:tc>
      </w:tr>
      <w:tr w:rsidR="00A0471F" w:rsidRPr="00E05016" w:rsidTr="00484E71">
        <w:tc>
          <w:tcPr>
            <w:tcW w:w="5813" w:type="dxa"/>
            <w:vMerge/>
          </w:tcPr>
          <w:p w:rsidR="00A0471F" w:rsidRPr="00430435" w:rsidRDefault="00A0471F" w:rsidP="00A0471F">
            <w:pPr>
              <w:ind w:firstLine="709"/>
              <w:jc w:val="both"/>
              <w:rPr>
                <w:rFonts w:ascii="Times New Roman" w:eastAsia="Times New Roman" w:hAnsi="Times New Roman" w:cs="Times New Roman"/>
              </w:rPr>
            </w:pPr>
          </w:p>
        </w:tc>
        <w:tc>
          <w:tcPr>
            <w:tcW w:w="6378" w:type="dxa"/>
          </w:tcPr>
          <w:p w:rsidR="00A0471F" w:rsidRPr="0026387B" w:rsidRDefault="00A0471F" w:rsidP="00A0471F">
            <w:pPr>
              <w:jc w:val="center"/>
              <w:rPr>
                <w:rFonts w:ascii="Times New Roman" w:eastAsia="Times New Roman" w:hAnsi="Times New Roman" w:cs="Times New Roman"/>
                <w:b/>
                <w:bCs/>
                <w:u w:val="single"/>
              </w:rPr>
            </w:pPr>
            <w:r w:rsidRPr="0026387B">
              <w:rPr>
                <w:rFonts w:ascii="Times New Roman" w:eastAsia="Times New Roman" w:hAnsi="Times New Roman" w:cs="Times New Roman"/>
                <w:b/>
                <w:bCs/>
                <w:u w:val="single"/>
              </w:rPr>
              <w:t>ТОВ «Д.ТРЕЙДІНГ»</w:t>
            </w:r>
          </w:p>
          <w:p w:rsidR="00A0471F" w:rsidRDefault="00A0471F" w:rsidP="00A0471F">
            <w:pPr>
              <w:jc w:val="both"/>
              <w:rPr>
                <w:rFonts w:ascii="Times New Roman" w:eastAsia="Times New Roman" w:hAnsi="Times New Roman" w:cs="Times New Roman"/>
                <w:b/>
                <w:bCs/>
              </w:rPr>
            </w:pPr>
          </w:p>
          <w:p w:rsidR="00A0471F" w:rsidRPr="0026387B" w:rsidRDefault="00A0471F" w:rsidP="00A0471F">
            <w:pPr>
              <w:jc w:val="both"/>
              <w:rPr>
                <w:rFonts w:ascii="Times New Roman" w:eastAsia="Times New Roman" w:hAnsi="Times New Roman" w:cs="Times New Roman"/>
                <w:bCs/>
                <w:sz w:val="20"/>
                <w:szCs w:val="20"/>
              </w:rPr>
            </w:pPr>
            <w:r w:rsidRPr="0026387B">
              <w:rPr>
                <w:rFonts w:ascii="Times New Roman" w:eastAsia="Times New Roman" w:hAnsi="Times New Roman" w:cs="Times New Roman"/>
                <w:bCs/>
                <w:sz w:val="20"/>
                <w:szCs w:val="20"/>
              </w:rPr>
              <w:t>3.1. НКРЕКП після отримання від ОР інформації про наявність істотного коливання цін на РДН, ВДР, визначеного підпунктом 2 пункту 2.1, підпунктом 2 пункту 2.2 цієї Методики, у разі відсутності граничних цін встановлених НКРЕКП на РДН, ВДР або за умови, що термін дії рішення НКРЕКП щодо встановлення таких граничних цін спливає протягом наступних 30 днів, у випадку доцільності встановлення граничних цін направляє до ОР та центрального органу виконавчої влади, що забезпечує формування та реалізацію державної політики в електроенергетичному комплексі, запит на отримання пропозицій щодо встановлення граничних цін на РДН, ВДР.</w:t>
            </w:r>
          </w:p>
          <w:p w:rsidR="00A0471F" w:rsidRPr="00E554F2" w:rsidRDefault="00A0471F" w:rsidP="00A0471F">
            <w:pPr>
              <w:jc w:val="both"/>
              <w:rPr>
                <w:rFonts w:ascii="Times New Roman" w:eastAsia="Times New Roman" w:hAnsi="Times New Roman" w:cs="Times New Roman"/>
                <w:b/>
                <w:bCs/>
                <w:sz w:val="20"/>
                <w:szCs w:val="20"/>
              </w:rPr>
            </w:pPr>
            <w:r w:rsidRPr="00E554F2">
              <w:rPr>
                <w:rFonts w:ascii="Times New Roman" w:eastAsia="Times New Roman" w:hAnsi="Times New Roman" w:cs="Times New Roman"/>
                <w:b/>
                <w:bCs/>
                <w:sz w:val="20"/>
                <w:szCs w:val="20"/>
              </w:rPr>
              <w:t>НКРЕКП після отримання від АР інформації про наявність істотного коливання цін на балансуючому ринку, визначеного підпунктом 2 пункту 2.3 глави 2 цієї Методики, у разі відсутності граничних цін встановлених НКРЕКП на балансуючому ринку або за умови, що термін дії рішення НКРЕКП щодо встановлення таких граничних цін спливає протягом наступних 30 днів, у випадку доцільності встановлення граничних цін направляє до АР та центрального органу виконавчої влади, що забезпечує формування та реалізацію державної політики в електроенергетичному комплексі, запит на отримання пропозицій щодо встановлення граничних цін.</w:t>
            </w:r>
          </w:p>
          <w:p w:rsidR="00A0471F" w:rsidRPr="0026387B" w:rsidRDefault="00A0471F" w:rsidP="00A0471F">
            <w:pPr>
              <w:jc w:val="both"/>
              <w:rPr>
                <w:rFonts w:ascii="Times New Roman" w:eastAsia="Times New Roman" w:hAnsi="Times New Roman" w:cs="Times New Roman"/>
                <w:bCs/>
                <w:sz w:val="20"/>
                <w:szCs w:val="20"/>
              </w:rPr>
            </w:pPr>
            <w:r w:rsidRPr="0026387B">
              <w:rPr>
                <w:rFonts w:ascii="Times New Roman" w:eastAsia="Times New Roman" w:hAnsi="Times New Roman" w:cs="Times New Roman"/>
                <w:bCs/>
                <w:sz w:val="20"/>
                <w:szCs w:val="20"/>
              </w:rPr>
              <w:t xml:space="preserve">НКРЕКП після отримання від ОР інформації про наявність істотного коливання цін на РДН, ВДР, визначеного підпунктом 1 пункту 2.1, підпунктом 1 пункту 2.2 цієї Методики, та у випадку доцільності </w:t>
            </w:r>
            <w:r w:rsidRPr="0026387B">
              <w:rPr>
                <w:rFonts w:ascii="Times New Roman" w:eastAsia="Times New Roman" w:hAnsi="Times New Roman" w:cs="Times New Roman"/>
                <w:bCs/>
                <w:sz w:val="20"/>
                <w:szCs w:val="20"/>
              </w:rPr>
              <w:lastRenderedPageBreak/>
              <w:t>перегляду граничних цін направляє до ОР та центрального органу виконавчої влади, що забезпечує формування та реалізацію державної політики в електроенергетичному комплексі, запит на отримання пропозицій щодо перегляду граничних цін.</w:t>
            </w:r>
          </w:p>
          <w:p w:rsidR="00A0471F" w:rsidRPr="00E554F2" w:rsidRDefault="00A0471F" w:rsidP="00A0471F">
            <w:pPr>
              <w:jc w:val="both"/>
              <w:rPr>
                <w:rFonts w:ascii="Times New Roman" w:eastAsia="Times New Roman" w:hAnsi="Times New Roman" w:cs="Times New Roman"/>
                <w:b/>
                <w:bCs/>
                <w:sz w:val="20"/>
                <w:szCs w:val="20"/>
              </w:rPr>
            </w:pPr>
            <w:r w:rsidRPr="00E554F2">
              <w:rPr>
                <w:rFonts w:ascii="Times New Roman" w:eastAsia="Times New Roman" w:hAnsi="Times New Roman" w:cs="Times New Roman"/>
                <w:b/>
                <w:bCs/>
                <w:sz w:val="20"/>
                <w:szCs w:val="20"/>
              </w:rPr>
              <w:t>НКРЕКП після отримання від АР інформації про наявність істотного коливання цін на балансуючому ринку, визначеного підпунктом 1 пункту 2.3 глави 2 цієї Методики, та у випадку доцільності перегляду граничних цін направляє до АР та центрального органу виконавчої влади, що забезпечує формування та реалізацію державної політики в електроенергетичному комплексі, запит на отримання пропозицій щодо перегляду граничних цін.</w:t>
            </w:r>
          </w:p>
          <w:p w:rsidR="00A0471F" w:rsidRDefault="00A0471F" w:rsidP="00A0471F">
            <w:pPr>
              <w:jc w:val="both"/>
              <w:rPr>
                <w:rFonts w:ascii="Times New Roman" w:eastAsia="Times New Roman" w:hAnsi="Times New Roman" w:cs="Times New Roman"/>
                <w:b/>
                <w:bCs/>
              </w:rPr>
            </w:pPr>
            <w:bookmarkStart w:id="0" w:name="_GoBack"/>
            <w:bookmarkEnd w:id="0"/>
          </w:p>
          <w:p w:rsidR="00A0471F" w:rsidRPr="0026387B" w:rsidRDefault="00A0471F" w:rsidP="00A0471F">
            <w:pPr>
              <w:ind w:firstLine="459"/>
              <w:jc w:val="both"/>
              <w:rPr>
                <w:rFonts w:ascii="Times New Roman" w:eastAsia="Times New Roman" w:hAnsi="Times New Roman" w:cs="Times New Roman"/>
                <w:bCs/>
                <w:i/>
                <w:sz w:val="20"/>
                <w:szCs w:val="20"/>
              </w:rPr>
            </w:pPr>
            <w:r w:rsidRPr="0026387B">
              <w:rPr>
                <w:rFonts w:ascii="Times New Roman" w:eastAsia="Times New Roman" w:hAnsi="Times New Roman" w:cs="Times New Roman"/>
                <w:bCs/>
                <w:i/>
                <w:sz w:val="20"/>
                <w:szCs w:val="20"/>
              </w:rPr>
              <w:t>Пропонуємо для однозначності трактування положень Методики визначення істотного коливання цін та встановлення граничних цін на ринку «на добу наперед», внутрішньодобовому ринку та балансуючому ринку передбачити більш чіткий алгоритму перегляду або встановлення граничних цін на РДН, ВДР або балансуючому ринку за умови наявності відповідно істотного коливання на відповідному сегменті ринку електричної енергії.</w:t>
            </w:r>
          </w:p>
          <w:p w:rsidR="00A0471F" w:rsidRPr="0026387B" w:rsidRDefault="00A0471F" w:rsidP="00A0471F">
            <w:pPr>
              <w:ind w:firstLine="459"/>
              <w:jc w:val="both"/>
              <w:rPr>
                <w:rFonts w:ascii="Times New Roman" w:eastAsia="Times New Roman" w:hAnsi="Times New Roman" w:cs="Times New Roman"/>
                <w:bCs/>
                <w:i/>
                <w:sz w:val="20"/>
                <w:szCs w:val="20"/>
              </w:rPr>
            </w:pPr>
            <w:r w:rsidRPr="0026387B">
              <w:rPr>
                <w:rFonts w:ascii="Times New Roman" w:eastAsia="Times New Roman" w:hAnsi="Times New Roman" w:cs="Times New Roman"/>
                <w:bCs/>
                <w:i/>
                <w:sz w:val="20"/>
                <w:szCs w:val="20"/>
              </w:rPr>
              <w:t xml:space="preserve">В запропонованих змінах НКРЕКП залишає </w:t>
            </w:r>
            <w:proofErr w:type="spellStart"/>
            <w:r w:rsidRPr="0026387B">
              <w:rPr>
                <w:rFonts w:ascii="Times New Roman" w:eastAsia="Times New Roman" w:hAnsi="Times New Roman" w:cs="Times New Roman"/>
                <w:bCs/>
                <w:i/>
                <w:sz w:val="20"/>
                <w:szCs w:val="20"/>
              </w:rPr>
              <w:t>дискрецію</w:t>
            </w:r>
            <w:proofErr w:type="spellEnd"/>
            <w:r w:rsidRPr="0026387B">
              <w:rPr>
                <w:rFonts w:ascii="Times New Roman" w:eastAsia="Times New Roman" w:hAnsi="Times New Roman" w:cs="Times New Roman"/>
                <w:bCs/>
                <w:i/>
                <w:sz w:val="20"/>
                <w:szCs w:val="20"/>
              </w:rPr>
              <w:t xml:space="preserve"> при здійсненні своїх повноважень щодо початку процедури перегляду або встановлення граничних цін на РДН та ВДР або балансуючому ринку.</w:t>
            </w:r>
          </w:p>
          <w:p w:rsidR="00A0471F" w:rsidRPr="0026387B" w:rsidRDefault="00A0471F" w:rsidP="00A0471F">
            <w:pPr>
              <w:ind w:firstLine="459"/>
              <w:jc w:val="both"/>
              <w:rPr>
                <w:rFonts w:ascii="Times New Roman" w:eastAsia="Times New Roman" w:hAnsi="Times New Roman" w:cs="Times New Roman"/>
                <w:bCs/>
                <w:i/>
                <w:sz w:val="20"/>
                <w:szCs w:val="20"/>
              </w:rPr>
            </w:pPr>
            <w:r w:rsidRPr="0026387B">
              <w:rPr>
                <w:rFonts w:ascii="Times New Roman" w:eastAsia="Times New Roman" w:hAnsi="Times New Roman" w:cs="Times New Roman"/>
                <w:bCs/>
                <w:i/>
                <w:sz w:val="20"/>
                <w:szCs w:val="20"/>
              </w:rPr>
              <w:t>Відсутні чіткі критерії при наявності істотного коливання цін на яких саме сегментах ринку (РДН, ВДР, балансуючому ринку) НКРЕКП розпочне процедуру встановлення або перегляду граничних цін. При умові наявності істотного коливання цін всіх трьох сегментах ринку на РДН, ВДР та балансуючому ринку або при умові  наявності істотного коливання цін окремо  на РДН, ВДР та на балансуючому ринку.</w:t>
            </w:r>
          </w:p>
          <w:p w:rsidR="00A0471F" w:rsidRPr="00E05016" w:rsidRDefault="00A0471F" w:rsidP="00A0471F">
            <w:pPr>
              <w:ind w:firstLine="459"/>
              <w:jc w:val="both"/>
              <w:rPr>
                <w:rFonts w:ascii="Times New Roman" w:eastAsia="Times New Roman" w:hAnsi="Times New Roman" w:cs="Times New Roman"/>
                <w:b/>
                <w:bCs/>
              </w:rPr>
            </w:pPr>
            <w:r w:rsidRPr="0026387B">
              <w:rPr>
                <w:rFonts w:ascii="Times New Roman" w:eastAsia="Times New Roman" w:hAnsi="Times New Roman" w:cs="Times New Roman"/>
                <w:bCs/>
                <w:i/>
                <w:sz w:val="20"/>
                <w:szCs w:val="20"/>
              </w:rPr>
              <w:t xml:space="preserve">Враховуючи викладене, та з огляду, що нормативно-правовий акт повинен бути чітким, зрозумілим, послідовним та мати </w:t>
            </w:r>
            <w:proofErr w:type="spellStart"/>
            <w:r w:rsidRPr="0026387B">
              <w:rPr>
                <w:rFonts w:ascii="Times New Roman" w:eastAsia="Times New Roman" w:hAnsi="Times New Roman" w:cs="Times New Roman"/>
                <w:bCs/>
                <w:i/>
                <w:sz w:val="20"/>
                <w:szCs w:val="20"/>
              </w:rPr>
              <w:t>логічно</w:t>
            </w:r>
            <w:proofErr w:type="spellEnd"/>
            <w:r w:rsidRPr="0026387B">
              <w:rPr>
                <w:rFonts w:ascii="Times New Roman" w:eastAsia="Times New Roman" w:hAnsi="Times New Roman" w:cs="Times New Roman"/>
                <w:bCs/>
                <w:i/>
                <w:sz w:val="20"/>
                <w:szCs w:val="20"/>
              </w:rPr>
              <w:t xml:space="preserve"> побудовану структуру викласти пункт 3.1 в редакції запропонованій Товариством</w:t>
            </w:r>
            <w:r>
              <w:rPr>
                <w:rFonts w:ascii="Times New Roman" w:eastAsia="Times New Roman" w:hAnsi="Times New Roman" w:cs="Times New Roman"/>
                <w:color w:val="000000"/>
                <w:sz w:val="24"/>
                <w:szCs w:val="24"/>
              </w:rPr>
              <w:t>.</w:t>
            </w:r>
          </w:p>
        </w:tc>
        <w:tc>
          <w:tcPr>
            <w:tcW w:w="2410" w:type="dxa"/>
          </w:tcPr>
          <w:p w:rsidR="00A0471F" w:rsidRPr="00346A59" w:rsidRDefault="00A0471F" w:rsidP="00A0471F">
            <w:pPr>
              <w:tabs>
                <w:tab w:val="left" w:pos="886"/>
              </w:tabs>
              <w:jc w:val="center"/>
              <w:rPr>
                <w:rFonts w:ascii="Times New Roman" w:eastAsia="Times New Roman" w:hAnsi="Times New Roman" w:cs="Times New Roman"/>
                <w:sz w:val="20"/>
                <w:szCs w:val="20"/>
                <w:highlight w:val="white"/>
              </w:rPr>
            </w:pPr>
            <w:r w:rsidRPr="00346A59">
              <w:rPr>
                <w:rFonts w:ascii="Times New Roman" w:eastAsia="Times New Roman" w:hAnsi="Times New Roman" w:cs="Times New Roman"/>
                <w:sz w:val="20"/>
                <w:szCs w:val="20"/>
                <w:highlight w:val="white"/>
              </w:rPr>
              <w:lastRenderedPageBreak/>
              <w:t>Потребує додаткового обговорення</w:t>
            </w:r>
          </w:p>
        </w:tc>
      </w:tr>
    </w:tbl>
    <w:p w:rsidR="001F03CF" w:rsidRPr="00E05016" w:rsidRDefault="001F03CF">
      <w:pPr>
        <w:spacing w:after="0" w:line="240" w:lineRule="auto"/>
        <w:rPr>
          <w:rFonts w:ascii="Times New Roman" w:eastAsia="Times New Roman" w:hAnsi="Times New Roman" w:cs="Times New Roman"/>
          <w:color w:val="000000"/>
        </w:rPr>
      </w:pPr>
    </w:p>
    <w:sectPr w:rsidR="001F03CF" w:rsidRPr="00E05016">
      <w:pgSz w:w="15840" w:h="12240" w:orient="landscape"/>
      <w:pgMar w:top="284" w:right="1381" w:bottom="1134"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D3C18"/>
    <w:multiLevelType w:val="multilevel"/>
    <w:tmpl w:val="2E9EF3D6"/>
    <w:lvl w:ilvl="0">
      <w:start w:val="1"/>
      <w:numFmt w:val="decimal"/>
      <w:pStyle w:val="Heading1application"/>
      <w:lvlText w:val="%1."/>
      <w:lvlJc w:val="left"/>
      <w:pPr>
        <w:tabs>
          <w:tab w:val="num" w:pos="720"/>
        </w:tabs>
        <w:ind w:left="720" w:hanging="720"/>
      </w:pPr>
    </w:lvl>
    <w:lvl w:ilvl="1">
      <w:start w:val="1"/>
      <w:numFmt w:val="decimal"/>
      <w:pStyle w:val="Heading2application"/>
      <w:lvlText w:val="%2."/>
      <w:lvlJc w:val="left"/>
      <w:pPr>
        <w:tabs>
          <w:tab w:val="num" w:pos="1440"/>
        </w:tabs>
        <w:ind w:left="1440" w:hanging="720"/>
      </w:pPr>
    </w:lvl>
    <w:lvl w:ilvl="2">
      <w:start w:val="1"/>
      <w:numFmt w:val="decimal"/>
      <w:pStyle w:val="Normalapplication"/>
      <w:lvlText w:val="%3."/>
      <w:lvlJc w:val="left"/>
      <w:pPr>
        <w:tabs>
          <w:tab w:val="num" w:pos="2160"/>
        </w:tabs>
        <w:ind w:left="2160" w:hanging="720"/>
      </w:pPr>
    </w:lvl>
    <w:lvl w:ilvl="3">
      <w:start w:val="1"/>
      <w:numFmt w:val="decimal"/>
      <w:pStyle w:val="Normalnumberingapplication"/>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DB162D4"/>
    <w:multiLevelType w:val="hybridMultilevel"/>
    <w:tmpl w:val="440879BA"/>
    <w:lvl w:ilvl="0" w:tplc="C02CD8CA">
      <w:start w:val="3"/>
      <w:numFmt w:val="bullet"/>
      <w:lvlText w:val="-"/>
      <w:lvlJc w:val="left"/>
      <w:pPr>
        <w:ind w:left="720" w:hanging="360"/>
      </w:pPr>
      <w:rPr>
        <w:rFonts w:ascii="Calibri" w:eastAsia="Times New Roman"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3CF"/>
    <w:rsid w:val="0000590A"/>
    <w:rsid w:val="0000652A"/>
    <w:rsid w:val="000970F3"/>
    <w:rsid w:val="001148E5"/>
    <w:rsid w:val="00116A30"/>
    <w:rsid w:val="001C7A62"/>
    <w:rsid w:val="001D4E22"/>
    <w:rsid w:val="001F03CF"/>
    <w:rsid w:val="0021403C"/>
    <w:rsid w:val="0026387B"/>
    <w:rsid w:val="002A4D2B"/>
    <w:rsid w:val="002B5A54"/>
    <w:rsid w:val="002E51D8"/>
    <w:rsid w:val="00302A34"/>
    <w:rsid w:val="00346A59"/>
    <w:rsid w:val="003A03FB"/>
    <w:rsid w:val="0041379E"/>
    <w:rsid w:val="00426156"/>
    <w:rsid w:val="00426645"/>
    <w:rsid w:val="00430435"/>
    <w:rsid w:val="00434ED1"/>
    <w:rsid w:val="00446182"/>
    <w:rsid w:val="004A5947"/>
    <w:rsid w:val="004F52ED"/>
    <w:rsid w:val="0053104E"/>
    <w:rsid w:val="005C20F0"/>
    <w:rsid w:val="005C2A47"/>
    <w:rsid w:val="006133F9"/>
    <w:rsid w:val="00657908"/>
    <w:rsid w:val="006814ED"/>
    <w:rsid w:val="007B35F9"/>
    <w:rsid w:val="007E2194"/>
    <w:rsid w:val="00813D8F"/>
    <w:rsid w:val="0084406F"/>
    <w:rsid w:val="00897676"/>
    <w:rsid w:val="008E4C90"/>
    <w:rsid w:val="008F7B03"/>
    <w:rsid w:val="009728BA"/>
    <w:rsid w:val="00994B21"/>
    <w:rsid w:val="009A1DAC"/>
    <w:rsid w:val="009B2DBB"/>
    <w:rsid w:val="009F654A"/>
    <w:rsid w:val="00A0471F"/>
    <w:rsid w:val="00A710E0"/>
    <w:rsid w:val="00AE5064"/>
    <w:rsid w:val="00BD08EF"/>
    <w:rsid w:val="00C36913"/>
    <w:rsid w:val="00C640A4"/>
    <w:rsid w:val="00C65D2C"/>
    <w:rsid w:val="00CB7D92"/>
    <w:rsid w:val="00D25E7B"/>
    <w:rsid w:val="00D916D1"/>
    <w:rsid w:val="00D923A6"/>
    <w:rsid w:val="00D96D29"/>
    <w:rsid w:val="00DE3CD4"/>
    <w:rsid w:val="00E05016"/>
    <w:rsid w:val="00E554F2"/>
    <w:rsid w:val="00E61FBF"/>
    <w:rsid w:val="00F4595B"/>
    <w:rsid w:val="00F85AC1"/>
    <w:rsid w:val="00FA5D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FE644"/>
  <w15:docId w15:val="{8737047A-18DB-4F61-A040-CA686382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2BE2"/>
  </w:style>
  <w:style w:type="paragraph" w:styleId="1">
    <w:name w:val="heading 1"/>
    <w:basedOn w:val="a"/>
    <w:next w:val="a"/>
    <w:link w:val="10"/>
    <w:uiPriority w:val="9"/>
    <w:qFormat/>
    <w:rsid w:val="00ED6F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D6F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E53DB0"/>
    <w:pPr>
      <w:keepNext/>
      <w:keepLines/>
      <w:spacing w:before="480" w:after="120"/>
    </w:pPr>
    <w:rPr>
      <w:b/>
      <w:sz w:val="72"/>
      <w:szCs w:val="72"/>
    </w:rPr>
  </w:style>
  <w:style w:type="table" w:styleId="a5">
    <w:name w:val="Table Grid"/>
    <w:basedOn w:val="a1"/>
    <w:uiPriority w:val="39"/>
    <w:rsid w:val="00ED6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ED6F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ED6F3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rmal (Web)"/>
    <w:basedOn w:val="a"/>
    <w:semiHidden/>
    <w:unhideWhenUsed/>
    <w:rsid w:val="00ED6F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numberingapplication">
    <w:name w:val="Normal numbering application"/>
    <w:basedOn w:val="a"/>
    <w:rsid w:val="00ED6F38"/>
    <w:pPr>
      <w:widowControl w:val="0"/>
      <w:numPr>
        <w:ilvl w:val="3"/>
        <w:numId w:val="1"/>
      </w:numPr>
      <w:spacing w:before="240" w:after="240" w:line="240" w:lineRule="auto"/>
      <w:ind w:left="0"/>
      <w:jc w:val="both"/>
      <w:outlineLvl w:val="2"/>
    </w:pPr>
    <w:rPr>
      <w:rFonts w:ascii="Times New Roman" w:hAnsi="Times New Roman" w:cs="Helvetica"/>
      <w:sz w:val="28"/>
      <w:szCs w:val="24"/>
    </w:rPr>
  </w:style>
  <w:style w:type="paragraph" w:customStyle="1" w:styleId="Heading2application">
    <w:name w:val="Heading 2 application"/>
    <w:basedOn w:val="2"/>
    <w:qFormat/>
    <w:rsid w:val="00ED6F38"/>
    <w:pPr>
      <w:widowControl w:val="0"/>
      <w:numPr>
        <w:ilvl w:val="1"/>
        <w:numId w:val="1"/>
      </w:numPr>
      <w:tabs>
        <w:tab w:val="clear" w:pos="1440"/>
        <w:tab w:val="num" w:pos="360"/>
        <w:tab w:val="left" w:pos="1418"/>
      </w:tabs>
      <w:spacing w:before="120" w:after="120" w:line="240" w:lineRule="auto"/>
      <w:ind w:left="7240"/>
      <w:jc w:val="center"/>
    </w:pPr>
    <w:rPr>
      <w:rFonts w:ascii="Times New Roman" w:eastAsia="Calibri" w:hAnsi="Times New Roman" w:cs="Times New Roman"/>
      <w:b/>
      <w:color w:val="000000"/>
      <w:sz w:val="28"/>
    </w:rPr>
  </w:style>
  <w:style w:type="paragraph" w:customStyle="1" w:styleId="Heading1application">
    <w:name w:val="Heading 1 application"/>
    <w:basedOn w:val="1"/>
    <w:qFormat/>
    <w:rsid w:val="00ED6F38"/>
    <w:pPr>
      <w:widowControl w:val="0"/>
      <w:numPr>
        <w:numId w:val="1"/>
      </w:numPr>
      <w:tabs>
        <w:tab w:val="num" w:pos="360"/>
      </w:tabs>
      <w:spacing w:before="120" w:after="120" w:line="240" w:lineRule="auto"/>
      <w:ind w:left="450" w:hanging="450"/>
      <w:jc w:val="center"/>
    </w:pPr>
    <w:rPr>
      <w:rFonts w:ascii="Times New Roman" w:eastAsia="Calibri" w:hAnsi="Times New Roman" w:cs="Helvetica"/>
      <w:b/>
      <w:color w:val="000000"/>
      <w:sz w:val="28"/>
    </w:rPr>
  </w:style>
  <w:style w:type="paragraph" w:customStyle="1" w:styleId="Normalapplication">
    <w:name w:val="Normal application"/>
    <w:basedOn w:val="a"/>
    <w:qFormat/>
    <w:rsid w:val="00ED6F38"/>
    <w:pPr>
      <w:widowControl w:val="0"/>
      <w:numPr>
        <w:ilvl w:val="2"/>
        <w:numId w:val="1"/>
      </w:numPr>
      <w:tabs>
        <w:tab w:val="left" w:pos="1701"/>
      </w:tabs>
      <w:spacing w:before="120" w:after="120" w:line="240" w:lineRule="auto"/>
      <w:jc w:val="both"/>
      <w:outlineLvl w:val="2"/>
    </w:pPr>
    <w:rPr>
      <w:rFonts w:ascii="Times New Roman" w:hAnsi="Times New Roman" w:cs="Helvetica"/>
      <w:sz w:val="28"/>
      <w:szCs w:val="24"/>
    </w:rPr>
  </w:style>
  <w:style w:type="numbering" w:customStyle="1" w:styleId="newnumberingapplications">
    <w:name w:val="new numbering applications"/>
    <w:rsid w:val="00ED6F38"/>
  </w:style>
  <w:style w:type="character" w:customStyle="1" w:styleId="st42">
    <w:name w:val="st42"/>
    <w:uiPriority w:val="99"/>
    <w:rsid w:val="00ED6F38"/>
    <w:rPr>
      <w:color w:val="000000"/>
    </w:rPr>
  </w:style>
  <w:style w:type="character" w:customStyle="1" w:styleId="20">
    <w:name w:val="Заголовок 2 Знак"/>
    <w:basedOn w:val="a0"/>
    <w:link w:val="2"/>
    <w:uiPriority w:val="9"/>
    <w:semiHidden/>
    <w:rsid w:val="00ED6F38"/>
    <w:rPr>
      <w:rFonts w:asciiTheme="majorHAnsi" w:eastAsiaTheme="majorEastAsia" w:hAnsiTheme="majorHAnsi" w:cstheme="majorBidi"/>
      <w:color w:val="2E74B5" w:themeColor="accent1" w:themeShade="BF"/>
      <w:sz w:val="26"/>
      <w:szCs w:val="26"/>
      <w:lang w:val="uk-UA"/>
    </w:rPr>
  </w:style>
  <w:style w:type="character" w:customStyle="1" w:styleId="10">
    <w:name w:val="Заголовок 1 Знак"/>
    <w:basedOn w:val="a0"/>
    <w:link w:val="1"/>
    <w:uiPriority w:val="9"/>
    <w:rsid w:val="00ED6F38"/>
    <w:rPr>
      <w:rFonts w:asciiTheme="majorHAnsi" w:eastAsiaTheme="majorEastAsia" w:hAnsiTheme="majorHAnsi" w:cstheme="majorBidi"/>
      <w:color w:val="2E74B5" w:themeColor="accent1" w:themeShade="BF"/>
      <w:sz w:val="32"/>
      <w:szCs w:val="32"/>
      <w:lang w:val="uk-UA"/>
    </w:rPr>
  </w:style>
  <w:style w:type="paragraph" w:customStyle="1" w:styleId="Default">
    <w:name w:val="Default"/>
    <w:rsid w:val="00FC5CA8"/>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rvts0">
    <w:name w:val="rvts0"/>
    <w:basedOn w:val="a0"/>
    <w:rsid w:val="00FC5CA8"/>
  </w:style>
  <w:style w:type="paragraph" w:styleId="a7">
    <w:name w:val="List Paragraph"/>
    <w:basedOn w:val="a"/>
    <w:qFormat/>
    <w:rsid w:val="00B65B21"/>
    <w:pPr>
      <w:ind w:left="720"/>
      <w:contextualSpacing/>
    </w:pPr>
  </w:style>
  <w:style w:type="paragraph" w:styleId="a8">
    <w:name w:val="Body Text"/>
    <w:basedOn w:val="a"/>
    <w:link w:val="a9"/>
    <w:uiPriority w:val="99"/>
    <w:unhideWhenUsed/>
    <w:rsid w:val="008000C6"/>
    <w:pPr>
      <w:spacing w:after="120"/>
    </w:pPr>
  </w:style>
  <w:style w:type="character" w:customStyle="1" w:styleId="a9">
    <w:name w:val="Основний текст Знак"/>
    <w:basedOn w:val="a0"/>
    <w:link w:val="a8"/>
    <w:uiPriority w:val="99"/>
    <w:rsid w:val="008000C6"/>
    <w:rPr>
      <w:lang w:val="uk-UA"/>
    </w:rPr>
  </w:style>
  <w:style w:type="paragraph" w:styleId="aa">
    <w:name w:val="footer"/>
    <w:basedOn w:val="a"/>
    <w:link w:val="ab"/>
    <w:uiPriority w:val="99"/>
    <w:unhideWhenUsed/>
    <w:rsid w:val="008000C6"/>
    <w:pPr>
      <w:tabs>
        <w:tab w:val="center" w:pos="4677"/>
        <w:tab w:val="right" w:pos="9355"/>
      </w:tabs>
      <w:spacing w:after="0" w:line="240" w:lineRule="auto"/>
    </w:pPr>
  </w:style>
  <w:style w:type="character" w:customStyle="1" w:styleId="ab">
    <w:name w:val="Нижній колонтитул Знак"/>
    <w:basedOn w:val="a0"/>
    <w:link w:val="aa"/>
    <w:uiPriority w:val="99"/>
    <w:rsid w:val="008000C6"/>
    <w:rPr>
      <w:lang w:val="uk-UA"/>
    </w:rPr>
  </w:style>
  <w:style w:type="paragraph" w:customStyle="1" w:styleId="Normalnumbering">
    <w:name w:val="Normal numbering"/>
    <w:basedOn w:val="a"/>
    <w:uiPriority w:val="99"/>
    <w:rsid w:val="007043B2"/>
    <w:pPr>
      <w:widowControl w:val="0"/>
      <w:tabs>
        <w:tab w:val="num" w:pos="2211"/>
      </w:tabs>
      <w:spacing w:before="120" w:after="120" w:line="240" w:lineRule="auto"/>
      <w:ind w:firstLine="851"/>
      <w:jc w:val="both"/>
      <w:outlineLvl w:val="0"/>
    </w:pPr>
    <w:rPr>
      <w:rFonts w:ascii="Times New Roman" w:hAnsi="Times New Roman" w:cs="Times New Roman"/>
      <w:sz w:val="28"/>
      <w:szCs w:val="28"/>
      <w:lang w:val="ru-RU" w:eastAsia="ru-RU"/>
    </w:rPr>
  </w:style>
  <w:style w:type="paragraph" w:customStyle="1" w:styleId="ac">
    <w:name w:val="Обычный буквенный список"/>
    <w:basedOn w:val="a"/>
    <w:link w:val="ad"/>
    <w:uiPriority w:val="99"/>
    <w:rsid w:val="007043B2"/>
    <w:pPr>
      <w:widowControl w:val="0"/>
      <w:tabs>
        <w:tab w:val="left" w:pos="1701"/>
      </w:tabs>
      <w:spacing w:after="0" w:line="240" w:lineRule="auto"/>
      <w:ind w:firstLine="851"/>
      <w:jc w:val="both"/>
      <w:outlineLvl w:val="2"/>
    </w:pPr>
    <w:rPr>
      <w:rFonts w:ascii="Times New Roman" w:hAnsi="Times New Roman" w:cs="Times New Roman"/>
      <w:sz w:val="28"/>
      <w:szCs w:val="28"/>
      <w:lang w:val="ru-RU" w:eastAsia="ru-RU"/>
    </w:rPr>
  </w:style>
  <w:style w:type="character" w:customStyle="1" w:styleId="ad">
    <w:name w:val="Обычный буквенный список Знак"/>
    <w:link w:val="ac"/>
    <w:uiPriority w:val="99"/>
    <w:locked/>
    <w:rsid w:val="007043B2"/>
    <w:rPr>
      <w:rFonts w:ascii="Times New Roman" w:eastAsia="Calibri" w:hAnsi="Times New Roman" w:cs="Times New Roman"/>
      <w:sz w:val="28"/>
      <w:szCs w:val="28"/>
      <w:lang w:val="ru-RU" w:eastAsia="ru-RU"/>
    </w:rPr>
  </w:style>
  <w:style w:type="numbering" w:customStyle="1" w:styleId="newnumbering">
    <w:name w:val="new numbering"/>
    <w:rsid w:val="007043B2"/>
  </w:style>
  <w:style w:type="paragraph" w:styleId="ae">
    <w:name w:val="Body Text Indent"/>
    <w:basedOn w:val="a"/>
    <w:link w:val="af"/>
    <w:uiPriority w:val="99"/>
    <w:unhideWhenUsed/>
    <w:rsid w:val="007043B2"/>
    <w:pPr>
      <w:spacing w:after="120"/>
      <w:ind w:left="283"/>
    </w:pPr>
  </w:style>
  <w:style w:type="character" w:customStyle="1" w:styleId="af">
    <w:name w:val="Основний текст з відступом Знак"/>
    <w:basedOn w:val="a0"/>
    <w:link w:val="ae"/>
    <w:uiPriority w:val="99"/>
    <w:rsid w:val="007043B2"/>
    <w:rPr>
      <w:lang w:val="uk-UA"/>
    </w:rPr>
  </w:style>
  <w:style w:type="character" w:styleId="af0">
    <w:name w:val="Hyperlink"/>
    <w:basedOn w:val="a0"/>
    <w:uiPriority w:val="99"/>
    <w:semiHidden/>
    <w:unhideWhenUsed/>
    <w:rsid w:val="005C0E37"/>
    <w:rPr>
      <w:color w:val="0000FF"/>
      <w:u w:val="single"/>
    </w:rPr>
  </w:style>
  <w:style w:type="character" w:customStyle="1" w:styleId="rvts46">
    <w:name w:val="rvts46"/>
    <w:basedOn w:val="a0"/>
    <w:rsid w:val="008E6B67"/>
  </w:style>
  <w:style w:type="paragraph" w:customStyle="1" w:styleId="rvps14">
    <w:name w:val="rvps14"/>
    <w:basedOn w:val="a"/>
    <w:rsid w:val="00EF52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A42D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A42DAC"/>
  </w:style>
  <w:style w:type="character" w:customStyle="1" w:styleId="rvts11">
    <w:name w:val="rvts11"/>
    <w:basedOn w:val="a0"/>
    <w:rsid w:val="00A42DAC"/>
  </w:style>
  <w:style w:type="character" w:customStyle="1" w:styleId="rvts9">
    <w:name w:val="rvts9"/>
    <w:basedOn w:val="a0"/>
    <w:rsid w:val="004519FE"/>
  </w:style>
  <w:style w:type="character" w:customStyle="1" w:styleId="rvts40">
    <w:name w:val="rvts40"/>
    <w:basedOn w:val="a0"/>
    <w:rsid w:val="004519FE"/>
  </w:style>
  <w:style w:type="character" w:customStyle="1" w:styleId="rvts37">
    <w:name w:val="rvts37"/>
    <w:basedOn w:val="a0"/>
    <w:rsid w:val="00445989"/>
  </w:style>
  <w:style w:type="paragraph" w:customStyle="1" w:styleId="tj">
    <w:name w:val="tj"/>
    <w:basedOn w:val="a"/>
    <w:rsid w:val="00E469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469E8"/>
  </w:style>
  <w:style w:type="character" w:customStyle="1" w:styleId="a4">
    <w:name w:val="Назва Знак"/>
    <w:basedOn w:val="a0"/>
    <w:link w:val="a3"/>
    <w:uiPriority w:val="10"/>
    <w:rsid w:val="00E53DB0"/>
    <w:rPr>
      <w:rFonts w:ascii="Calibri" w:eastAsia="Calibri" w:hAnsi="Calibri" w:cs="Calibri"/>
      <w:b/>
      <w:sz w:val="72"/>
      <w:szCs w:val="72"/>
      <w:lang w:val="uk-UA" w:eastAsia="uk-UA"/>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top w:w="15" w:type="dxa"/>
        <w:left w:w="15" w:type="dxa"/>
        <w:bottom w:w="15" w:type="dxa"/>
        <w:right w:w="15" w:type="dxa"/>
      </w:tblCellMar>
    </w:tblPr>
  </w:style>
  <w:style w:type="table" w:customStyle="1" w:styleId="af4">
    <w:basedOn w:val="TableNormal"/>
    <w:tblPr>
      <w:tblStyleRowBandSize w:val="1"/>
      <w:tblStyleColBandSize w:val="1"/>
      <w:tblCellMar>
        <w:top w:w="15" w:type="dxa"/>
        <w:left w:w="15" w:type="dxa"/>
        <w:bottom w:w="15" w:type="dxa"/>
        <w:right w:w="15" w:type="dxa"/>
      </w:tblCellMar>
    </w:tblPr>
  </w:style>
  <w:style w:type="table" w:customStyle="1" w:styleId="af5">
    <w:basedOn w:val="TableNormal"/>
    <w:tblPr>
      <w:tblStyleRowBandSize w:val="1"/>
      <w:tblStyleColBandSize w:val="1"/>
      <w:tblCellMar>
        <w:top w:w="15" w:type="dxa"/>
        <w:left w:w="15" w:type="dxa"/>
        <w:bottom w:w="15" w:type="dxa"/>
        <w:right w:w="15" w:type="dxa"/>
      </w:tblCellMar>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CellMar>
        <w:top w:w="15" w:type="dxa"/>
        <w:left w:w="15" w:type="dxa"/>
        <w:bottom w:w="15" w:type="dxa"/>
        <w:right w:w="15" w:type="dxa"/>
      </w:tblCellMar>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CellMar>
        <w:top w:w="15" w:type="dxa"/>
        <w:left w:w="15" w:type="dxa"/>
        <w:bottom w:w="15" w:type="dxa"/>
        <w:right w:w="15" w:type="dxa"/>
      </w:tblCellMar>
    </w:tblPr>
  </w:style>
  <w:style w:type="table" w:customStyle="1" w:styleId="afa">
    <w:basedOn w:val="TableNormal"/>
    <w:tblPr>
      <w:tblStyleRowBandSize w:val="1"/>
      <w:tblStyleColBandSize w:val="1"/>
      <w:tblCellMar>
        <w:top w:w="15" w:type="dxa"/>
        <w:left w:w="15" w:type="dxa"/>
        <w:bottom w:w="15" w:type="dxa"/>
        <w:right w:w="15" w:type="dxa"/>
      </w:tblCellMar>
    </w:tblPr>
  </w:style>
  <w:style w:type="table" w:customStyle="1" w:styleId="afb">
    <w:basedOn w:val="TableNormal"/>
    <w:tblPr>
      <w:tblStyleRowBandSize w:val="1"/>
      <w:tblStyleColBandSize w:val="1"/>
      <w:tblCellMar>
        <w:top w:w="15" w:type="dxa"/>
        <w:left w:w="15" w:type="dxa"/>
        <w:bottom w:w="15" w:type="dxa"/>
        <w:right w:w="15" w:type="dxa"/>
      </w:tblCellMar>
    </w:tblPr>
  </w:style>
  <w:style w:type="paragraph" w:customStyle="1" w:styleId="tr">
    <w:name w:val="tr"/>
    <w:basedOn w:val="a"/>
    <w:rsid w:val="001D4E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c">
    <w:name w:val="tc"/>
    <w:basedOn w:val="a"/>
    <w:rsid w:val="001D4E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l">
    <w:name w:val="tl"/>
    <w:basedOn w:val="a"/>
    <w:rsid w:val="001D4E2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1862">
      <w:bodyDiv w:val="1"/>
      <w:marLeft w:val="0"/>
      <w:marRight w:val="0"/>
      <w:marTop w:val="0"/>
      <w:marBottom w:val="0"/>
      <w:divBdr>
        <w:top w:val="none" w:sz="0" w:space="0" w:color="auto"/>
        <w:left w:val="none" w:sz="0" w:space="0" w:color="auto"/>
        <w:bottom w:val="none" w:sz="0" w:space="0" w:color="auto"/>
        <w:right w:val="none" w:sz="0" w:space="0" w:color="auto"/>
      </w:divBdr>
      <w:divsChild>
        <w:div w:id="1162544285">
          <w:marLeft w:val="0"/>
          <w:marRight w:val="0"/>
          <w:marTop w:val="0"/>
          <w:marBottom w:val="0"/>
          <w:divBdr>
            <w:top w:val="none" w:sz="0" w:space="0" w:color="auto"/>
            <w:left w:val="none" w:sz="0" w:space="0" w:color="auto"/>
            <w:bottom w:val="none" w:sz="0" w:space="0" w:color="auto"/>
            <w:right w:val="none" w:sz="0" w:space="0" w:color="auto"/>
          </w:divBdr>
        </w:div>
        <w:div w:id="804929115">
          <w:marLeft w:val="0"/>
          <w:marRight w:val="0"/>
          <w:marTop w:val="0"/>
          <w:marBottom w:val="0"/>
          <w:divBdr>
            <w:top w:val="none" w:sz="0" w:space="0" w:color="auto"/>
            <w:left w:val="none" w:sz="0" w:space="0" w:color="auto"/>
            <w:bottom w:val="none" w:sz="0" w:space="0" w:color="auto"/>
            <w:right w:val="none" w:sz="0" w:space="0" w:color="auto"/>
          </w:divBdr>
          <w:divsChild>
            <w:div w:id="862549982">
              <w:marLeft w:val="0"/>
              <w:marRight w:val="0"/>
              <w:marTop w:val="0"/>
              <w:marBottom w:val="150"/>
              <w:divBdr>
                <w:top w:val="none" w:sz="0" w:space="0" w:color="auto"/>
                <w:left w:val="none" w:sz="0" w:space="0" w:color="auto"/>
                <w:bottom w:val="none" w:sz="0" w:space="0" w:color="auto"/>
                <w:right w:val="none" w:sz="0" w:space="0" w:color="auto"/>
              </w:divBdr>
            </w:div>
          </w:divsChild>
        </w:div>
        <w:div w:id="1042821702">
          <w:marLeft w:val="0"/>
          <w:marRight w:val="0"/>
          <w:marTop w:val="0"/>
          <w:marBottom w:val="0"/>
          <w:divBdr>
            <w:top w:val="none" w:sz="0" w:space="0" w:color="auto"/>
            <w:left w:val="none" w:sz="0" w:space="0" w:color="auto"/>
            <w:bottom w:val="none" w:sz="0" w:space="0" w:color="auto"/>
            <w:right w:val="none" w:sz="0" w:space="0" w:color="auto"/>
          </w:divBdr>
        </w:div>
        <w:div w:id="995494875">
          <w:marLeft w:val="0"/>
          <w:marRight w:val="0"/>
          <w:marTop w:val="0"/>
          <w:marBottom w:val="0"/>
          <w:divBdr>
            <w:top w:val="none" w:sz="0" w:space="0" w:color="auto"/>
            <w:left w:val="none" w:sz="0" w:space="0" w:color="auto"/>
            <w:bottom w:val="none" w:sz="0" w:space="0" w:color="auto"/>
            <w:right w:val="none" w:sz="0" w:space="0" w:color="auto"/>
          </w:divBdr>
        </w:div>
        <w:div w:id="1456750355">
          <w:marLeft w:val="0"/>
          <w:marRight w:val="0"/>
          <w:marTop w:val="0"/>
          <w:marBottom w:val="0"/>
          <w:divBdr>
            <w:top w:val="none" w:sz="0" w:space="0" w:color="auto"/>
            <w:left w:val="none" w:sz="0" w:space="0" w:color="auto"/>
            <w:bottom w:val="none" w:sz="0" w:space="0" w:color="auto"/>
            <w:right w:val="none" w:sz="0" w:space="0" w:color="auto"/>
          </w:divBdr>
        </w:div>
        <w:div w:id="1167864427">
          <w:marLeft w:val="0"/>
          <w:marRight w:val="0"/>
          <w:marTop w:val="0"/>
          <w:marBottom w:val="0"/>
          <w:divBdr>
            <w:top w:val="none" w:sz="0" w:space="0" w:color="auto"/>
            <w:left w:val="none" w:sz="0" w:space="0" w:color="auto"/>
            <w:bottom w:val="none" w:sz="0" w:space="0" w:color="auto"/>
            <w:right w:val="none" w:sz="0" w:space="0" w:color="auto"/>
          </w:divBdr>
        </w:div>
        <w:div w:id="1443112953">
          <w:marLeft w:val="0"/>
          <w:marRight w:val="0"/>
          <w:marTop w:val="0"/>
          <w:marBottom w:val="0"/>
          <w:divBdr>
            <w:top w:val="none" w:sz="0" w:space="0" w:color="auto"/>
            <w:left w:val="none" w:sz="0" w:space="0" w:color="auto"/>
            <w:bottom w:val="none" w:sz="0" w:space="0" w:color="auto"/>
            <w:right w:val="none" w:sz="0" w:space="0" w:color="auto"/>
          </w:divBdr>
        </w:div>
        <w:div w:id="834539650">
          <w:marLeft w:val="0"/>
          <w:marRight w:val="0"/>
          <w:marTop w:val="0"/>
          <w:marBottom w:val="0"/>
          <w:divBdr>
            <w:top w:val="none" w:sz="0" w:space="0" w:color="auto"/>
            <w:left w:val="none" w:sz="0" w:space="0" w:color="auto"/>
            <w:bottom w:val="none" w:sz="0" w:space="0" w:color="auto"/>
            <w:right w:val="none" w:sz="0" w:space="0" w:color="auto"/>
          </w:divBdr>
          <w:divsChild>
            <w:div w:id="1447306304">
              <w:marLeft w:val="0"/>
              <w:marRight w:val="0"/>
              <w:marTop w:val="0"/>
              <w:marBottom w:val="150"/>
              <w:divBdr>
                <w:top w:val="none" w:sz="0" w:space="0" w:color="auto"/>
                <w:left w:val="none" w:sz="0" w:space="0" w:color="auto"/>
                <w:bottom w:val="none" w:sz="0" w:space="0" w:color="auto"/>
                <w:right w:val="none" w:sz="0" w:space="0" w:color="auto"/>
              </w:divBdr>
            </w:div>
          </w:divsChild>
        </w:div>
        <w:div w:id="1485586811">
          <w:marLeft w:val="0"/>
          <w:marRight w:val="0"/>
          <w:marTop w:val="0"/>
          <w:marBottom w:val="0"/>
          <w:divBdr>
            <w:top w:val="none" w:sz="0" w:space="0" w:color="auto"/>
            <w:left w:val="none" w:sz="0" w:space="0" w:color="auto"/>
            <w:bottom w:val="none" w:sz="0" w:space="0" w:color="auto"/>
            <w:right w:val="none" w:sz="0" w:space="0" w:color="auto"/>
          </w:divBdr>
        </w:div>
        <w:div w:id="1043942803">
          <w:marLeft w:val="0"/>
          <w:marRight w:val="0"/>
          <w:marTop w:val="0"/>
          <w:marBottom w:val="0"/>
          <w:divBdr>
            <w:top w:val="none" w:sz="0" w:space="0" w:color="auto"/>
            <w:left w:val="none" w:sz="0" w:space="0" w:color="auto"/>
            <w:bottom w:val="none" w:sz="0" w:space="0" w:color="auto"/>
            <w:right w:val="none" w:sz="0" w:space="0" w:color="auto"/>
          </w:divBdr>
          <w:divsChild>
            <w:div w:id="873465855">
              <w:marLeft w:val="0"/>
              <w:marRight w:val="0"/>
              <w:marTop w:val="0"/>
              <w:marBottom w:val="150"/>
              <w:divBdr>
                <w:top w:val="none" w:sz="0" w:space="0" w:color="auto"/>
                <w:left w:val="none" w:sz="0" w:space="0" w:color="auto"/>
                <w:bottom w:val="none" w:sz="0" w:space="0" w:color="auto"/>
                <w:right w:val="none" w:sz="0" w:space="0" w:color="auto"/>
              </w:divBdr>
            </w:div>
          </w:divsChild>
        </w:div>
        <w:div w:id="623998563">
          <w:marLeft w:val="0"/>
          <w:marRight w:val="0"/>
          <w:marTop w:val="0"/>
          <w:marBottom w:val="0"/>
          <w:divBdr>
            <w:top w:val="none" w:sz="0" w:space="0" w:color="auto"/>
            <w:left w:val="none" w:sz="0" w:space="0" w:color="auto"/>
            <w:bottom w:val="none" w:sz="0" w:space="0" w:color="auto"/>
            <w:right w:val="none" w:sz="0" w:space="0" w:color="auto"/>
          </w:divBdr>
        </w:div>
        <w:div w:id="1806701202">
          <w:marLeft w:val="0"/>
          <w:marRight w:val="0"/>
          <w:marTop w:val="0"/>
          <w:marBottom w:val="0"/>
          <w:divBdr>
            <w:top w:val="none" w:sz="0" w:space="0" w:color="auto"/>
            <w:left w:val="none" w:sz="0" w:space="0" w:color="auto"/>
            <w:bottom w:val="none" w:sz="0" w:space="0" w:color="auto"/>
            <w:right w:val="none" w:sz="0" w:space="0" w:color="auto"/>
          </w:divBdr>
        </w:div>
      </w:divsChild>
    </w:div>
    <w:div w:id="133373421">
      <w:bodyDiv w:val="1"/>
      <w:marLeft w:val="0"/>
      <w:marRight w:val="0"/>
      <w:marTop w:val="0"/>
      <w:marBottom w:val="0"/>
      <w:divBdr>
        <w:top w:val="none" w:sz="0" w:space="0" w:color="auto"/>
        <w:left w:val="none" w:sz="0" w:space="0" w:color="auto"/>
        <w:bottom w:val="none" w:sz="0" w:space="0" w:color="auto"/>
        <w:right w:val="none" w:sz="0" w:space="0" w:color="auto"/>
      </w:divBdr>
      <w:divsChild>
        <w:div w:id="583995365">
          <w:marLeft w:val="0"/>
          <w:marRight w:val="0"/>
          <w:marTop w:val="0"/>
          <w:marBottom w:val="0"/>
          <w:divBdr>
            <w:top w:val="none" w:sz="0" w:space="0" w:color="auto"/>
            <w:left w:val="none" w:sz="0" w:space="0" w:color="auto"/>
            <w:bottom w:val="none" w:sz="0" w:space="0" w:color="auto"/>
            <w:right w:val="none" w:sz="0" w:space="0" w:color="auto"/>
          </w:divBdr>
        </w:div>
        <w:div w:id="1840272929">
          <w:marLeft w:val="0"/>
          <w:marRight w:val="0"/>
          <w:marTop w:val="0"/>
          <w:marBottom w:val="0"/>
          <w:divBdr>
            <w:top w:val="none" w:sz="0" w:space="0" w:color="auto"/>
            <w:left w:val="none" w:sz="0" w:space="0" w:color="auto"/>
            <w:bottom w:val="none" w:sz="0" w:space="0" w:color="auto"/>
            <w:right w:val="none" w:sz="0" w:space="0" w:color="auto"/>
          </w:divBdr>
        </w:div>
        <w:div w:id="1584559523">
          <w:marLeft w:val="0"/>
          <w:marRight w:val="0"/>
          <w:marTop w:val="0"/>
          <w:marBottom w:val="0"/>
          <w:divBdr>
            <w:top w:val="none" w:sz="0" w:space="0" w:color="auto"/>
            <w:left w:val="none" w:sz="0" w:space="0" w:color="auto"/>
            <w:bottom w:val="none" w:sz="0" w:space="0" w:color="auto"/>
            <w:right w:val="none" w:sz="0" w:space="0" w:color="auto"/>
          </w:divBdr>
        </w:div>
      </w:divsChild>
    </w:div>
    <w:div w:id="1564484057">
      <w:bodyDiv w:val="1"/>
      <w:marLeft w:val="0"/>
      <w:marRight w:val="0"/>
      <w:marTop w:val="0"/>
      <w:marBottom w:val="0"/>
      <w:divBdr>
        <w:top w:val="none" w:sz="0" w:space="0" w:color="auto"/>
        <w:left w:val="none" w:sz="0" w:space="0" w:color="auto"/>
        <w:bottom w:val="none" w:sz="0" w:space="0" w:color="auto"/>
        <w:right w:val="none" w:sz="0" w:space="0" w:color="auto"/>
      </w:divBdr>
    </w:div>
    <w:div w:id="1927030314">
      <w:bodyDiv w:val="1"/>
      <w:marLeft w:val="0"/>
      <w:marRight w:val="0"/>
      <w:marTop w:val="0"/>
      <w:marBottom w:val="0"/>
      <w:divBdr>
        <w:top w:val="none" w:sz="0" w:space="0" w:color="auto"/>
        <w:left w:val="none" w:sz="0" w:space="0" w:color="auto"/>
        <w:bottom w:val="none" w:sz="0" w:space="0" w:color="auto"/>
        <w:right w:val="none" w:sz="0" w:space="0" w:color="auto"/>
      </w:divBdr>
      <w:divsChild>
        <w:div w:id="709233220">
          <w:marLeft w:val="0"/>
          <w:marRight w:val="0"/>
          <w:marTop w:val="0"/>
          <w:marBottom w:val="0"/>
          <w:divBdr>
            <w:top w:val="none" w:sz="0" w:space="0" w:color="auto"/>
            <w:left w:val="none" w:sz="0" w:space="0" w:color="auto"/>
            <w:bottom w:val="none" w:sz="0" w:space="0" w:color="auto"/>
            <w:right w:val="none" w:sz="0" w:space="0" w:color="auto"/>
          </w:divBdr>
        </w:div>
        <w:div w:id="15928160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N9MKwWTgvnHymBR1fOFFy06cDg==">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1155</Words>
  <Characters>6585</Characters>
  <Application>Microsoft Office Word</Application>
  <DocSecurity>0</DocSecurity>
  <Lines>54</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Olexandr Gavva</dc:creator>
  <cp:lastModifiedBy>Оксана Литвин</cp:lastModifiedBy>
  <cp:revision>15</cp:revision>
  <dcterms:created xsi:type="dcterms:W3CDTF">2023-10-09T07:37:00Z</dcterms:created>
  <dcterms:modified xsi:type="dcterms:W3CDTF">2024-02-26T07:27:00Z</dcterms:modified>
</cp:coreProperties>
</file>