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01F" w:rsidRPr="009A2480" w:rsidRDefault="0062201F" w:rsidP="00E37B97">
      <w:pPr>
        <w:spacing w:after="0"/>
        <w:jc w:val="center"/>
        <w:rPr>
          <w:b/>
          <w:bCs/>
          <w:sz w:val="28"/>
          <w:szCs w:val="28"/>
          <w:lang w:val="uk-UA"/>
        </w:rPr>
      </w:pPr>
      <w:r w:rsidRPr="009A2480">
        <w:rPr>
          <w:b/>
          <w:bCs/>
          <w:sz w:val="28"/>
          <w:szCs w:val="28"/>
          <w:lang w:val="uk-UA"/>
        </w:rPr>
        <w:t>Узагальнені зауваження та пропозиції до проєкту рішення НКРЕКП, що має ознаки регуляторного акта, –</w:t>
      </w:r>
    </w:p>
    <w:p w:rsidR="007E194E" w:rsidRPr="009A2480" w:rsidRDefault="0062201F" w:rsidP="00E37B97">
      <w:pPr>
        <w:spacing w:after="0"/>
        <w:jc w:val="center"/>
        <w:rPr>
          <w:b/>
          <w:bCs/>
          <w:sz w:val="28"/>
          <w:szCs w:val="28"/>
          <w:lang w:val="uk-UA"/>
        </w:rPr>
      </w:pPr>
      <w:r w:rsidRPr="009A2480">
        <w:rPr>
          <w:b/>
          <w:bCs/>
          <w:sz w:val="28"/>
          <w:szCs w:val="28"/>
          <w:lang w:val="uk-UA"/>
        </w:rPr>
        <w:t>проєкту постанови НКРЕКП «</w:t>
      </w:r>
      <w:r w:rsidR="00F116DB" w:rsidRPr="009A2480">
        <w:rPr>
          <w:b/>
          <w:bCs/>
          <w:sz w:val="28"/>
          <w:szCs w:val="28"/>
          <w:lang w:val="uk-UA"/>
        </w:rPr>
        <w:t>Про затвердження Змін до Порядку формування цін на універсальні послуги</w:t>
      </w:r>
      <w:r w:rsidRPr="009A2480">
        <w:rPr>
          <w:b/>
          <w:bCs/>
          <w:sz w:val="28"/>
          <w:szCs w:val="28"/>
          <w:lang w:val="uk-UA"/>
        </w:rPr>
        <w:t>»</w:t>
      </w:r>
    </w:p>
    <w:p w:rsidR="0062201F" w:rsidRPr="009A2480" w:rsidRDefault="0062201F" w:rsidP="0062201F">
      <w:pPr>
        <w:jc w:val="center"/>
        <w:rPr>
          <w:lang w:val="uk-UA"/>
        </w:rPr>
      </w:pPr>
    </w:p>
    <w:tbl>
      <w:tblPr>
        <w:tblStyle w:val="a7"/>
        <w:tblW w:w="15163" w:type="dxa"/>
        <w:tblLayout w:type="fixed"/>
        <w:tblLook w:val="04A0" w:firstRow="1" w:lastRow="0" w:firstColumn="1" w:lastColumn="0" w:noHBand="0" w:noVBand="1"/>
      </w:tblPr>
      <w:tblGrid>
        <w:gridCol w:w="5524"/>
        <w:gridCol w:w="5032"/>
        <w:gridCol w:w="4607"/>
      </w:tblGrid>
      <w:tr w:rsidR="0062201F" w:rsidRPr="00A31AE9" w:rsidTr="007F6054">
        <w:tc>
          <w:tcPr>
            <w:tcW w:w="5524" w:type="dxa"/>
            <w:vAlign w:val="center"/>
          </w:tcPr>
          <w:p w:rsidR="0062201F" w:rsidRPr="009A2480" w:rsidRDefault="0062201F" w:rsidP="0061187E">
            <w:pPr>
              <w:spacing w:after="0"/>
              <w:jc w:val="center"/>
              <w:rPr>
                <w:lang w:val="uk-UA"/>
              </w:rPr>
            </w:pPr>
            <w:r w:rsidRPr="009A2480">
              <w:rPr>
                <w:b/>
                <w:lang w:val="uk-UA"/>
              </w:rPr>
              <w:t>Редакція проєкту рішення НКРЕКП</w:t>
            </w:r>
          </w:p>
        </w:tc>
        <w:tc>
          <w:tcPr>
            <w:tcW w:w="5032" w:type="dxa"/>
            <w:vAlign w:val="center"/>
          </w:tcPr>
          <w:p w:rsidR="0062201F" w:rsidRPr="009A2480" w:rsidRDefault="0062201F" w:rsidP="0061187E">
            <w:pPr>
              <w:spacing w:after="0"/>
              <w:jc w:val="center"/>
              <w:rPr>
                <w:b/>
                <w:lang w:val="uk-UA"/>
              </w:rPr>
            </w:pPr>
            <w:r w:rsidRPr="009A2480">
              <w:rPr>
                <w:b/>
                <w:lang w:val="uk-UA"/>
              </w:rPr>
              <w:t>Зауваження та пропозиції</w:t>
            </w:r>
          </w:p>
          <w:p w:rsidR="0062201F" w:rsidRPr="009A2480" w:rsidRDefault="0062201F" w:rsidP="0061187E">
            <w:pPr>
              <w:spacing w:after="0"/>
              <w:jc w:val="center"/>
              <w:rPr>
                <w:lang w:val="uk-UA"/>
              </w:rPr>
            </w:pPr>
            <w:r w:rsidRPr="009A2480">
              <w:rPr>
                <w:b/>
                <w:lang w:val="uk-UA"/>
              </w:rPr>
              <w:t>до проєкту рішення НКРЕКП</w:t>
            </w:r>
          </w:p>
        </w:tc>
        <w:tc>
          <w:tcPr>
            <w:tcW w:w="4607" w:type="dxa"/>
            <w:vAlign w:val="center"/>
          </w:tcPr>
          <w:p w:rsidR="0062201F" w:rsidRPr="009A2480" w:rsidRDefault="0062201F" w:rsidP="0061187E">
            <w:pPr>
              <w:spacing w:after="0"/>
              <w:jc w:val="center"/>
              <w:rPr>
                <w:lang w:val="uk-UA"/>
              </w:rPr>
            </w:pPr>
            <w:r w:rsidRPr="009A2480">
              <w:rPr>
                <w:b/>
                <w:lang w:val="uk-UA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62201F" w:rsidRPr="00A31AE9" w:rsidTr="007F6054">
        <w:tc>
          <w:tcPr>
            <w:tcW w:w="5524" w:type="dxa"/>
          </w:tcPr>
          <w:p w:rsidR="001B26A9" w:rsidRDefault="001B26A9" w:rsidP="001B26A9">
            <w:pPr>
              <w:spacing w:after="0"/>
              <w:ind w:firstLine="447"/>
              <w:jc w:val="center"/>
              <w:outlineLvl w:val="2"/>
              <w:rPr>
                <w:b/>
                <w:bCs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Cs w:val="28"/>
                <w:lang w:val="uk-UA" w:eastAsia="uk-UA"/>
              </w:rPr>
              <w:t>2. Розрахунок ціни на універсальні послуги</w:t>
            </w:r>
          </w:p>
          <w:p w:rsidR="004C05F8" w:rsidRDefault="001B26A9" w:rsidP="001B26A9">
            <w:pPr>
              <w:spacing w:after="0"/>
              <w:ind w:firstLine="447"/>
              <w:jc w:val="both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…….</w:t>
            </w:r>
          </w:p>
          <w:p w:rsidR="001B26A9" w:rsidRDefault="001B26A9" w:rsidP="001B26A9">
            <w:pPr>
              <w:ind w:firstLine="447"/>
              <w:jc w:val="both"/>
              <w:rPr>
                <w:szCs w:val="28"/>
                <w:lang w:val="uk-UA"/>
              </w:rPr>
            </w:pPr>
            <w:r>
              <w:rPr>
                <w:b/>
                <w:color w:val="000000"/>
                <w:szCs w:val="28"/>
              </w:rPr>
              <w:t>2.</w:t>
            </w:r>
            <w:r>
              <w:rPr>
                <w:b/>
                <w:szCs w:val="28"/>
                <w:lang w:val="uk-UA"/>
              </w:rPr>
              <w:t>6</w:t>
            </w:r>
            <w:r>
              <w:rPr>
                <w:szCs w:val="28"/>
                <w:lang w:val="uk-UA"/>
              </w:rPr>
              <w:t xml:space="preserve"> </w:t>
            </w:r>
            <w:r w:rsidRPr="001B26A9">
              <w:rPr>
                <w:szCs w:val="28"/>
                <w:lang w:val="uk-UA"/>
              </w:rPr>
              <w:t>Ціна на універсальні послуги для малих непобутових споживачів (споживачів 1-ї групи), приєднаних до системи передачі, </w:t>
            </w: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8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uk-UA"/>
                    </w:rPr>
                    <m:t>Ц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uk-UA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uk-UA"/>
                    </w:rPr>
                    <m:t>У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uk-UA"/>
                        </w:rPr>
                        <m:t>П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uk-UA"/>
                        </w:rPr>
                        <m:t>Пер</m:t>
                      </m:r>
                    </m:sub>
                  </m:sSub>
                </m:sup>
              </m:sSubSup>
            </m:oMath>
            <w:r>
              <w:rPr>
                <w:szCs w:val="28"/>
                <w:lang w:val="uk-UA"/>
              </w:rPr>
              <w:t> , розраховується за формулою</w:t>
            </w:r>
          </w:p>
          <w:p w:rsidR="001B26A9" w:rsidRDefault="008A49BB" w:rsidP="001B26A9">
            <w:pPr>
              <w:ind w:firstLine="447"/>
              <w:jc w:val="right"/>
              <w:rPr>
                <w:bCs/>
                <w:i/>
                <w:szCs w:val="28"/>
                <w:lang w:val="uk-UA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  <w:lang w:val="uk-UA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uk-UA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Cs w:val="28"/>
                      <w:lang w:val="uk-UA"/>
                    </w:rPr>
                    <m:t>УП_Пер</m:t>
                  </m:r>
                </m:sup>
              </m:sSubSup>
              <m:r>
                <w:rPr>
                  <w:rFonts w:ascii="Cambria Math" w:hAnsi="Cambria Math"/>
                  <w:szCs w:val="28"/>
                  <w:lang w:val="uk-UA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  <w:bCs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8"/>
                      <w:lang w:val="uk-UA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uk-UA"/>
                    </w:rPr>
                    <m:t>пр</m:t>
                  </m:r>
                </m:sub>
                <m:sup>
                  <m:r>
                    <w:rPr>
                      <w:rFonts w:ascii="Cambria Math" w:hAnsi="Cambria Math"/>
                      <w:szCs w:val="28"/>
                      <w:lang w:val="uk-UA"/>
                    </w:rPr>
                    <m:t>Закуп</m:t>
                  </m:r>
                </m:sup>
              </m:sSubSup>
              <m:r>
                <w:rPr>
                  <w:rFonts w:ascii="Cambria Math" w:hAnsi="Cambria Math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uk-UA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uk-UA"/>
                    </w:rPr>
                    <m:t>Пер</m:t>
                  </m:r>
                </m:sup>
              </m:sSup>
              <m:r>
                <w:rPr>
                  <w:rFonts w:ascii="Cambria Math" w:hAnsi="Cambria Math"/>
                  <w:szCs w:val="28"/>
                  <w:lang w:val="uk-UA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uk-UA"/>
                    </w:rPr>
                    <m:t>Т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uk-UA"/>
                    </w:rPr>
                    <m:t>УП</m:t>
                  </m:r>
                </m:sup>
              </m:sSup>
            </m:oMath>
            <w:r w:rsidR="001B26A9">
              <w:rPr>
                <w:bCs/>
                <w:szCs w:val="28"/>
                <w:lang w:val="uk-UA"/>
              </w:rPr>
              <w:t xml:space="preserve">, грн/МВт∙год.                       </w:t>
            </w:r>
            <w:r w:rsidR="001B26A9">
              <w:rPr>
                <w:b/>
                <w:bCs/>
                <w:szCs w:val="28"/>
                <w:lang w:val="uk-UA"/>
              </w:rPr>
              <w:t>(8).</w:t>
            </w:r>
          </w:p>
          <w:p w:rsidR="00025805" w:rsidRDefault="00025805" w:rsidP="00810DE6">
            <w:pPr>
              <w:spacing w:after="0"/>
              <w:jc w:val="both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4C05F8" w:rsidRDefault="004C05F8" w:rsidP="00810DE6">
            <w:pPr>
              <w:spacing w:after="0"/>
              <w:jc w:val="both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025805" w:rsidRDefault="00025805" w:rsidP="00025805">
            <w:pPr>
              <w:shd w:val="clear" w:color="auto" w:fill="FFFFFF"/>
              <w:spacing w:after="0"/>
              <w:ind w:firstLine="164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Зміни не пропонувались</w:t>
            </w:r>
          </w:p>
          <w:p w:rsidR="00025805" w:rsidRDefault="00025805" w:rsidP="00025805">
            <w:pPr>
              <w:pStyle w:val="tj"/>
              <w:shd w:val="clear" w:color="auto" w:fill="FFFFFF"/>
              <w:spacing w:before="0" w:beforeAutospacing="0" w:after="0" w:afterAutospacing="0"/>
              <w:ind w:firstLine="164"/>
              <w:jc w:val="both"/>
              <w:rPr>
                <w:color w:val="2E74B5" w:themeColor="accent5" w:themeShade="BF"/>
              </w:rPr>
            </w:pPr>
            <w:r>
              <w:rPr>
                <w:i/>
              </w:rPr>
              <w:t>пункт відсутній</w:t>
            </w:r>
          </w:p>
          <w:p w:rsidR="00810DE6" w:rsidRPr="009A2480" w:rsidRDefault="00810DE6" w:rsidP="00810DE6">
            <w:pPr>
              <w:spacing w:after="0"/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5032" w:type="dxa"/>
          </w:tcPr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9D1C97" w:rsidRDefault="009D1C97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62201F" w:rsidRPr="00AC1431" w:rsidRDefault="007B34C4" w:rsidP="004C05F8">
            <w:pPr>
              <w:spacing w:after="0"/>
              <w:ind w:firstLine="457"/>
              <w:jc w:val="both"/>
              <w:rPr>
                <w:bCs/>
                <w:lang w:val="uk-UA"/>
              </w:rPr>
            </w:pPr>
            <w:r w:rsidRPr="00AC1431">
              <w:rPr>
                <w:lang w:val="uk-UA"/>
              </w:rPr>
              <w:t>ТОВ «</w:t>
            </w:r>
            <w:r w:rsidR="00810DE6" w:rsidRPr="00AC1431">
              <w:rPr>
                <w:lang w:val="uk-UA"/>
              </w:rPr>
              <w:t>ДНІПРОВСЬКІ ЕНЕРГЕТИЧНІ ПОСЛУГИ</w:t>
            </w:r>
            <w:r w:rsidRPr="00AC1431">
              <w:rPr>
                <w:lang w:val="uk-UA"/>
              </w:rPr>
              <w:t xml:space="preserve">» лист від </w:t>
            </w:r>
            <w:r w:rsidR="00810DE6" w:rsidRPr="00AC1431">
              <w:rPr>
                <w:bCs/>
                <w:lang w:val="uk-UA"/>
              </w:rPr>
              <w:t>27.09.2024 №</w:t>
            </w:r>
            <w:r w:rsidR="009A2480" w:rsidRPr="00AC1431">
              <w:rPr>
                <w:bCs/>
                <w:lang w:val="uk-UA"/>
              </w:rPr>
              <w:t> </w:t>
            </w:r>
            <w:r w:rsidR="00810DE6" w:rsidRPr="00AC1431">
              <w:rPr>
                <w:bCs/>
                <w:lang w:val="uk-UA"/>
              </w:rPr>
              <w:t>54883/DNEP</w:t>
            </w:r>
          </w:p>
          <w:p w:rsidR="00496273" w:rsidRPr="00AC1431" w:rsidRDefault="00496273" w:rsidP="004C05F8">
            <w:pPr>
              <w:spacing w:after="0"/>
              <w:ind w:firstLine="457"/>
              <w:jc w:val="both"/>
              <w:rPr>
                <w:lang w:val="uk-UA"/>
              </w:rPr>
            </w:pPr>
          </w:p>
          <w:p w:rsidR="00810DE6" w:rsidRPr="00AC1431" w:rsidRDefault="00496273" w:rsidP="004C05F8">
            <w:pPr>
              <w:spacing w:after="0"/>
              <w:ind w:firstLine="457"/>
              <w:jc w:val="both"/>
              <w:rPr>
                <w:lang w:val="uk-UA"/>
              </w:rPr>
            </w:pPr>
            <w:r w:rsidRPr="00AC1431">
              <w:rPr>
                <w:lang w:val="uk-UA"/>
              </w:rPr>
              <w:t>Пропонують доповнити новим пунктом.</w:t>
            </w:r>
          </w:p>
          <w:p w:rsidR="00810DE6" w:rsidRPr="00AC1431" w:rsidRDefault="00496273" w:rsidP="004C05F8">
            <w:pPr>
              <w:spacing w:after="0"/>
              <w:ind w:firstLine="457"/>
              <w:jc w:val="both"/>
              <w:rPr>
                <w:b/>
                <w:sz w:val="22"/>
                <w:szCs w:val="22"/>
                <w:lang w:val="uk-UA"/>
              </w:rPr>
            </w:pPr>
            <w:r w:rsidRPr="00AC1431">
              <w:rPr>
                <w:b/>
                <w:sz w:val="22"/>
                <w:szCs w:val="22"/>
                <w:lang w:val="uk-UA"/>
              </w:rPr>
              <w:t>«</w:t>
            </w:r>
            <w:r w:rsidR="00810DE6" w:rsidRPr="00AC1431">
              <w:rPr>
                <w:b/>
                <w:sz w:val="22"/>
                <w:szCs w:val="22"/>
                <w:lang w:val="uk-UA"/>
              </w:rPr>
              <w:t>2.7. Розрахунки, що здійснюються згідно з цим Порядком, в окремі періоди часу можуть здійснюватися з урахуванням особливостей, визначених іншими нормативно-правовими актами.</w:t>
            </w:r>
            <w:r w:rsidRPr="00AC1431">
              <w:rPr>
                <w:b/>
                <w:sz w:val="22"/>
                <w:szCs w:val="22"/>
                <w:lang w:val="uk-UA"/>
              </w:rPr>
              <w:t>»</w:t>
            </w:r>
          </w:p>
          <w:p w:rsidR="009D1C97" w:rsidRPr="00AC1431" w:rsidRDefault="009D1C97" w:rsidP="004C05F8">
            <w:pPr>
              <w:spacing w:after="0"/>
              <w:ind w:firstLine="457"/>
              <w:jc w:val="both"/>
              <w:rPr>
                <w:b/>
                <w:sz w:val="22"/>
                <w:szCs w:val="22"/>
                <w:lang w:val="uk-UA"/>
              </w:rPr>
            </w:pPr>
          </w:p>
          <w:p w:rsidR="00810DE6" w:rsidRPr="00AC1431" w:rsidRDefault="00496273" w:rsidP="004C05F8">
            <w:pPr>
              <w:spacing w:after="0"/>
              <w:ind w:firstLine="457"/>
              <w:jc w:val="both"/>
              <w:rPr>
                <w:b/>
                <w:bCs/>
                <w:i/>
                <w:iCs/>
                <w:lang w:val="uk-UA"/>
              </w:rPr>
            </w:pPr>
            <w:r w:rsidRPr="00AC1431">
              <w:rPr>
                <w:b/>
                <w:bCs/>
                <w:i/>
                <w:iCs/>
                <w:lang w:val="uk-UA"/>
              </w:rPr>
              <w:t xml:space="preserve">Обґрунтування </w:t>
            </w:r>
          </w:p>
          <w:p w:rsidR="00810DE6" w:rsidRPr="00AC1431" w:rsidRDefault="00810DE6" w:rsidP="004C05F8">
            <w:pPr>
              <w:spacing w:after="120"/>
              <w:ind w:firstLine="457"/>
              <w:jc w:val="both"/>
              <w:rPr>
                <w:i/>
                <w:sz w:val="22"/>
                <w:szCs w:val="22"/>
                <w:lang w:val="uk-UA"/>
              </w:rPr>
            </w:pPr>
            <w:r w:rsidRPr="00AC1431">
              <w:rPr>
                <w:i/>
                <w:sz w:val="22"/>
                <w:szCs w:val="22"/>
                <w:lang w:val="uk-UA"/>
              </w:rPr>
              <w:t xml:space="preserve">Даним </w:t>
            </w:r>
            <w:proofErr w:type="spellStart"/>
            <w:r w:rsidRPr="00AC1431">
              <w:rPr>
                <w:i/>
                <w:sz w:val="22"/>
                <w:szCs w:val="22"/>
                <w:lang w:val="uk-UA"/>
              </w:rPr>
              <w:t>проєктом</w:t>
            </w:r>
            <w:proofErr w:type="spellEnd"/>
            <w:r w:rsidRPr="00AC1431">
              <w:rPr>
                <w:i/>
                <w:sz w:val="22"/>
                <w:szCs w:val="22"/>
                <w:lang w:val="uk-UA"/>
              </w:rPr>
              <w:t xml:space="preserve"> постанови Порядок формування цін на універсальні послуги повністю викладається в новій редакції.</w:t>
            </w:r>
          </w:p>
          <w:p w:rsidR="00810DE6" w:rsidRPr="00AC1431" w:rsidRDefault="00810DE6" w:rsidP="004C05F8">
            <w:pPr>
              <w:spacing w:after="120"/>
              <w:ind w:firstLine="457"/>
              <w:jc w:val="both"/>
              <w:rPr>
                <w:i/>
                <w:sz w:val="22"/>
                <w:szCs w:val="22"/>
                <w:lang w:val="uk-UA"/>
              </w:rPr>
            </w:pPr>
            <w:r w:rsidRPr="00AC1431">
              <w:rPr>
                <w:i/>
                <w:sz w:val="22"/>
                <w:szCs w:val="22"/>
                <w:lang w:val="uk-UA"/>
              </w:rPr>
              <w:lastRenderedPageBreak/>
              <w:t xml:space="preserve">Згідно з частиною 1 ст.5 Цивільного кодексу України акти цивільного законодавства регулюють відносини, які виникли з дня набрання ними чинності. </w:t>
            </w:r>
          </w:p>
          <w:p w:rsidR="00810DE6" w:rsidRPr="00AC1431" w:rsidRDefault="00810DE6" w:rsidP="004C05F8">
            <w:pPr>
              <w:spacing w:after="120"/>
              <w:ind w:firstLine="457"/>
              <w:jc w:val="both"/>
              <w:rPr>
                <w:i/>
                <w:sz w:val="22"/>
                <w:szCs w:val="22"/>
                <w:lang w:val="uk-UA"/>
              </w:rPr>
            </w:pPr>
            <w:r w:rsidRPr="00AC1431">
              <w:rPr>
                <w:bCs/>
                <w:i/>
                <w:sz w:val="22"/>
                <w:szCs w:val="22"/>
                <w:lang w:val="uk-UA"/>
              </w:rPr>
              <w:t xml:space="preserve">Згідно з листом Міністерства юстиції України </w:t>
            </w:r>
            <w:r w:rsidRPr="00AC1431">
              <w:rPr>
                <w:i/>
                <w:sz w:val="22"/>
                <w:szCs w:val="22"/>
                <w:lang w:val="uk-UA"/>
              </w:rPr>
              <w:t>від 30.01.2009 №</w:t>
            </w:r>
            <w:r w:rsidRPr="00AC1431">
              <w:rPr>
                <w:bCs/>
                <w:i/>
                <w:sz w:val="22"/>
                <w:szCs w:val="22"/>
                <w:lang w:val="uk-UA"/>
              </w:rPr>
              <w:t> </w:t>
            </w:r>
            <w:r w:rsidRPr="00AC1431">
              <w:rPr>
                <w:i/>
                <w:sz w:val="22"/>
                <w:szCs w:val="22"/>
                <w:lang w:val="uk-UA"/>
              </w:rPr>
              <w:t xml:space="preserve">Н-35267-18 у разі існування неузгодженості між нормами, виданими одним і тим самим нормотворчим органом, </w:t>
            </w:r>
            <w:r w:rsidRPr="00AC1431">
              <w:rPr>
                <w:b/>
                <w:i/>
                <w:sz w:val="22"/>
                <w:szCs w:val="22"/>
                <w:lang w:val="uk-UA"/>
              </w:rPr>
              <w:t>застосовується акт, виданий пізніше</w:t>
            </w:r>
            <w:r w:rsidRPr="00AC1431">
              <w:rPr>
                <w:i/>
                <w:sz w:val="22"/>
                <w:szCs w:val="22"/>
                <w:lang w:val="uk-UA"/>
              </w:rPr>
              <w:t>, навіть якщо прийнятий раніше акт не втратив своєї чинності.</w:t>
            </w:r>
          </w:p>
          <w:p w:rsidR="00810DE6" w:rsidRPr="00AC1431" w:rsidRDefault="00810DE6" w:rsidP="004C05F8">
            <w:pPr>
              <w:spacing w:after="0"/>
              <w:ind w:firstLine="457"/>
              <w:jc w:val="both"/>
              <w:rPr>
                <w:lang w:val="uk-UA"/>
              </w:rPr>
            </w:pPr>
            <w:r w:rsidRPr="00AC1431">
              <w:rPr>
                <w:i/>
                <w:sz w:val="22"/>
                <w:szCs w:val="22"/>
                <w:lang w:val="uk-UA"/>
              </w:rPr>
              <w:t>І оскільки постановою НКРЕКП від 25.02.2022 №</w:t>
            </w:r>
            <w:r w:rsidRPr="00AC1431">
              <w:rPr>
                <w:bCs/>
                <w:i/>
                <w:sz w:val="22"/>
                <w:szCs w:val="22"/>
                <w:lang w:val="uk-UA"/>
              </w:rPr>
              <w:t> </w:t>
            </w:r>
            <w:r w:rsidRPr="00AC1431">
              <w:rPr>
                <w:i/>
                <w:sz w:val="22"/>
                <w:szCs w:val="22"/>
                <w:lang w:val="uk-UA"/>
              </w:rPr>
              <w:t>332 визначено ряд особливостей здійснення розрахунків, що здійснюються відповідно до постанови НКРЕКП від 05.10.2018 №</w:t>
            </w:r>
            <w:r w:rsidRPr="00AC1431">
              <w:rPr>
                <w:bCs/>
                <w:i/>
                <w:sz w:val="22"/>
                <w:szCs w:val="22"/>
                <w:lang w:val="uk-UA"/>
              </w:rPr>
              <w:t> </w:t>
            </w:r>
            <w:r w:rsidRPr="00AC1431">
              <w:rPr>
                <w:i/>
                <w:sz w:val="22"/>
                <w:szCs w:val="22"/>
                <w:lang w:val="uk-UA"/>
              </w:rPr>
              <w:t>1177 (наприклад, підпункти 13 і 16 п.1 Постанови №</w:t>
            </w:r>
            <w:r w:rsidRPr="00AC1431">
              <w:rPr>
                <w:bCs/>
                <w:i/>
                <w:sz w:val="22"/>
                <w:szCs w:val="22"/>
                <w:lang w:val="uk-UA"/>
              </w:rPr>
              <w:t> </w:t>
            </w:r>
            <w:r w:rsidRPr="00AC1431">
              <w:rPr>
                <w:i/>
                <w:sz w:val="22"/>
                <w:szCs w:val="22"/>
                <w:lang w:val="uk-UA"/>
              </w:rPr>
              <w:t>332), може виникнути неузгодженість між нормами.</w:t>
            </w:r>
          </w:p>
        </w:tc>
        <w:tc>
          <w:tcPr>
            <w:tcW w:w="4607" w:type="dxa"/>
          </w:tcPr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9D1C97" w:rsidRDefault="009D1C97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</w:p>
          <w:p w:rsidR="007B34C4" w:rsidRPr="00AC1431" w:rsidRDefault="007B34C4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  <w:r w:rsidRPr="00AC1431">
              <w:rPr>
                <w:b/>
                <w:bCs/>
                <w:lang w:val="uk-UA"/>
              </w:rPr>
              <w:t>Не враховано</w:t>
            </w:r>
          </w:p>
          <w:p w:rsidR="007B34C4" w:rsidRPr="00AC1431" w:rsidRDefault="007B34C4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b/>
                <w:bCs/>
                <w:lang w:val="uk-UA"/>
              </w:rPr>
            </w:pPr>
            <w:r w:rsidRPr="00AC1431">
              <w:rPr>
                <w:b/>
                <w:bCs/>
                <w:lang w:val="uk-UA"/>
              </w:rPr>
              <w:t>Недостатньо обґрунтована пропозиція</w:t>
            </w:r>
          </w:p>
          <w:p w:rsidR="00496273" w:rsidRPr="00AC1431" w:rsidRDefault="00A31AE9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lang w:val="uk-UA"/>
              </w:rPr>
            </w:pPr>
            <w:r>
              <w:rPr>
                <w:lang w:val="uk-UA"/>
              </w:rPr>
              <w:t>Після п</w:t>
            </w:r>
            <w:r w:rsidR="00496273" w:rsidRPr="00AC1431">
              <w:rPr>
                <w:lang w:val="uk-UA"/>
              </w:rPr>
              <w:t xml:space="preserve">рийняття змін, запропонованих схваленим </w:t>
            </w:r>
            <w:r w:rsidR="001D7970" w:rsidRPr="00AC1431">
              <w:rPr>
                <w:lang w:val="uk-UA"/>
              </w:rPr>
              <w:t>Проєктом</w:t>
            </w:r>
            <w:r w:rsidR="00496273" w:rsidRPr="00AC1431">
              <w:rPr>
                <w:lang w:val="uk-UA"/>
              </w:rPr>
              <w:t xml:space="preserve"> рішення, </w:t>
            </w:r>
            <w:r>
              <w:rPr>
                <w:lang w:val="uk-UA"/>
              </w:rPr>
              <w:t>НКРЕКП опрацює питання</w:t>
            </w:r>
            <w:r w:rsidR="00496273" w:rsidRPr="00AC1431">
              <w:rPr>
                <w:lang w:val="uk-UA"/>
              </w:rPr>
              <w:t xml:space="preserve"> приведення нормативної бази Регулятора у відповідність до таких змін</w:t>
            </w:r>
            <w:r w:rsidR="001D7970" w:rsidRPr="00AC1431">
              <w:rPr>
                <w:lang w:val="uk-UA"/>
              </w:rPr>
              <w:t>, зокрема постанови НКРЕКП від 25.02.2022 № 332</w:t>
            </w:r>
            <w:r w:rsidR="00496273" w:rsidRPr="00AC1431">
              <w:rPr>
                <w:lang w:val="uk-UA"/>
              </w:rPr>
              <w:t>.</w:t>
            </w:r>
            <w:bookmarkStart w:id="0" w:name="_GoBack"/>
            <w:bookmarkEnd w:id="0"/>
          </w:p>
          <w:p w:rsidR="00496273" w:rsidRPr="00AC1431" w:rsidRDefault="00496273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lang w:val="uk-UA"/>
              </w:rPr>
            </w:pPr>
          </w:p>
          <w:p w:rsidR="00496273" w:rsidRPr="00AC1431" w:rsidRDefault="00496273" w:rsidP="00F60744">
            <w:pPr>
              <w:widowControl w:val="0"/>
              <w:suppressAutoHyphens/>
              <w:spacing w:after="0"/>
              <w:ind w:firstLine="393"/>
              <w:contextualSpacing/>
              <w:jc w:val="both"/>
              <w:rPr>
                <w:lang w:val="uk-UA"/>
              </w:rPr>
            </w:pPr>
          </w:p>
          <w:p w:rsidR="0062201F" w:rsidRPr="00AC1431" w:rsidRDefault="0062201F" w:rsidP="00F60744">
            <w:pPr>
              <w:spacing w:after="0"/>
              <w:ind w:firstLine="393"/>
              <w:jc w:val="both"/>
              <w:rPr>
                <w:strike/>
                <w:lang w:val="uk-UA"/>
              </w:rPr>
            </w:pPr>
          </w:p>
        </w:tc>
      </w:tr>
    </w:tbl>
    <w:p w:rsidR="0062201F" w:rsidRPr="004403CA" w:rsidRDefault="0062201F" w:rsidP="002D24EF">
      <w:pPr>
        <w:rPr>
          <w:sz w:val="2"/>
          <w:lang w:val="uk-UA"/>
        </w:rPr>
      </w:pPr>
    </w:p>
    <w:sectPr w:rsidR="0062201F" w:rsidRPr="004403CA" w:rsidSect="009D1C97">
      <w:footerReference w:type="default" r:id="rId8"/>
      <w:pgSz w:w="16838" w:h="11906" w:orient="landscape"/>
      <w:pgMar w:top="709" w:right="850" w:bottom="156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9BB" w:rsidRDefault="008A49BB" w:rsidP="0062201F">
      <w:pPr>
        <w:spacing w:after="0"/>
      </w:pPr>
      <w:r>
        <w:separator/>
      </w:r>
    </w:p>
  </w:endnote>
  <w:endnote w:type="continuationSeparator" w:id="0">
    <w:p w:rsidR="008A49BB" w:rsidRDefault="008A49BB" w:rsidP="006220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926137"/>
      <w:docPartObj>
        <w:docPartGallery w:val="Page Numbers (Bottom of Page)"/>
        <w:docPartUnique/>
      </w:docPartObj>
    </w:sdtPr>
    <w:sdtEndPr/>
    <w:sdtContent>
      <w:p w:rsidR="00434323" w:rsidRDefault="0043432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434323" w:rsidRDefault="004343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9BB" w:rsidRDefault="008A49BB" w:rsidP="0062201F">
      <w:pPr>
        <w:spacing w:after="0"/>
      </w:pPr>
      <w:r>
        <w:separator/>
      </w:r>
    </w:p>
  </w:footnote>
  <w:footnote w:type="continuationSeparator" w:id="0">
    <w:p w:rsidR="008A49BB" w:rsidRDefault="008A49BB" w:rsidP="0062201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https://ips.ligazakon.net/l_flib1.nsf/LookupFiles/GK40721_IMG_326.GIF/$file/GK40721_IMG_326.GIF" style="width:23.25pt;height:15.75pt;visibility:visible;mso-wrap-style:square" o:bullet="t">
        <v:imagedata r:id="rId1" o:title="GK40721_IMG_326"/>
      </v:shape>
    </w:pict>
  </w:numPicBullet>
  <w:numPicBullet w:numPicBulletId="1">
    <w:pict>
      <v:shape id="_x0000_i1029" type="#_x0000_t75" alt="https://ips.ligazakon.net/l_flib1.nsf/LookupFiles/GK40708_IMG_006.gif/$file/GK40708_IMG_006.gif" style="width:27.75pt;height:17.25pt;visibility:visible;mso-wrap-style:square" o:bullet="t">
        <v:imagedata r:id="rId2" o:title="GK40708_IMG_006"/>
      </v:shape>
    </w:pict>
  </w:numPicBullet>
  <w:abstractNum w:abstractNumId="0" w15:restartNumberingAfterBreak="0">
    <w:nsid w:val="753A0B98"/>
    <w:multiLevelType w:val="hybridMultilevel"/>
    <w:tmpl w:val="1146238C"/>
    <w:lvl w:ilvl="0" w:tplc="1032BD6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0E87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9F055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440F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025B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C4E1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BEE45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78A9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46FB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506"/>
    <w:rsid w:val="0000047A"/>
    <w:rsid w:val="00003563"/>
    <w:rsid w:val="00025805"/>
    <w:rsid w:val="00027160"/>
    <w:rsid w:val="000453E7"/>
    <w:rsid w:val="00076344"/>
    <w:rsid w:val="000825F9"/>
    <w:rsid w:val="00096385"/>
    <w:rsid w:val="000B48A5"/>
    <w:rsid w:val="000C4557"/>
    <w:rsid w:val="000D3C71"/>
    <w:rsid w:val="000F4515"/>
    <w:rsid w:val="000F5622"/>
    <w:rsid w:val="001219FE"/>
    <w:rsid w:val="001233DC"/>
    <w:rsid w:val="00140BB3"/>
    <w:rsid w:val="001834BB"/>
    <w:rsid w:val="001A0E5E"/>
    <w:rsid w:val="001B26A9"/>
    <w:rsid w:val="001C0D73"/>
    <w:rsid w:val="001D7970"/>
    <w:rsid w:val="0020099A"/>
    <w:rsid w:val="002269D1"/>
    <w:rsid w:val="00243AFE"/>
    <w:rsid w:val="00245C32"/>
    <w:rsid w:val="002507DD"/>
    <w:rsid w:val="00251A70"/>
    <w:rsid w:val="0027078C"/>
    <w:rsid w:val="00297095"/>
    <w:rsid w:val="002B5912"/>
    <w:rsid w:val="002D24EF"/>
    <w:rsid w:val="002D5D0C"/>
    <w:rsid w:val="003074FF"/>
    <w:rsid w:val="00335486"/>
    <w:rsid w:val="003608AB"/>
    <w:rsid w:val="00362DBB"/>
    <w:rsid w:val="00382309"/>
    <w:rsid w:val="003D0808"/>
    <w:rsid w:val="003D4F7E"/>
    <w:rsid w:val="003E227B"/>
    <w:rsid w:val="003F7AD1"/>
    <w:rsid w:val="00422FED"/>
    <w:rsid w:val="00434323"/>
    <w:rsid w:val="004403CA"/>
    <w:rsid w:val="00484E13"/>
    <w:rsid w:val="00496273"/>
    <w:rsid w:val="004C05F8"/>
    <w:rsid w:val="00503BC7"/>
    <w:rsid w:val="00532594"/>
    <w:rsid w:val="0053351D"/>
    <w:rsid w:val="00552C31"/>
    <w:rsid w:val="00561F0D"/>
    <w:rsid w:val="00573370"/>
    <w:rsid w:val="00574276"/>
    <w:rsid w:val="00592B1A"/>
    <w:rsid w:val="005A2A21"/>
    <w:rsid w:val="005A3565"/>
    <w:rsid w:val="005A4AD0"/>
    <w:rsid w:val="005B50CF"/>
    <w:rsid w:val="005C206D"/>
    <w:rsid w:val="005D052A"/>
    <w:rsid w:val="005F4E0B"/>
    <w:rsid w:val="0061187E"/>
    <w:rsid w:val="0062201F"/>
    <w:rsid w:val="0063048D"/>
    <w:rsid w:val="006707B5"/>
    <w:rsid w:val="00686739"/>
    <w:rsid w:val="006A00D8"/>
    <w:rsid w:val="006B4F57"/>
    <w:rsid w:val="006C240B"/>
    <w:rsid w:val="006C3B98"/>
    <w:rsid w:val="006F5DCF"/>
    <w:rsid w:val="007450AC"/>
    <w:rsid w:val="007B34C4"/>
    <w:rsid w:val="007E194E"/>
    <w:rsid w:val="007E1D2E"/>
    <w:rsid w:val="007F6054"/>
    <w:rsid w:val="00802C86"/>
    <w:rsid w:val="00810DE6"/>
    <w:rsid w:val="00826737"/>
    <w:rsid w:val="0085021C"/>
    <w:rsid w:val="00864650"/>
    <w:rsid w:val="0088227D"/>
    <w:rsid w:val="008A49BB"/>
    <w:rsid w:val="008C2AB5"/>
    <w:rsid w:val="008C6282"/>
    <w:rsid w:val="008D24B4"/>
    <w:rsid w:val="008D7F40"/>
    <w:rsid w:val="008E4FDE"/>
    <w:rsid w:val="008E73BE"/>
    <w:rsid w:val="008F6ADD"/>
    <w:rsid w:val="009250E2"/>
    <w:rsid w:val="00925208"/>
    <w:rsid w:val="009338F7"/>
    <w:rsid w:val="00966048"/>
    <w:rsid w:val="00970AB3"/>
    <w:rsid w:val="009760DC"/>
    <w:rsid w:val="0098211C"/>
    <w:rsid w:val="00997AAD"/>
    <w:rsid w:val="009A2480"/>
    <w:rsid w:val="009B5405"/>
    <w:rsid w:val="009C225E"/>
    <w:rsid w:val="009C2DEB"/>
    <w:rsid w:val="009D1C97"/>
    <w:rsid w:val="009D51F4"/>
    <w:rsid w:val="009D5564"/>
    <w:rsid w:val="009E2D20"/>
    <w:rsid w:val="009F0400"/>
    <w:rsid w:val="00A31AE9"/>
    <w:rsid w:val="00A74443"/>
    <w:rsid w:val="00A82506"/>
    <w:rsid w:val="00A92D12"/>
    <w:rsid w:val="00AA45F7"/>
    <w:rsid w:val="00AC1431"/>
    <w:rsid w:val="00AC4D0B"/>
    <w:rsid w:val="00AD631D"/>
    <w:rsid w:val="00AE0FC9"/>
    <w:rsid w:val="00AE5A07"/>
    <w:rsid w:val="00B22739"/>
    <w:rsid w:val="00B279EA"/>
    <w:rsid w:val="00B44A1E"/>
    <w:rsid w:val="00B57D8F"/>
    <w:rsid w:val="00B724B9"/>
    <w:rsid w:val="00B86A31"/>
    <w:rsid w:val="00B934BB"/>
    <w:rsid w:val="00BA0FAB"/>
    <w:rsid w:val="00BA365D"/>
    <w:rsid w:val="00BB315C"/>
    <w:rsid w:val="00BC2562"/>
    <w:rsid w:val="00BC4DAC"/>
    <w:rsid w:val="00BD4AB7"/>
    <w:rsid w:val="00BF3C21"/>
    <w:rsid w:val="00C6515B"/>
    <w:rsid w:val="00C77322"/>
    <w:rsid w:val="00C92197"/>
    <w:rsid w:val="00C9573C"/>
    <w:rsid w:val="00CA16B6"/>
    <w:rsid w:val="00CB529B"/>
    <w:rsid w:val="00CB6D48"/>
    <w:rsid w:val="00D04A9B"/>
    <w:rsid w:val="00D061E7"/>
    <w:rsid w:val="00D12D16"/>
    <w:rsid w:val="00D16921"/>
    <w:rsid w:val="00D174AB"/>
    <w:rsid w:val="00D42B40"/>
    <w:rsid w:val="00D579B8"/>
    <w:rsid w:val="00D6296D"/>
    <w:rsid w:val="00D73316"/>
    <w:rsid w:val="00D92C1F"/>
    <w:rsid w:val="00D97054"/>
    <w:rsid w:val="00DA47FB"/>
    <w:rsid w:val="00DA49AF"/>
    <w:rsid w:val="00DF34E3"/>
    <w:rsid w:val="00E04C2A"/>
    <w:rsid w:val="00E37B97"/>
    <w:rsid w:val="00E61D72"/>
    <w:rsid w:val="00E91B3C"/>
    <w:rsid w:val="00EA3857"/>
    <w:rsid w:val="00ED0909"/>
    <w:rsid w:val="00EF700C"/>
    <w:rsid w:val="00F116DB"/>
    <w:rsid w:val="00F36D06"/>
    <w:rsid w:val="00F60744"/>
    <w:rsid w:val="00F87BE0"/>
    <w:rsid w:val="00F90E79"/>
    <w:rsid w:val="00FB3DD6"/>
    <w:rsid w:val="00FC62E7"/>
    <w:rsid w:val="00FD1A38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CAE0C"/>
  <w15:chartTrackingRefBased/>
  <w15:docId w15:val="{B35A0B69-D575-4B27-8DC2-08B239FBF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01F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38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02C8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01F"/>
    <w:pPr>
      <w:tabs>
        <w:tab w:val="center" w:pos="4819"/>
        <w:tab w:val="right" w:pos="9639"/>
      </w:tabs>
      <w:spacing w:after="0"/>
    </w:pPr>
  </w:style>
  <w:style w:type="character" w:customStyle="1" w:styleId="a4">
    <w:name w:val="Верхній колонтитул Знак"/>
    <w:basedOn w:val="a0"/>
    <w:link w:val="a3"/>
    <w:uiPriority w:val="99"/>
    <w:rsid w:val="0062201F"/>
  </w:style>
  <w:style w:type="paragraph" w:styleId="a5">
    <w:name w:val="footer"/>
    <w:basedOn w:val="a"/>
    <w:link w:val="a6"/>
    <w:uiPriority w:val="99"/>
    <w:unhideWhenUsed/>
    <w:rsid w:val="0062201F"/>
    <w:pPr>
      <w:tabs>
        <w:tab w:val="center" w:pos="4819"/>
        <w:tab w:val="right" w:pos="9639"/>
      </w:tabs>
      <w:spacing w:after="0"/>
    </w:pPr>
  </w:style>
  <w:style w:type="character" w:customStyle="1" w:styleId="a6">
    <w:name w:val="Нижній колонтитул Знак"/>
    <w:basedOn w:val="a0"/>
    <w:link w:val="a5"/>
    <w:uiPriority w:val="99"/>
    <w:rsid w:val="0062201F"/>
  </w:style>
  <w:style w:type="table" w:styleId="a7">
    <w:name w:val="Table Grid"/>
    <w:basedOn w:val="a1"/>
    <w:uiPriority w:val="39"/>
    <w:rsid w:val="006220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20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j">
    <w:name w:val="tj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character" w:styleId="a8">
    <w:name w:val="annotation reference"/>
    <w:basedOn w:val="a0"/>
    <w:uiPriority w:val="99"/>
    <w:semiHidden/>
    <w:unhideWhenUsed/>
    <w:rsid w:val="0062201F"/>
    <w:rPr>
      <w:sz w:val="16"/>
      <w:szCs w:val="16"/>
    </w:rPr>
  </w:style>
  <w:style w:type="character" w:styleId="a9">
    <w:name w:val="Strong"/>
    <w:basedOn w:val="a0"/>
    <w:uiPriority w:val="22"/>
    <w:qFormat/>
    <w:rsid w:val="0062201F"/>
    <w:rPr>
      <w:b/>
      <w:bCs/>
    </w:rPr>
  </w:style>
  <w:style w:type="paragraph" w:customStyle="1" w:styleId="rvps2">
    <w:name w:val="rvps2"/>
    <w:basedOn w:val="a"/>
    <w:link w:val="rvps2Char"/>
    <w:qFormat/>
    <w:rsid w:val="0062201F"/>
    <w:pPr>
      <w:spacing w:before="100" w:beforeAutospacing="1" w:after="100" w:afterAutospacing="1"/>
    </w:pPr>
    <w:rPr>
      <w:lang w:val="uk-UA" w:eastAsia="uk-UA"/>
    </w:rPr>
  </w:style>
  <w:style w:type="paragraph" w:customStyle="1" w:styleId="rvps12">
    <w:name w:val="rvps12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paragraph" w:customStyle="1" w:styleId="rvps11">
    <w:name w:val="rvps11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character" w:customStyle="1" w:styleId="rvps2Char">
    <w:name w:val="rvps2 Char"/>
    <w:basedOn w:val="a0"/>
    <w:link w:val="rvps2"/>
    <w:rsid w:val="0062201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aliases w:val="body 2,List Paragraph1,List Paragraph11,6 pt paragraphe carré,texte de base,Listes,List Paragraph (numbered (a)),Bullets,Citation List,ANNEX,bullet,bu,b,bullet1,B,b1,Bullet 1,bullet 1,body,b Char Char Char,b Char Char Char Char Char Char"/>
    <w:basedOn w:val="a"/>
    <w:link w:val="ab"/>
    <w:uiPriority w:val="34"/>
    <w:qFormat/>
    <w:rsid w:val="0062201F"/>
    <w:pPr>
      <w:ind w:left="720"/>
      <w:contextualSpacing/>
    </w:pPr>
  </w:style>
  <w:style w:type="paragraph" w:customStyle="1" w:styleId="tr">
    <w:name w:val="tr"/>
    <w:basedOn w:val="a"/>
    <w:rsid w:val="0062201F"/>
    <w:pPr>
      <w:spacing w:before="100" w:beforeAutospacing="1" w:after="100" w:afterAutospacing="1"/>
    </w:pPr>
    <w:rPr>
      <w:lang w:val="uk-UA" w:eastAsia="uk-UA"/>
    </w:rPr>
  </w:style>
  <w:style w:type="character" w:customStyle="1" w:styleId="ab">
    <w:name w:val="Абзац списку Знак"/>
    <w:aliases w:val="body 2 Знак,List Paragraph1 Знак,List Paragraph11 Знак,6 pt paragraphe carré Знак,texte de base Знак,Listes Знак,List Paragraph (numbered (a)) Знак,Bullets Знак,Citation List Знак,ANNEX Знак,bullet Знак,bu Знак,b Знак,bullet1 Знак"/>
    <w:basedOn w:val="a0"/>
    <w:link w:val="aa"/>
    <w:uiPriority w:val="34"/>
    <w:rsid w:val="0062201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unhideWhenUsed/>
    <w:rsid w:val="007F6054"/>
    <w:rPr>
      <w:color w:val="0000FF"/>
      <w:u w:val="single"/>
    </w:rPr>
  </w:style>
  <w:style w:type="character" w:customStyle="1" w:styleId="hard-blue-color">
    <w:name w:val="hard-blue-color"/>
    <w:basedOn w:val="a0"/>
    <w:rsid w:val="00FB3DD6"/>
  </w:style>
  <w:style w:type="paragraph" w:customStyle="1" w:styleId="tc">
    <w:name w:val="tc"/>
    <w:basedOn w:val="a"/>
    <w:rsid w:val="00297095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rsid w:val="00802C86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paragraph" w:customStyle="1" w:styleId="tl">
    <w:name w:val="tl"/>
    <w:basedOn w:val="a"/>
    <w:rsid w:val="00D579B8"/>
    <w:pPr>
      <w:spacing w:before="100" w:beforeAutospacing="1" w:after="100" w:afterAutospacing="1"/>
    </w:pPr>
    <w:rPr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422FE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422FE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">
    <w:name w:val="Normal (Web)"/>
    <w:basedOn w:val="a"/>
    <w:unhideWhenUsed/>
    <w:rsid w:val="002269D1"/>
    <w:pPr>
      <w:spacing w:before="100" w:beforeAutospacing="1" w:after="100" w:afterAutospacing="1"/>
    </w:pPr>
    <w:rPr>
      <w:lang w:val="uk-UA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AE5A07"/>
    <w:pPr>
      <w:suppressAutoHyphens/>
      <w:spacing w:after="0"/>
    </w:pPr>
    <w:rPr>
      <w:rFonts w:ascii="Consolas" w:hAnsi="Consolas" w:cs="Consolas"/>
      <w:sz w:val="20"/>
      <w:szCs w:val="20"/>
      <w:lang w:val="uk-UA" w:eastAsia="zh-CN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AE5A07"/>
    <w:rPr>
      <w:rFonts w:ascii="Consolas" w:eastAsia="Times New Roman" w:hAnsi="Consolas" w:cs="Consolas"/>
      <w:sz w:val="20"/>
      <w:szCs w:val="20"/>
      <w:lang w:eastAsia="zh-CN"/>
    </w:rPr>
  </w:style>
  <w:style w:type="character" w:styleId="af0">
    <w:name w:val="FollowedHyperlink"/>
    <w:basedOn w:val="a0"/>
    <w:uiPriority w:val="99"/>
    <w:semiHidden/>
    <w:unhideWhenUsed/>
    <w:rsid w:val="008F6ADD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338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7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1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92DFD-8453-4E10-82F5-6FD8138DD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Біленко</dc:creator>
  <cp:keywords/>
  <dc:description/>
  <cp:lastModifiedBy>Олександр Ящук</cp:lastModifiedBy>
  <cp:revision>95</cp:revision>
  <cp:lastPrinted>2024-08-20T14:33:00Z</cp:lastPrinted>
  <dcterms:created xsi:type="dcterms:W3CDTF">2024-08-20T08:10:00Z</dcterms:created>
  <dcterms:modified xsi:type="dcterms:W3CDTF">2024-10-15T11:32:00Z</dcterms:modified>
</cp:coreProperties>
</file>