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9482F" w14:textId="46533A55" w:rsidR="00ED165C" w:rsidRPr="00652198" w:rsidRDefault="002461AF" w:rsidP="00DB359D">
      <w:pPr>
        <w:spacing w:after="0"/>
        <w:ind w:firstLine="567"/>
        <w:jc w:val="center"/>
        <w:rPr>
          <w:rFonts w:ascii="Times New Roman" w:hAnsi="Times New Roman" w:cs="Times New Roman"/>
          <w:b/>
          <w:sz w:val="28"/>
          <w:szCs w:val="24"/>
        </w:rPr>
      </w:pPr>
      <w:r w:rsidRPr="00652198">
        <w:rPr>
          <w:rFonts w:ascii="Times New Roman" w:hAnsi="Times New Roman" w:cs="Times New Roman"/>
          <w:b/>
          <w:sz w:val="28"/>
          <w:szCs w:val="24"/>
        </w:rPr>
        <w:t xml:space="preserve">Узагальнені зауваження </w:t>
      </w:r>
      <w:r w:rsidR="0047124D" w:rsidRPr="00652198">
        <w:rPr>
          <w:rFonts w:ascii="Times New Roman" w:hAnsi="Times New Roman" w:cs="Times New Roman"/>
          <w:b/>
          <w:sz w:val="28"/>
          <w:szCs w:val="24"/>
        </w:rPr>
        <w:t xml:space="preserve">та пропозиції до </w:t>
      </w:r>
      <w:r w:rsidR="00A40C88" w:rsidRPr="00652198">
        <w:rPr>
          <w:rFonts w:ascii="Times New Roman" w:hAnsi="Times New Roman" w:cs="Times New Roman"/>
          <w:b/>
          <w:sz w:val="28"/>
          <w:szCs w:val="24"/>
        </w:rPr>
        <w:t>п</w:t>
      </w:r>
      <w:r w:rsidR="00596BC3" w:rsidRPr="00652198">
        <w:rPr>
          <w:rFonts w:ascii="Times New Roman" w:hAnsi="Times New Roman" w:cs="Times New Roman"/>
          <w:b/>
          <w:sz w:val="28"/>
          <w:szCs w:val="24"/>
        </w:rPr>
        <w:t>роєкт</w:t>
      </w:r>
      <w:r w:rsidR="00A40C88" w:rsidRPr="00652198">
        <w:rPr>
          <w:rFonts w:ascii="Times New Roman" w:hAnsi="Times New Roman" w:cs="Times New Roman"/>
          <w:b/>
          <w:sz w:val="28"/>
          <w:szCs w:val="24"/>
        </w:rPr>
        <w:t>у</w:t>
      </w:r>
      <w:r w:rsidR="00596BC3" w:rsidRPr="00652198">
        <w:rPr>
          <w:rFonts w:ascii="Times New Roman" w:hAnsi="Times New Roman" w:cs="Times New Roman"/>
          <w:b/>
          <w:sz w:val="28"/>
          <w:szCs w:val="24"/>
        </w:rPr>
        <w:t xml:space="preserve"> постанови НКРЕКП «</w:t>
      </w:r>
      <w:r w:rsidR="00652198" w:rsidRPr="00652198">
        <w:rPr>
          <w:rFonts w:ascii="Times New Roman" w:hAnsi="Times New Roman" w:cs="Times New Roman"/>
          <w:b/>
          <w:sz w:val="28"/>
          <w:szCs w:val="24"/>
        </w:rPr>
        <w:t>Про внесення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r w:rsidR="00596BC3" w:rsidRPr="00652198">
        <w:rPr>
          <w:rFonts w:ascii="Times New Roman" w:hAnsi="Times New Roman" w:cs="Times New Roman"/>
          <w:b/>
          <w:sz w:val="28"/>
          <w:szCs w:val="24"/>
        </w:rPr>
        <w:t>»</w:t>
      </w:r>
      <w:r w:rsidR="0047124D" w:rsidRPr="00652198">
        <w:rPr>
          <w:rFonts w:ascii="Times New Roman" w:hAnsi="Times New Roman" w:cs="Times New Roman"/>
          <w:b/>
          <w:sz w:val="28"/>
          <w:szCs w:val="24"/>
        </w:rPr>
        <w:t>, що має ознаки регуляторного акта</w:t>
      </w:r>
    </w:p>
    <w:p w14:paraId="5C59E588" w14:textId="77777777" w:rsidR="00A40C88" w:rsidRPr="00652198" w:rsidRDefault="00A40C88" w:rsidP="00652198">
      <w:pPr>
        <w:spacing w:after="0"/>
        <w:ind w:firstLine="567"/>
        <w:jc w:val="center"/>
        <w:rPr>
          <w:rFonts w:ascii="Times New Roman" w:hAnsi="Times New Roman" w:cs="Times New Roman"/>
          <w:b/>
          <w:sz w:val="28"/>
          <w:szCs w:val="24"/>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5039"/>
        <w:gridCol w:w="57"/>
        <w:gridCol w:w="4984"/>
        <w:gridCol w:w="118"/>
        <w:gridCol w:w="4924"/>
      </w:tblGrid>
      <w:tr w:rsidR="0047124D" w:rsidRPr="00FB62F2" w14:paraId="458E072A" w14:textId="77777777" w:rsidTr="00BB65BF">
        <w:trPr>
          <w:trHeight w:val="285"/>
        </w:trPr>
        <w:tc>
          <w:tcPr>
            <w:tcW w:w="1685"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553ADA" w14:textId="77777777" w:rsidR="0047124D" w:rsidRPr="00A71729" w:rsidRDefault="0047124D" w:rsidP="00BB65BF">
            <w:pPr>
              <w:spacing w:before="150" w:after="150" w:line="240" w:lineRule="auto"/>
              <w:jc w:val="center"/>
              <w:rPr>
                <w:rFonts w:ascii="Times New Roman" w:eastAsia="Times New Roman" w:hAnsi="Times New Roman" w:cs="Times New Roman"/>
                <w:sz w:val="24"/>
                <w:szCs w:val="24"/>
                <w:lang w:eastAsia="uk-UA"/>
              </w:rPr>
            </w:pPr>
            <w:r w:rsidRPr="00A71729">
              <w:rPr>
                <w:rFonts w:ascii="Times New Roman" w:eastAsia="Times New Roman" w:hAnsi="Times New Roman" w:cs="Times New Roman"/>
                <w:sz w:val="24"/>
                <w:szCs w:val="24"/>
                <w:lang w:eastAsia="uk-UA"/>
              </w:rPr>
              <w:t>Редакція проекту рішення НКРЕКП</w:t>
            </w:r>
          </w:p>
        </w:tc>
        <w:tc>
          <w:tcPr>
            <w:tcW w:w="1687"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BFAAAA" w14:textId="77777777" w:rsidR="0047124D" w:rsidRPr="00A71729" w:rsidRDefault="0047124D" w:rsidP="00BB65BF">
            <w:pPr>
              <w:spacing w:before="150" w:after="150" w:line="240" w:lineRule="auto"/>
              <w:jc w:val="center"/>
              <w:rPr>
                <w:rFonts w:ascii="Times New Roman" w:eastAsia="Times New Roman" w:hAnsi="Times New Roman" w:cs="Times New Roman"/>
                <w:sz w:val="24"/>
                <w:szCs w:val="24"/>
                <w:lang w:eastAsia="uk-UA"/>
              </w:rPr>
            </w:pPr>
            <w:r w:rsidRPr="00A71729">
              <w:rPr>
                <w:rFonts w:ascii="Times New Roman" w:eastAsia="Times New Roman" w:hAnsi="Times New Roman" w:cs="Times New Roman"/>
                <w:sz w:val="24"/>
                <w:szCs w:val="24"/>
                <w:lang w:eastAsia="uk-UA"/>
              </w:rPr>
              <w:t>Зауваження та пропозиції до проекту рішення НКРЕКП</w:t>
            </w:r>
          </w:p>
        </w:tc>
        <w:tc>
          <w:tcPr>
            <w:tcW w:w="1628"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A032422" w14:textId="77777777" w:rsidR="0047124D" w:rsidRPr="00A71729" w:rsidRDefault="0047124D" w:rsidP="00BB65BF">
            <w:pPr>
              <w:spacing w:before="150" w:after="150" w:line="240" w:lineRule="auto"/>
              <w:jc w:val="center"/>
              <w:rPr>
                <w:rFonts w:ascii="Times New Roman" w:eastAsia="Times New Roman" w:hAnsi="Times New Roman" w:cs="Times New Roman"/>
                <w:sz w:val="24"/>
                <w:szCs w:val="24"/>
                <w:lang w:eastAsia="uk-UA"/>
              </w:rPr>
            </w:pPr>
            <w:r w:rsidRPr="00A71729">
              <w:rPr>
                <w:rFonts w:ascii="Times New Roman" w:eastAsia="Times New Roman" w:hAnsi="Times New Roman" w:cs="Times New Roman"/>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CD1373" w:rsidRPr="00FB62F2" w14:paraId="66315D92" w14:textId="77777777" w:rsidTr="00DB359D">
        <w:trPr>
          <w:trHeight w:val="441"/>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FFFFF"/>
          </w:tcPr>
          <w:p w14:paraId="3D14E8BD" w14:textId="0B5C9B92" w:rsidR="00CD1373" w:rsidRPr="00A71729" w:rsidRDefault="00DE73DF" w:rsidP="009D1D4D">
            <w:pPr>
              <w:spacing w:after="0" w:line="240" w:lineRule="auto"/>
              <w:ind w:firstLine="567"/>
              <w:jc w:val="center"/>
              <w:rPr>
                <w:rFonts w:ascii="Times New Roman" w:eastAsia="Times New Roman" w:hAnsi="Times New Roman" w:cs="Times New Roman"/>
                <w:b/>
                <w:sz w:val="24"/>
                <w:szCs w:val="24"/>
                <w:lang w:eastAsia="uk-UA"/>
              </w:rPr>
            </w:pPr>
            <w:r w:rsidRPr="00A71729">
              <w:rPr>
                <w:rFonts w:ascii="Times New Roman" w:eastAsia="Times New Roman" w:hAnsi="Times New Roman" w:cs="Times New Roman"/>
                <w:b/>
                <w:sz w:val="24"/>
                <w:szCs w:val="24"/>
                <w:lang w:eastAsia="uk-UA"/>
              </w:rPr>
              <w:t>3. Порядок розрахунків нормативних втрат газу під час його розподілу газорозподільними системами</w:t>
            </w:r>
          </w:p>
        </w:tc>
      </w:tr>
      <w:tr w:rsidR="00C632D7" w:rsidRPr="00FB62F2" w14:paraId="46712941" w14:textId="77777777" w:rsidTr="003F0496">
        <w:trPr>
          <w:trHeight w:val="643"/>
        </w:trPr>
        <w:tc>
          <w:tcPr>
            <w:tcW w:w="1666" w:type="pct"/>
            <w:tcBorders>
              <w:top w:val="single" w:sz="6" w:space="0" w:color="000000"/>
              <w:left w:val="single" w:sz="6" w:space="0" w:color="000000"/>
              <w:right w:val="single" w:sz="6" w:space="0" w:color="000000"/>
            </w:tcBorders>
            <w:shd w:val="clear" w:color="auto" w:fill="FFFFFF"/>
          </w:tcPr>
          <w:p w14:paraId="6AB7D64C" w14:textId="77777777" w:rsidR="005F6E21" w:rsidRPr="00A71729" w:rsidRDefault="005F6E21" w:rsidP="00C632D7">
            <w:pPr>
              <w:jc w:val="both"/>
              <w:rPr>
                <w:rFonts w:ascii="Times New Roman" w:hAnsi="Times New Roman" w:cs="Times New Roman"/>
                <w:sz w:val="24"/>
                <w:szCs w:val="24"/>
              </w:rPr>
            </w:pPr>
          </w:p>
          <w:p w14:paraId="3633B955" w14:textId="4104A842" w:rsidR="00C632D7" w:rsidRPr="00A71729" w:rsidRDefault="00C632D7" w:rsidP="00C632D7">
            <w:pPr>
              <w:jc w:val="both"/>
              <w:rPr>
                <w:rFonts w:ascii="Times New Roman" w:hAnsi="Times New Roman" w:cs="Times New Roman"/>
                <w:sz w:val="24"/>
                <w:szCs w:val="24"/>
              </w:rPr>
            </w:pPr>
            <w:r w:rsidRPr="00A71729">
              <w:rPr>
                <w:rFonts w:ascii="Times New Roman" w:hAnsi="Times New Roman" w:cs="Times New Roman"/>
                <w:sz w:val="24"/>
                <w:szCs w:val="24"/>
              </w:rPr>
              <w:t>3.7. Загальний обсяг нормативних втрат газу (Q</w:t>
            </w:r>
            <w:r w:rsidRPr="00A71729">
              <w:rPr>
                <w:rFonts w:ascii="Times New Roman" w:hAnsi="Times New Roman" w:cs="Times New Roman"/>
                <w:sz w:val="24"/>
                <w:szCs w:val="24"/>
                <w:vertAlign w:val="subscript"/>
              </w:rPr>
              <w:t>В</w:t>
            </w:r>
            <w:r w:rsidRPr="00A71729">
              <w:rPr>
                <w:rFonts w:ascii="Times New Roman" w:hAnsi="Times New Roman" w:cs="Times New Roman"/>
                <w:sz w:val="24"/>
                <w:szCs w:val="24"/>
              </w:rPr>
              <w:t>) за відповідний період визначається за формулою</w:t>
            </w:r>
          </w:p>
          <w:p w14:paraId="7959BA8E" w14:textId="77777777" w:rsidR="00C632D7" w:rsidRPr="00A71729" w:rsidRDefault="00C632D7" w:rsidP="00C632D7">
            <w:pPr>
              <w:jc w:val="both"/>
              <w:rPr>
                <w:rFonts w:ascii="Times New Roman" w:hAnsi="Times New Roman" w:cs="Times New Roman"/>
                <w:sz w:val="24"/>
                <w:szCs w:val="24"/>
              </w:rPr>
            </w:pPr>
            <w:r w:rsidRPr="00A71729">
              <w:rPr>
                <w:rFonts w:ascii="Times New Roman" w:hAnsi="Times New Roman" w:cs="Times New Roman"/>
                <w:sz w:val="24"/>
                <w:szCs w:val="24"/>
              </w:rPr>
              <w:t>…</w:t>
            </w:r>
          </w:p>
          <w:p w14:paraId="0256E123" w14:textId="77777777" w:rsidR="00C632D7" w:rsidRPr="00A71729" w:rsidRDefault="00C632D7" w:rsidP="00C632D7">
            <w:pPr>
              <w:jc w:val="both"/>
              <w:rPr>
                <w:rFonts w:ascii="Times New Roman" w:hAnsi="Times New Roman" w:cs="Times New Roman"/>
                <w:sz w:val="24"/>
                <w:szCs w:val="24"/>
              </w:rPr>
            </w:pPr>
            <w:r w:rsidRPr="00A71729">
              <w:rPr>
                <w:rFonts w:ascii="Times New Roman" w:hAnsi="Times New Roman" w:cs="Times New Roman"/>
                <w:sz w:val="24"/>
                <w:szCs w:val="24"/>
              </w:rPr>
              <w:t>Q</w:t>
            </w:r>
            <w:r w:rsidRPr="00A71729">
              <w:rPr>
                <w:rFonts w:ascii="Times New Roman" w:hAnsi="Times New Roman" w:cs="Times New Roman"/>
                <w:sz w:val="24"/>
                <w:szCs w:val="24"/>
                <w:vertAlign w:val="subscript"/>
              </w:rPr>
              <w:t>В21</w:t>
            </w:r>
            <w:r w:rsidRPr="00A71729">
              <w:rPr>
                <w:rFonts w:ascii="Times New Roman" w:hAnsi="Times New Roman" w:cs="Times New Roman"/>
                <w:sz w:val="24"/>
                <w:szCs w:val="24"/>
              </w:rPr>
              <w:t xml:space="preserve"> - нормативні втрати газу за відповідний період за умовної нормативної герметичності обладнання та приладів ГРП, ГРПБ, ГРУ, ШРП, КБРТ, м</w:t>
            </w:r>
            <w:r w:rsidRPr="00A71729">
              <w:rPr>
                <w:rFonts w:ascii="Times New Roman" w:hAnsi="Times New Roman" w:cs="Times New Roman"/>
                <w:sz w:val="24"/>
                <w:szCs w:val="24"/>
                <w:vertAlign w:val="superscript"/>
              </w:rPr>
              <w:t>3</w:t>
            </w:r>
            <w:r w:rsidRPr="00A71729">
              <w:rPr>
                <w:rFonts w:ascii="Times New Roman" w:hAnsi="Times New Roman" w:cs="Times New Roman"/>
                <w:sz w:val="24"/>
                <w:szCs w:val="24"/>
              </w:rPr>
              <w:t>, визначаються згідно з додатком 4 до цієї Методики за умовним вхідним діаметром регулятора, вхідним тиском, типом та кількістю газового обладнання та приладів і кількістю діб у звітному періоді та розраховуються за формулою</w:t>
            </w:r>
          </w:p>
          <w:tbl>
            <w:tblPr>
              <w:tblW w:w="4941" w:type="pct"/>
              <w:jc w:val="center"/>
              <w:tblCellMar>
                <w:top w:w="60" w:type="dxa"/>
                <w:left w:w="60" w:type="dxa"/>
                <w:bottom w:w="60" w:type="dxa"/>
                <w:right w:w="60" w:type="dxa"/>
              </w:tblCellMar>
              <w:tblLook w:val="04A0" w:firstRow="1" w:lastRow="0" w:firstColumn="1" w:lastColumn="0" w:noHBand="0" w:noVBand="1"/>
            </w:tblPr>
            <w:tblGrid>
              <w:gridCol w:w="4343"/>
              <w:gridCol w:w="518"/>
            </w:tblGrid>
            <w:tr w:rsidR="00C632D7" w:rsidRPr="00A71729" w14:paraId="6700814F" w14:textId="77777777" w:rsidTr="002350D5">
              <w:trPr>
                <w:jc w:val="center"/>
              </w:trPr>
              <w:tc>
                <w:tcPr>
                  <w:tcW w:w="6639" w:type="dxa"/>
                  <w:hideMark/>
                </w:tcPr>
                <w:p w14:paraId="5A079F74" w14:textId="77777777" w:rsidR="00C632D7" w:rsidRPr="00A71729" w:rsidRDefault="00C632D7" w:rsidP="00C632D7">
                  <w:pPr>
                    <w:pStyle w:val="rvps12"/>
                    <w:spacing w:before="150" w:beforeAutospacing="0" w:after="150" w:afterAutospacing="0"/>
                    <w:jc w:val="both"/>
                  </w:pPr>
                  <w:r w:rsidRPr="00A71729">
                    <w:rPr>
                      <w:rStyle w:val="rvts9"/>
                      <w:rFonts w:eastAsiaTheme="majorEastAsia"/>
                      <w:bCs/>
                    </w:rPr>
                    <w:t>Q</w:t>
                  </w:r>
                  <w:r w:rsidRPr="00A71729">
                    <w:rPr>
                      <w:rStyle w:val="rvts40"/>
                      <w:bCs/>
                      <w:vertAlign w:val="subscript"/>
                    </w:rPr>
                    <w:t>В21</w:t>
                  </w:r>
                  <w:r w:rsidRPr="00A71729">
                    <w:rPr>
                      <w:rStyle w:val="rvts9"/>
                      <w:rFonts w:eastAsiaTheme="majorEastAsia"/>
                      <w:bCs/>
                    </w:rPr>
                    <w:t> = </w:t>
                  </w:r>
                  <w:r w:rsidRPr="00A71729">
                    <w:rPr>
                      <w:rStyle w:val="rvts80"/>
                    </w:rPr>
                    <w:t>ƒ</w:t>
                  </w:r>
                  <w:r w:rsidRPr="00A71729">
                    <w:rPr>
                      <w:rStyle w:val="rvts9"/>
                      <w:rFonts w:eastAsiaTheme="majorEastAsia"/>
                      <w:bCs/>
                    </w:rPr>
                    <w:t> (</w:t>
                  </w:r>
                  <w:proofErr w:type="spellStart"/>
                  <w:r w:rsidRPr="00A71729">
                    <w:rPr>
                      <w:rStyle w:val="rvts9"/>
                      <w:rFonts w:eastAsiaTheme="majorEastAsia"/>
                      <w:bCs/>
                    </w:rPr>
                    <w:t>Ду</w:t>
                  </w:r>
                  <w:r w:rsidRPr="00A71729">
                    <w:rPr>
                      <w:rStyle w:val="rvts40"/>
                      <w:bCs/>
                      <w:vertAlign w:val="subscript"/>
                    </w:rPr>
                    <w:t>вх</w:t>
                  </w:r>
                  <w:proofErr w:type="spellEnd"/>
                  <w:r w:rsidRPr="00A71729">
                    <w:rPr>
                      <w:rStyle w:val="rvts9"/>
                      <w:rFonts w:eastAsiaTheme="majorEastAsia"/>
                      <w:bCs/>
                    </w:rPr>
                    <w:t xml:space="preserve">, </w:t>
                  </w:r>
                  <w:proofErr w:type="spellStart"/>
                  <w:r w:rsidRPr="00A71729">
                    <w:rPr>
                      <w:rStyle w:val="rvts9"/>
                      <w:rFonts w:eastAsiaTheme="majorEastAsia"/>
                      <w:bCs/>
                    </w:rPr>
                    <w:t>P</w:t>
                  </w:r>
                  <w:r w:rsidRPr="00A71729">
                    <w:rPr>
                      <w:rStyle w:val="rvts40"/>
                      <w:bCs/>
                      <w:vertAlign w:val="subscript"/>
                    </w:rPr>
                    <w:t>вх</w:t>
                  </w:r>
                  <w:proofErr w:type="spellEnd"/>
                  <w:r w:rsidRPr="00A71729">
                    <w:rPr>
                      <w:rStyle w:val="rvts9"/>
                      <w:rFonts w:eastAsiaTheme="majorEastAsia"/>
                      <w:bCs/>
                    </w:rPr>
                    <w:t>, тип обладнання),</w:t>
                  </w:r>
                </w:p>
              </w:tc>
              <w:tc>
                <w:tcPr>
                  <w:tcW w:w="616" w:type="dxa"/>
                  <w:hideMark/>
                </w:tcPr>
                <w:p w14:paraId="717D17A1" w14:textId="77777777" w:rsidR="00C632D7" w:rsidRPr="00A71729" w:rsidRDefault="00C632D7" w:rsidP="00C632D7">
                  <w:pPr>
                    <w:pStyle w:val="rvps11"/>
                    <w:spacing w:before="150" w:beforeAutospacing="0" w:after="150" w:afterAutospacing="0"/>
                    <w:jc w:val="both"/>
                  </w:pPr>
                  <w:r w:rsidRPr="00A71729">
                    <w:t>(4)</w:t>
                  </w:r>
                </w:p>
              </w:tc>
            </w:tr>
          </w:tbl>
          <w:p w14:paraId="196D9D6D" w14:textId="77777777" w:rsidR="00C632D7" w:rsidRPr="00A71729" w:rsidRDefault="00C632D7" w:rsidP="00C632D7">
            <w:pPr>
              <w:shd w:val="clear" w:color="auto" w:fill="FFFFFF"/>
              <w:jc w:val="both"/>
              <w:rPr>
                <w:rFonts w:ascii="Times New Roman" w:hAnsi="Times New Roman" w:cs="Times New Roman"/>
                <w:vanish/>
                <w:sz w:val="24"/>
                <w:szCs w:val="24"/>
              </w:rPr>
            </w:pPr>
            <w:r w:rsidRPr="00A71729">
              <w:rPr>
                <w:rFonts w:ascii="Times New Roman" w:hAnsi="Times New Roman" w:cs="Times New Roman"/>
                <w:vanish/>
                <w:sz w:val="24"/>
                <w:szCs w:val="24"/>
              </w:rPr>
              <w:t>Де Ду</w:t>
            </w:r>
            <w:r w:rsidRPr="00A71729">
              <w:rPr>
                <w:rFonts w:ascii="Times New Roman" w:hAnsi="Times New Roman" w:cs="Times New Roman"/>
                <w:vanish/>
                <w:sz w:val="24"/>
                <w:szCs w:val="24"/>
                <w:vertAlign w:val="subscript"/>
              </w:rPr>
              <w:t xml:space="preserve">вх </w:t>
            </w:r>
            <w:r w:rsidRPr="00A71729">
              <w:rPr>
                <w:rFonts w:ascii="Times New Roman" w:hAnsi="Times New Roman" w:cs="Times New Roman"/>
                <w:vanish/>
                <w:sz w:val="24"/>
                <w:szCs w:val="24"/>
              </w:rPr>
              <w:t>- умовний вхідний діаметр регулятора, мм;</w:t>
            </w:r>
          </w:p>
          <w:p w14:paraId="1D3D1D64" w14:textId="77777777" w:rsidR="00C632D7" w:rsidRPr="00A71729" w:rsidRDefault="00C632D7" w:rsidP="00C632D7">
            <w:pPr>
              <w:shd w:val="clear" w:color="auto" w:fill="FFFFFF"/>
              <w:jc w:val="both"/>
              <w:rPr>
                <w:rFonts w:ascii="Times New Roman" w:hAnsi="Times New Roman" w:cs="Times New Roman"/>
                <w:vanish/>
                <w:sz w:val="24"/>
                <w:szCs w:val="24"/>
              </w:rPr>
            </w:pPr>
            <w:r w:rsidRPr="00A71729">
              <w:rPr>
                <w:rFonts w:ascii="Times New Roman" w:hAnsi="Times New Roman" w:cs="Times New Roman"/>
                <w:vanish/>
                <w:sz w:val="24"/>
                <w:szCs w:val="24"/>
              </w:rPr>
              <w:t>P</w:t>
            </w:r>
            <w:r w:rsidRPr="00A71729">
              <w:rPr>
                <w:rFonts w:ascii="Times New Roman" w:hAnsi="Times New Roman" w:cs="Times New Roman"/>
                <w:vanish/>
                <w:sz w:val="24"/>
                <w:szCs w:val="24"/>
                <w:vertAlign w:val="subscript"/>
              </w:rPr>
              <w:t xml:space="preserve">вх </w:t>
            </w:r>
            <w:r w:rsidRPr="00A71729">
              <w:rPr>
                <w:rFonts w:ascii="Times New Roman" w:hAnsi="Times New Roman" w:cs="Times New Roman"/>
                <w:vanish/>
                <w:sz w:val="24"/>
                <w:szCs w:val="24"/>
              </w:rPr>
              <w:t>- тиск газу на вході регулятора, кгс/см</w:t>
            </w:r>
            <w:r w:rsidRPr="00A71729">
              <w:rPr>
                <w:rFonts w:ascii="Times New Roman" w:hAnsi="Times New Roman" w:cs="Times New Roman"/>
                <w:vanish/>
                <w:sz w:val="24"/>
                <w:szCs w:val="24"/>
                <w:vertAlign w:val="superscript"/>
              </w:rPr>
              <w:t>2</w:t>
            </w:r>
            <w:r w:rsidRPr="00A71729">
              <w:rPr>
                <w:rFonts w:ascii="Times New Roman" w:hAnsi="Times New Roman" w:cs="Times New Roman"/>
                <w:vanish/>
                <w:sz w:val="24"/>
                <w:szCs w:val="24"/>
              </w:rPr>
              <w:t>;</w:t>
            </w:r>
          </w:p>
          <w:p w14:paraId="48EAD79E" w14:textId="0224DB95" w:rsidR="00C632D7" w:rsidRPr="00A71729" w:rsidRDefault="00C632D7" w:rsidP="00162996">
            <w:pPr>
              <w:spacing w:after="0" w:line="240" w:lineRule="auto"/>
              <w:jc w:val="both"/>
              <w:rPr>
                <w:rFonts w:ascii="Times New Roman" w:hAnsi="Times New Roman" w:cs="Times New Roman"/>
                <w:sz w:val="24"/>
                <w:szCs w:val="24"/>
              </w:rPr>
            </w:pPr>
            <w:r w:rsidRPr="00A71729">
              <w:rPr>
                <w:rFonts w:ascii="Times New Roman" w:hAnsi="Times New Roman" w:cs="Times New Roman"/>
                <w:sz w:val="24"/>
                <w:szCs w:val="24"/>
              </w:rPr>
              <w:t xml:space="preserve">тип обладнання - ГРП, ГРПБ, ГРУ, ШРП, що знаходяться на балансі Оператора ГРМ </w:t>
            </w:r>
            <w:r w:rsidRPr="00A71729">
              <w:rPr>
                <w:rFonts w:ascii="Times New Roman" w:hAnsi="Times New Roman" w:cs="Times New Roman"/>
                <w:b/>
                <w:sz w:val="24"/>
                <w:szCs w:val="24"/>
              </w:rPr>
              <w:t>та/або передані Оператору ГРМ в експлуатацію на підставі відповідного договору</w:t>
            </w:r>
            <w:r w:rsidRPr="00A71729">
              <w:rPr>
                <w:rFonts w:ascii="Times New Roman" w:hAnsi="Times New Roman" w:cs="Times New Roman"/>
                <w:sz w:val="24"/>
                <w:szCs w:val="24"/>
              </w:rPr>
              <w:t xml:space="preserve">, у яких розміщені регулятори тиску, що не потребують </w:t>
            </w:r>
            <w:r w:rsidRPr="00A71729">
              <w:rPr>
                <w:rFonts w:ascii="Times New Roman" w:hAnsi="Times New Roman" w:cs="Times New Roman"/>
                <w:sz w:val="24"/>
                <w:szCs w:val="24"/>
              </w:rPr>
              <w:lastRenderedPageBreak/>
              <w:t>для своєї роботи стороннього джерела енергії (газу); комбіновані будинкові регулятори тиску газу (КБРТ);</w:t>
            </w:r>
          </w:p>
        </w:tc>
        <w:tc>
          <w:tcPr>
            <w:tcW w:w="1667" w:type="pct"/>
            <w:gridSpan w:val="2"/>
            <w:tcBorders>
              <w:top w:val="single" w:sz="6" w:space="0" w:color="000000"/>
              <w:left w:val="single" w:sz="6" w:space="0" w:color="000000"/>
              <w:right w:val="single" w:sz="6" w:space="0" w:color="000000"/>
            </w:tcBorders>
            <w:shd w:val="clear" w:color="auto" w:fill="FFFFFF"/>
          </w:tcPr>
          <w:p w14:paraId="02653681" w14:textId="77777777" w:rsidR="00C632D7" w:rsidRPr="00A71729" w:rsidRDefault="00C632D7" w:rsidP="00C632D7">
            <w:pPr>
              <w:pStyle w:val="a3"/>
              <w:ind w:firstLine="567"/>
              <w:jc w:val="both"/>
              <w:rPr>
                <w:rFonts w:ascii="Times New Roman" w:eastAsia="Times New Roman" w:hAnsi="Times New Roman" w:cs="Times New Roman"/>
                <w:b/>
                <w:sz w:val="24"/>
                <w:szCs w:val="24"/>
                <w:u w:val="single"/>
                <w:lang w:val="uk-UA" w:eastAsia="uk-UA"/>
              </w:rPr>
            </w:pPr>
            <w:r w:rsidRPr="00A71729">
              <w:rPr>
                <w:rFonts w:ascii="Times New Roman" w:eastAsia="Times New Roman" w:hAnsi="Times New Roman" w:cs="Times New Roman"/>
                <w:b/>
                <w:sz w:val="24"/>
                <w:szCs w:val="24"/>
                <w:u w:val="single"/>
                <w:lang w:val="uk-UA" w:eastAsia="uk-UA"/>
              </w:rPr>
              <w:lastRenderedPageBreak/>
              <w:t>Олег БАКУЛІН</w:t>
            </w:r>
          </w:p>
          <w:p w14:paraId="2B034B6C" w14:textId="1A7BD235" w:rsidR="00C632D7" w:rsidRPr="00A71729" w:rsidRDefault="00C632D7" w:rsidP="00C632D7">
            <w:pPr>
              <w:pStyle w:val="rvps2"/>
              <w:shd w:val="clear" w:color="auto" w:fill="FFFFFF"/>
              <w:spacing w:before="0" w:beforeAutospacing="0" w:after="0" w:afterAutospacing="0"/>
              <w:ind w:firstLine="567"/>
              <w:jc w:val="both"/>
              <w:rPr>
                <w:b/>
                <w:i/>
                <w:lang w:val="uk-UA"/>
              </w:rPr>
            </w:pPr>
            <w:r w:rsidRPr="00A71729">
              <w:rPr>
                <w:b/>
                <w:i/>
                <w:lang w:val="uk-UA"/>
              </w:rPr>
              <w:t>Пропозиції:</w:t>
            </w:r>
          </w:p>
          <w:p w14:paraId="66A5AEC9" w14:textId="005115F2" w:rsidR="00C632D7" w:rsidRPr="00A71729" w:rsidRDefault="000D1193" w:rsidP="00C632D7">
            <w:pPr>
              <w:jc w:val="both"/>
              <w:rPr>
                <w:rFonts w:ascii="Times New Roman" w:hAnsi="Times New Roman" w:cs="Times New Roman"/>
                <w:sz w:val="24"/>
                <w:szCs w:val="24"/>
              </w:rPr>
            </w:pPr>
            <w:r>
              <w:rPr>
                <w:rFonts w:ascii="Times New Roman" w:hAnsi="Times New Roman" w:cs="Times New Roman"/>
                <w:sz w:val="24"/>
                <w:szCs w:val="24"/>
              </w:rPr>
              <w:t>«</w:t>
            </w:r>
            <w:r w:rsidR="00C632D7" w:rsidRPr="00A71729">
              <w:rPr>
                <w:rFonts w:ascii="Times New Roman" w:hAnsi="Times New Roman" w:cs="Times New Roman"/>
                <w:sz w:val="24"/>
                <w:szCs w:val="24"/>
              </w:rPr>
              <w:t>3.7. Загальний обсяг нормативних втрат газу (Q</w:t>
            </w:r>
            <w:r w:rsidR="00C632D7" w:rsidRPr="00A71729">
              <w:rPr>
                <w:rFonts w:ascii="Times New Roman" w:hAnsi="Times New Roman" w:cs="Times New Roman"/>
                <w:sz w:val="24"/>
                <w:szCs w:val="24"/>
                <w:vertAlign w:val="subscript"/>
              </w:rPr>
              <w:t>В</w:t>
            </w:r>
            <w:r w:rsidR="00C632D7" w:rsidRPr="00A71729">
              <w:rPr>
                <w:rFonts w:ascii="Times New Roman" w:hAnsi="Times New Roman" w:cs="Times New Roman"/>
                <w:sz w:val="24"/>
                <w:szCs w:val="24"/>
              </w:rPr>
              <w:t>) за відповідний період визначається за формулою</w:t>
            </w:r>
          </w:p>
          <w:p w14:paraId="7D2F3B5E" w14:textId="77777777" w:rsidR="00C632D7" w:rsidRPr="00A71729" w:rsidRDefault="00C632D7" w:rsidP="00C632D7">
            <w:pPr>
              <w:jc w:val="both"/>
              <w:rPr>
                <w:rFonts w:ascii="Times New Roman" w:hAnsi="Times New Roman" w:cs="Times New Roman"/>
                <w:sz w:val="24"/>
                <w:szCs w:val="24"/>
              </w:rPr>
            </w:pPr>
            <w:r w:rsidRPr="00A71729">
              <w:rPr>
                <w:rFonts w:ascii="Times New Roman" w:hAnsi="Times New Roman" w:cs="Times New Roman"/>
                <w:sz w:val="24"/>
                <w:szCs w:val="24"/>
              </w:rPr>
              <w:t>…</w:t>
            </w:r>
          </w:p>
          <w:p w14:paraId="18058A00" w14:textId="77777777" w:rsidR="00C632D7" w:rsidRPr="00A71729" w:rsidRDefault="00C632D7" w:rsidP="00C632D7">
            <w:pPr>
              <w:jc w:val="both"/>
              <w:rPr>
                <w:rFonts w:ascii="Times New Roman" w:hAnsi="Times New Roman" w:cs="Times New Roman"/>
                <w:sz w:val="24"/>
                <w:szCs w:val="24"/>
              </w:rPr>
            </w:pPr>
            <w:r w:rsidRPr="00A71729">
              <w:rPr>
                <w:rFonts w:ascii="Times New Roman" w:hAnsi="Times New Roman" w:cs="Times New Roman"/>
                <w:sz w:val="24"/>
                <w:szCs w:val="24"/>
              </w:rPr>
              <w:t>Q</w:t>
            </w:r>
            <w:r w:rsidRPr="00A71729">
              <w:rPr>
                <w:rFonts w:ascii="Times New Roman" w:hAnsi="Times New Roman" w:cs="Times New Roman"/>
                <w:sz w:val="24"/>
                <w:szCs w:val="24"/>
                <w:vertAlign w:val="subscript"/>
              </w:rPr>
              <w:t>В21</w:t>
            </w:r>
            <w:r w:rsidRPr="00A71729">
              <w:rPr>
                <w:rFonts w:ascii="Times New Roman" w:hAnsi="Times New Roman" w:cs="Times New Roman"/>
                <w:sz w:val="24"/>
                <w:szCs w:val="24"/>
              </w:rPr>
              <w:t xml:space="preserve"> - нормативні втрати газу за відповідний період за умовної нормативної герметичності обладнання та приладів ГРП, ГРПБ, ГРУ, ШРП, КБРТ, м</w:t>
            </w:r>
            <w:r w:rsidRPr="00A71729">
              <w:rPr>
                <w:rFonts w:ascii="Times New Roman" w:hAnsi="Times New Roman" w:cs="Times New Roman"/>
                <w:sz w:val="24"/>
                <w:szCs w:val="24"/>
                <w:vertAlign w:val="superscript"/>
              </w:rPr>
              <w:t>3</w:t>
            </w:r>
            <w:r w:rsidRPr="00A71729">
              <w:rPr>
                <w:rFonts w:ascii="Times New Roman" w:hAnsi="Times New Roman" w:cs="Times New Roman"/>
                <w:sz w:val="24"/>
                <w:szCs w:val="24"/>
              </w:rPr>
              <w:t>, визначаються згідно з додатком 4 до цієї Методики за умовним вхідним діаметром регулятора, вхідним тиском, типом та кількістю газового обладнання та приладів і кількістю діб у звітному періоді та розраховуються за формулою</w:t>
            </w:r>
          </w:p>
          <w:tbl>
            <w:tblPr>
              <w:tblW w:w="4941" w:type="pct"/>
              <w:jc w:val="center"/>
              <w:tblCellMar>
                <w:top w:w="60" w:type="dxa"/>
                <w:left w:w="60" w:type="dxa"/>
                <w:bottom w:w="60" w:type="dxa"/>
                <w:right w:w="60" w:type="dxa"/>
              </w:tblCellMar>
              <w:tblLook w:val="04A0" w:firstRow="1" w:lastRow="0" w:firstColumn="1" w:lastColumn="0" w:noHBand="0" w:noVBand="1"/>
            </w:tblPr>
            <w:tblGrid>
              <w:gridCol w:w="4345"/>
              <w:gridCol w:w="518"/>
            </w:tblGrid>
            <w:tr w:rsidR="00C632D7" w:rsidRPr="00A71729" w14:paraId="7A66FCD1" w14:textId="77777777" w:rsidTr="00B3006C">
              <w:trPr>
                <w:jc w:val="center"/>
              </w:trPr>
              <w:tc>
                <w:tcPr>
                  <w:tcW w:w="6639" w:type="dxa"/>
                  <w:hideMark/>
                </w:tcPr>
                <w:p w14:paraId="278BD76D" w14:textId="77777777" w:rsidR="00C632D7" w:rsidRPr="00A71729" w:rsidRDefault="00C632D7" w:rsidP="00C632D7">
                  <w:pPr>
                    <w:pStyle w:val="rvps12"/>
                    <w:spacing w:before="150" w:beforeAutospacing="0" w:after="150" w:afterAutospacing="0"/>
                    <w:jc w:val="both"/>
                  </w:pPr>
                  <w:r w:rsidRPr="00A71729">
                    <w:rPr>
                      <w:rStyle w:val="rvts9"/>
                      <w:rFonts w:eastAsiaTheme="majorEastAsia"/>
                      <w:bCs/>
                    </w:rPr>
                    <w:t>Q</w:t>
                  </w:r>
                  <w:r w:rsidRPr="00A71729">
                    <w:rPr>
                      <w:rStyle w:val="rvts40"/>
                      <w:bCs/>
                      <w:vertAlign w:val="subscript"/>
                    </w:rPr>
                    <w:t>В21</w:t>
                  </w:r>
                  <w:r w:rsidRPr="00A71729">
                    <w:rPr>
                      <w:rStyle w:val="rvts9"/>
                      <w:rFonts w:eastAsiaTheme="majorEastAsia"/>
                      <w:bCs/>
                    </w:rPr>
                    <w:t> = </w:t>
                  </w:r>
                  <w:r w:rsidRPr="00A71729">
                    <w:rPr>
                      <w:rStyle w:val="rvts80"/>
                    </w:rPr>
                    <w:t>ƒ</w:t>
                  </w:r>
                  <w:r w:rsidRPr="00A71729">
                    <w:rPr>
                      <w:rStyle w:val="rvts9"/>
                      <w:rFonts w:eastAsiaTheme="majorEastAsia"/>
                      <w:bCs/>
                    </w:rPr>
                    <w:t> (</w:t>
                  </w:r>
                  <w:proofErr w:type="spellStart"/>
                  <w:r w:rsidRPr="00A71729">
                    <w:rPr>
                      <w:rStyle w:val="rvts9"/>
                      <w:rFonts w:eastAsiaTheme="majorEastAsia"/>
                      <w:bCs/>
                    </w:rPr>
                    <w:t>Ду</w:t>
                  </w:r>
                  <w:r w:rsidRPr="00A71729">
                    <w:rPr>
                      <w:rStyle w:val="rvts40"/>
                      <w:bCs/>
                      <w:vertAlign w:val="subscript"/>
                    </w:rPr>
                    <w:t>вх</w:t>
                  </w:r>
                  <w:proofErr w:type="spellEnd"/>
                  <w:r w:rsidRPr="00A71729">
                    <w:rPr>
                      <w:rStyle w:val="rvts9"/>
                      <w:rFonts w:eastAsiaTheme="majorEastAsia"/>
                      <w:bCs/>
                    </w:rPr>
                    <w:t xml:space="preserve">, </w:t>
                  </w:r>
                  <w:proofErr w:type="spellStart"/>
                  <w:r w:rsidRPr="00A71729">
                    <w:rPr>
                      <w:rStyle w:val="rvts9"/>
                      <w:rFonts w:eastAsiaTheme="majorEastAsia"/>
                      <w:bCs/>
                    </w:rPr>
                    <w:t>P</w:t>
                  </w:r>
                  <w:r w:rsidRPr="00A71729">
                    <w:rPr>
                      <w:rStyle w:val="rvts40"/>
                      <w:bCs/>
                      <w:vertAlign w:val="subscript"/>
                    </w:rPr>
                    <w:t>вх</w:t>
                  </w:r>
                  <w:proofErr w:type="spellEnd"/>
                  <w:r w:rsidRPr="00A71729">
                    <w:rPr>
                      <w:rStyle w:val="rvts9"/>
                      <w:rFonts w:eastAsiaTheme="majorEastAsia"/>
                      <w:bCs/>
                    </w:rPr>
                    <w:t>, тип обладнання),</w:t>
                  </w:r>
                </w:p>
              </w:tc>
              <w:tc>
                <w:tcPr>
                  <w:tcW w:w="616" w:type="dxa"/>
                  <w:hideMark/>
                </w:tcPr>
                <w:p w14:paraId="3AD437A1" w14:textId="77777777" w:rsidR="00C632D7" w:rsidRPr="00A71729" w:rsidRDefault="00C632D7" w:rsidP="00C632D7">
                  <w:pPr>
                    <w:pStyle w:val="rvps11"/>
                    <w:spacing w:before="150" w:beforeAutospacing="0" w:after="150" w:afterAutospacing="0"/>
                    <w:jc w:val="both"/>
                    <w:rPr>
                      <w:lang w:val="uk-UA"/>
                    </w:rPr>
                  </w:pPr>
                  <w:r w:rsidRPr="00A71729">
                    <w:rPr>
                      <w:lang w:val="uk-UA"/>
                    </w:rPr>
                    <w:t>(4)</w:t>
                  </w:r>
                </w:p>
              </w:tc>
            </w:tr>
          </w:tbl>
          <w:p w14:paraId="5BFDDC41" w14:textId="77777777" w:rsidR="00C632D7" w:rsidRPr="00A71729" w:rsidRDefault="00C632D7" w:rsidP="00C632D7">
            <w:pPr>
              <w:shd w:val="clear" w:color="auto" w:fill="FFFFFF"/>
              <w:jc w:val="both"/>
              <w:rPr>
                <w:rFonts w:ascii="Times New Roman" w:hAnsi="Times New Roman" w:cs="Times New Roman"/>
                <w:vanish/>
                <w:sz w:val="24"/>
                <w:szCs w:val="24"/>
              </w:rPr>
            </w:pPr>
            <w:r w:rsidRPr="00A71729">
              <w:rPr>
                <w:rFonts w:ascii="Times New Roman" w:hAnsi="Times New Roman" w:cs="Times New Roman"/>
                <w:vanish/>
                <w:sz w:val="24"/>
                <w:szCs w:val="24"/>
              </w:rPr>
              <w:t>Де Ду</w:t>
            </w:r>
            <w:r w:rsidRPr="00A71729">
              <w:rPr>
                <w:rFonts w:ascii="Times New Roman" w:hAnsi="Times New Roman" w:cs="Times New Roman"/>
                <w:vanish/>
                <w:sz w:val="24"/>
                <w:szCs w:val="24"/>
                <w:vertAlign w:val="subscript"/>
              </w:rPr>
              <w:t xml:space="preserve">вх </w:t>
            </w:r>
            <w:r w:rsidRPr="00A71729">
              <w:rPr>
                <w:rFonts w:ascii="Times New Roman" w:hAnsi="Times New Roman" w:cs="Times New Roman"/>
                <w:vanish/>
                <w:sz w:val="24"/>
                <w:szCs w:val="24"/>
              </w:rPr>
              <w:t>- умовний вхідний діаметр регулятора, мм;</w:t>
            </w:r>
          </w:p>
          <w:p w14:paraId="34F78D0B" w14:textId="77777777" w:rsidR="00C632D7" w:rsidRPr="00A71729" w:rsidRDefault="00C632D7" w:rsidP="00C632D7">
            <w:pPr>
              <w:shd w:val="clear" w:color="auto" w:fill="FFFFFF"/>
              <w:jc w:val="both"/>
              <w:rPr>
                <w:rFonts w:ascii="Times New Roman" w:hAnsi="Times New Roman" w:cs="Times New Roman"/>
                <w:vanish/>
                <w:sz w:val="24"/>
                <w:szCs w:val="24"/>
              </w:rPr>
            </w:pPr>
            <w:r w:rsidRPr="00A71729">
              <w:rPr>
                <w:rFonts w:ascii="Times New Roman" w:hAnsi="Times New Roman" w:cs="Times New Roman"/>
                <w:vanish/>
                <w:sz w:val="24"/>
                <w:szCs w:val="24"/>
              </w:rPr>
              <w:t>P</w:t>
            </w:r>
            <w:r w:rsidRPr="00A71729">
              <w:rPr>
                <w:rFonts w:ascii="Times New Roman" w:hAnsi="Times New Roman" w:cs="Times New Roman"/>
                <w:vanish/>
                <w:sz w:val="24"/>
                <w:szCs w:val="24"/>
                <w:vertAlign w:val="subscript"/>
              </w:rPr>
              <w:t xml:space="preserve">вх </w:t>
            </w:r>
            <w:r w:rsidRPr="00A71729">
              <w:rPr>
                <w:rFonts w:ascii="Times New Roman" w:hAnsi="Times New Roman" w:cs="Times New Roman"/>
                <w:vanish/>
                <w:sz w:val="24"/>
                <w:szCs w:val="24"/>
              </w:rPr>
              <w:t>- тиск газу на вході регулятора, кгс/см</w:t>
            </w:r>
            <w:r w:rsidRPr="00A71729">
              <w:rPr>
                <w:rFonts w:ascii="Times New Roman" w:hAnsi="Times New Roman" w:cs="Times New Roman"/>
                <w:vanish/>
                <w:sz w:val="24"/>
                <w:szCs w:val="24"/>
                <w:vertAlign w:val="superscript"/>
              </w:rPr>
              <w:t>2</w:t>
            </w:r>
            <w:r w:rsidRPr="00A71729">
              <w:rPr>
                <w:rFonts w:ascii="Times New Roman" w:hAnsi="Times New Roman" w:cs="Times New Roman"/>
                <w:vanish/>
                <w:sz w:val="24"/>
                <w:szCs w:val="24"/>
              </w:rPr>
              <w:t>;</w:t>
            </w:r>
          </w:p>
          <w:p w14:paraId="3DFFD052" w14:textId="0F9568D8" w:rsidR="00C632D7" w:rsidRPr="00A71729" w:rsidRDefault="00C632D7" w:rsidP="00162996">
            <w:pPr>
              <w:pStyle w:val="a3"/>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тип обладнання - ГРП, ГРПБ, ГРУ, ШРП, що знаходяться на балансі Оператора ГРМ </w:t>
            </w:r>
            <w:r w:rsidRPr="00A71729">
              <w:rPr>
                <w:rFonts w:ascii="Times New Roman" w:hAnsi="Times New Roman" w:cs="Times New Roman"/>
                <w:b/>
                <w:sz w:val="24"/>
                <w:szCs w:val="24"/>
                <w:lang w:val="uk-UA"/>
              </w:rPr>
              <w:t>та/або передані Оператору ГРМ в експлуатацію на підставі відповідного договору та не знаходяться на балансі оператора ГРМ</w:t>
            </w:r>
            <w:r w:rsidRPr="00A71729">
              <w:rPr>
                <w:rFonts w:ascii="Times New Roman" w:hAnsi="Times New Roman" w:cs="Times New Roman"/>
                <w:sz w:val="24"/>
                <w:szCs w:val="24"/>
                <w:lang w:val="uk-UA"/>
              </w:rPr>
              <w:t xml:space="preserve">, у </w:t>
            </w:r>
            <w:r w:rsidRPr="00A71729">
              <w:rPr>
                <w:rFonts w:ascii="Times New Roman" w:hAnsi="Times New Roman" w:cs="Times New Roman"/>
                <w:sz w:val="24"/>
                <w:szCs w:val="24"/>
                <w:lang w:val="uk-UA"/>
              </w:rPr>
              <w:lastRenderedPageBreak/>
              <w:t>яких розміщені регулятори тиску, що не потребують для своєї роботи стороннього джерела енергії (газу); комбіновані будинкові регулятори тиску газу (КБРТ);</w:t>
            </w:r>
            <w:r w:rsidR="000D1193">
              <w:rPr>
                <w:rFonts w:ascii="Times New Roman" w:hAnsi="Times New Roman" w:cs="Times New Roman"/>
                <w:sz w:val="24"/>
                <w:szCs w:val="24"/>
                <w:lang w:val="uk-UA"/>
              </w:rPr>
              <w:t>»</w:t>
            </w:r>
          </w:p>
          <w:p w14:paraId="4382878A" w14:textId="77777777" w:rsidR="00F34116" w:rsidRPr="00A71729" w:rsidRDefault="00F34116" w:rsidP="00C632D7">
            <w:pPr>
              <w:pStyle w:val="a3"/>
              <w:ind w:firstLine="567"/>
              <w:jc w:val="both"/>
              <w:rPr>
                <w:rFonts w:ascii="Times New Roman" w:hAnsi="Times New Roman" w:cs="Times New Roman"/>
                <w:sz w:val="24"/>
                <w:szCs w:val="24"/>
                <w:lang w:val="uk-UA"/>
              </w:rPr>
            </w:pPr>
          </w:p>
          <w:p w14:paraId="384CA318" w14:textId="77777777" w:rsidR="00F34116" w:rsidRPr="00A71729" w:rsidRDefault="00F34116" w:rsidP="00F34116">
            <w:pPr>
              <w:pStyle w:val="rvps2"/>
              <w:shd w:val="clear" w:color="auto" w:fill="FFFFFF"/>
              <w:spacing w:before="0" w:beforeAutospacing="0" w:after="0" w:afterAutospacing="0"/>
              <w:ind w:firstLine="567"/>
              <w:jc w:val="both"/>
              <w:rPr>
                <w:b/>
                <w:bCs/>
                <w:i/>
                <w:lang w:val="uk-UA"/>
              </w:rPr>
            </w:pPr>
            <w:r w:rsidRPr="00A71729">
              <w:rPr>
                <w:b/>
                <w:bCs/>
                <w:i/>
                <w:lang w:val="uk-UA"/>
              </w:rPr>
              <w:t>Обґрунтування:</w:t>
            </w:r>
          </w:p>
          <w:p w14:paraId="7F855C98" w14:textId="10898EBA" w:rsidR="00236430" w:rsidRPr="00A71729" w:rsidRDefault="00F34116" w:rsidP="00236430">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З метою  уникнення можливою неоднозначності, коли оператор,  отримавши  майно  в експлуатацію  та  обліковуючи його  на  балансі,  подає  до НКРЕКП інформацію про втрати одночасно по двом позиціям: </w:t>
            </w:r>
          </w:p>
          <w:p w14:paraId="63FCC2D2" w14:textId="58DC9C7E" w:rsidR="00236430" w:rsidRPr="00A71729" w:rsidRDefault="00F34116" w:rsidP="00236430">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1) на ГРП,  ГРПБ,  ГРУ, ШРП,  що  передані  Оператору ГРМ  в  експлуатацію на підставі відповідного  договору  та знаходяться  на  балансі Оператора ГРМ. </w:t>
            </w:r>
          </w:p>
          <w:p w14:paraId="55128276" w14:textId="353FB327" w:rsidR="00236430" w:rsidRPr="00A71729" w:rsidRDefault="00F34116" w:rsidP="00236430">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2) на  ГРП,  ГРПБ,  ГРУ, ШРП,  що  передані Оператору ГРМ в  експлуатацію на підставі відповідного договору. </w:t>
            </w:r>
          </w:p>
          <w:p w14:paraId="745E9D97" w14:textId="63A98188" w:rsidR="00F34116" w:rsidRPr="00A71729" w:rsidRDefault="00F34116" w:rsidP="00241D8A">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Тому пропоную визначити,  що  враховуються втрати природного  газу на ГРП та ШРП, що передані Оператору ГРМ у експлуатацію  на  підставі відповідного договору та не знаходяться на його балансі.</w:t>
            </w:r>
          </w:p>
        </w:tc>
        <w:tc>
          <w:tcPr>
            <w:tcW w:w="1667" w:type="pct"/>
            <w:gridSpan w:val="2"/>
            <w:tcBorders>
              <w:top w:val="single" w:sz="6" w:space="0" w:color="000000"/>
              <w:left w:val="single" w:sz="6" w:space="0" w:color="000000"/>
              <w:right w:val="single" w:sz="6" w:space="0" w:color="000000"/>
            </w:tcBorders>
            <w:shd w:val="clear" w:color="auto" w:fill="FFFFFF"/>
          </w:tcPr>
          <w:p w14:paraId="28920AE8" w14:textId="16484BDD" w:rsidR="00C632D7" w:rsidRPr="00A71729" w:rsidRDefault="00127609" w:rsidP="00C632D7">
            <w:pPr>
              <w:spacing w:after="0" w:line="240" w:lineRule="auto"/>
              <w:ind w:firstLine="567"/>
              <w:jc w:val="both"/>
              <w:rPr>
                <w:rFonts w:ascii="Times New Roman" w:eastAsia="Times New Roman" w:hAnsi="Times New Roman" w:cs="Times New Roman"/>
                <w:b/>
                <w:sz w:val="24"/>
                <w:szCs w:val="24"/>
                <w:lang w:eastAsia="uk-UA"/>
              </w:rPr>
            </w:pPr>
            <w:r w:rsidRPr="00A71729">
              <w:rPr>
                <w:rFonts w:ascii="Times New Roman" w:eastAsia="Times New Roman" w:hAnsi="Times New Roman" w:cs="Times New Roman"/>
                <w:b/>
                <w:sz w:val="24"/>
                <w:szCs w:val="24"/>
                <w:lang w:eastAsia="uk-UA"/>
              </w:rPr>
              <w:lastRenderedPageBreak/>
              <w:t xml:space="preserve">Попередньо </w:t>
            </w:r>
            <w:r w:rsidR="00E130ED">
              <w:rPr>
                <w:rFonts w:ascii="Times New Roman" w:eastAsia="Times New Roman" w:hAnsi="Times New Roman" w:cs="Times New Roman"/>
                <w:b/>
                <w:sz w:val="24"/>
                <w:szCs w:val="24"/>
                <w:lang w:eastAsia="uk-UA"/>
              </w:rPr>
              <w:t>враховано частково</w:t>
            </w:r>
            <w:r w:rsidRPr="00A71729">
              <w:rPr>
                <w:rFonts w:ascii="Times New Roman" w:eastAsia="Times New Roman" w:hAnsi="Times New Roman" w:cs="Times New Roman"/>
                <w:b/>
                <w:sz w:val="24"/>
                <w:szCs w:val="24"/>
                <w:lang w:eastAsia="uk-UA"/>
              </w:rPr>
              <w:t xml:space="preserve"> </w:t>
            </w:r>
          </w:p>
          <w:p w14:paraId="13696141" w14:textId="2213AC9A" w:rsidR="00E130ED" w:rsidRPr="007555AD" w:rsidRDefault="00E130ED" w:rsidP="00237FE1">
            <w:pPr>
              <w:jc w:val="both"/>
              <w:rPr>
                <w:rFonts w:ascii="Times New Roman" w:eastAsia="Times New Roman" w:hAnsi="Times New Roman" w:cs="Times New Roman"/>
                <w:i/>
                <w:sz w:val="24"/>
                <w:szCs w:val="24"/>
                <w:lang w:eastAsia="uk-UA"/>
              </w:rPr>
            </w:pPr>
            <w:r w:rsidRPr="007555AD">
              <w:rPr>
                <w:rFonts w:ascii="Times New Roman" w:eastAsia="Times New Roman" w:hAnsi="Times New Roman" w:cs="Times New Roman"/>
                <w:i/>
                <w:sz w:val="24"/>
                <w:szCs w:val="24"/>
                <w:lang w:eastAsia="uk-UA"/>
              </w:rPr>
              <w:t xml:space="preserve">Пропонуємо абзац </w:t>
            </w:r>
            <w:r w:rsidR="007555AD" w:rsidRPr="007555AD">
              <w:rPr>
                <w:rFonts w:ascii="Times New Roman" w:eastAsia="Times New Roman" w:hAnsi="Times New Roman" w:cs="Times New Roman"/>
                <w:i/>
                <w:sz w:val="24"/>
                <w:szCs w:val="24"/>
                <w:lang w:eastAsia="uk-UA"/>
              </w:rPr>
              <w:t>дев’ятнадцятий викласти у редакції:</w:t>
            </w:r>
          </w:p>
          <w:p w14:paraId="68231DD0" w14:textId="357B0368" w:rsidR="00127609" w:rsidRDefault="007555AD" w:rsidP="007555AD">
            <w:pPr>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001A7127" w:rsidRPr="00A71729">
              <w:rPr>
                <w:rFonts w:ascii="Times New Roman" w:hAnsi="Times New Roman" w:cs="Times New Roman"/>
                <w:sz w:val="24"/>
                <w:szCs w:val="24"/>
              </w:rPr>
              <w:t>тип обладнання - ГРП, ГРПБ, ГРУ, ШРП, що знаходяться на балансі Оператора ГРМ</w:t>
            </w:r>
            <w:r w:rsidR="001A7127" w:rsidRPr="003B3151">
              <w:rPr>
                <w:rFonts w:ascii="Times New Roman" w:hAnsi="Times New Roman" w:cs="Times New Roman"/>
                <w:b/>
                <w:sz w:val="24"/>
                <w:szCs w:val="24"/>
              </w:rPr>
              <w:t>,</w:t>
            </w:r>
            <w:r w:rsidR="001A7127">
              <w:rPr>
                <w:rFonts w:ascii="Times New Roman" w:hAnsi="Times New Roman" w:cs="Times New Roman"/>
                <w:sz w:val="24"/>
                <w:szCs w:val="24"/>
              </w:rPr>
              <w:t xml:space="preserve"> </w:t>
            </w:r>
            <w:r w:rsidR="001A7127" w:rsidRPr="00A71729">
              <w:rPr>
                <w:rFonts w:ascii="Times New Roman" w:hAnsi="Times New Roman" w:cs="Times New Roman"/>
                <w:b/>
                <w:sz w:val="24"/>
                <w:szCs w:val="24"/>
              </w:rPr>
              <w:t xml:space="preserve">передані Оператору ГРМ в експлуатацію на підставі </w:t>
            </w:r>
            <w:r w:rsidR="00864D0F">
              <w:rPr>
                <w:rFonts w:ascii="Times New Roman" w:hAnsi="Times New Roman" w:cs="Times New Roman"/>
                <w:b/>
                <w:sz w:val="24"/>
                <w:szCs w:val="24"/>
              </w:rPr>
              <w:t xml:space="preserve">відповідного </w:t>
            </w:r>
            <w:r w:rsidR="001A7127" w:rsidRPr="00A71729">
              <w:rPr>
                <w:rFonts w:ascii="Times New Roman" w:hAnsi="Times New Roman" w:cs="Times New Roman"/>
                <w:b/>
                <w:sz w:val="24"/>
                <w:szCs w:val="24"/>
              </w:rPr>
              <w:t>договор</w:t>
            </w:r>
            <w:r w:rsidR="00C857DD">
              <w:rPr>
                <w:rFonts w:ascii="Times New Roman" w:hAnsi="Times New Roman" w:cs="Times New Roman"/>
                <w:b/>
                <w:sz w:val="24"/>
                <w:szCs w:val="24"/>
              </w:rPr>
              <w:t>у</w:t>
            </w:r>
            <w:r w:rsidR="00115D27">
              <w:rPr>
                <w:rFonts w:ascii="Times New Roman" w:hAnsi="Times New Roman" w:cs="Times New Roman"/>
                <w:b/>
                <w:sz w:val="24"/>
                <w:szCs w:val="24"/>
              </w:rPr>
              <w:t xml:space="preserve"> без передачі на баланс Оператора ГРМ</w:t>
            </w:r>
            <w:r w:rsidR="001A7127" w:rsidRPr="00A71729">
              <w:rPr>
                <w:rFonts w:ascii="Times New Roman" w:hAnsi="Times New Roman" w:cs="Times New Roman"/>
                <w:sz w:val="24"/>
                <w:szCs w:val="24"/>
              </w:rPr>
              <w:t>, у яких розміщені регулятори тиску, що не потребують для своєї роботи стороннього джерела енергії (газу); комбіновані будинкові регулятори тиску газу (КБРТ)</w:t>
            </w:r>
            <w:r>
              <w:rPr>
                <w:rFonts w:ascii="Times New Roman" w:eastAsia="Times New Roman" w:hAnsi="Times New Roman" w:cs="Times New Roman"/>
                <w:sz w:val="24"/>
                <w:szCs w:val="24"/>
                <w:lang w:eastAsia="uk-UA"/>
              </w:rPr>
              <w:t>».</w:t>
            </w:r>
          </w:p>
          <w:p w14:paraId="443528F5" w14:textId="55F12451" w:rsidR="003320E0" w:rsidRPr="00A71729" w:rsidRDefault="003320E0" w:rsidP="000919E3">
            <w:pPr>
              <w:jc w:val="both"/>
              <w:rPr>
                <w:rFonts w:ascii="Times New Roman" w:eastAsia="Times New Roman" w:hAnsi="Times New Roman" w:cs="Times New Roman"/>
                <w:sz w:val="24"/>
                <w:szCs w:val="24"/>
                <w:lang w:eastAsia="uk-UA"/>
              </w:rPr>
            </w:pPr>
          </w:p>
        </w:tc>
      </w:tr>
      <w:tr w:rsidR="0071715E" w:rsidRPr="00FB62F2" w14:paraId="20BC9504" w14:textId="77777777" w:rsidTr="00E769A1">
        <w:trPr>
          <w:trHeight w:val="744"/>
        </w:trPr>
        <w:tc>
          <w:tcPr>
            <w:tcW w:w="1666" w:type="pct"/>
            <w:tcBorders>
              <w:top w:val="single" w:sz="6" w:space="0" w:color="000000"/>
              <w:left w:val="single" w:sz="6" w:space="0" w:color="000000"/>
              <w:bottom w:val="single" w:sz="6" w:space="0" w:color="000000"/>
              <w:right w:val="single" w:sz="6" w:space="0" w:color="000000"/>
            </w:tcBorders>
            <w:shd w:val="clear" w:color="auto" w:fill="FFFFFF"/>
          </w:tcPr>
          <w:p w14:paraId="2645F429"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lastRenderedPageBreak/>
              <w:t>Q</w:t>
            </w:r>
            <w:r w:rsidRPr="00A71729">
              <w:rPr>
                <w:rFonts w:ascii="Times New Roman" w:hAnsi="Times New Roman" w:cs="Times New Roman"/>
                <w:sz w:val="24"/>
                <w:szCs w:val="24"/>
                <w:vertAlign w:val="subscript"/>
              </w:rPr>
              <w:t xml:space="preserve">В22 </w:t>
            </w:r>
            <w:r w:rsidRPr="00A71729">
              <w:rPr>
                <w:rFonts w:ascii="Times New Roman" w:hAnsi="Times New Roman" w:cs="Times New Roman"/>
                <w:sz w:val="24"/>
                <w:szCs w:val="24"/>
              </w:rPr>
              <w:t xml:space="preserve">- нормативні втрати газу за відповідний період, що виникають унаслідок спрацювання запобіжно-скидних клапанів ГРП, ГРПБ, ГРУ, ШРП, що знаходяться на балансі Оператора ГРМ </w:t>
            </w:r>
            <w:bookmarkStart w:id="0" w:name="_Hlk151036675"/>
            <w:r w:rsidRPr="00A71729">
              <w:rPr>
                <w:rFonts w:ascii="Times New Roman" w:hAnsi="Times New Roman" w:cs="Times New Roman"/>
                <w:b/>
                <w:sz w:val="24"/>
                <w:szCs w:val="24"/>
              </w:rPr>
              <w:t xml:space="preserve">та/або передані Оператору ГРМ в експлуатацію на підставі відповідного договору </w:t>
            </w:r>
            <w:bookmarkEnd w:id="0"/>
            <w:r w:rsidRPr="00A71729">
              <w:rPr>
                <w:rFonts w:ascii="Times New Roman" w:hAnsi="Times New Roman" w:cs="Times New Roman"/>
                <w:sz w:val="24"/>
                <w:szCs w:val="24"/>
              </w:rPr>
              <w:t>та внаслідок спрацювання скидних клапанів комбінованих регуляторів КБРТ, м</w:t>
            </w:r>
            <w:r w:rsidRPr="00A71729">
              <w:rPr>
                <w:rFonts w:ascii="Times New Roman" w:hAnsi="Times New Roman" w:cs="Times New Roman"/>
                <w:sz w:val="24"/>
                <w:szCs w:val="24"/>
                <w:vertAlign w:val="superscript"/>
              </w:rPr>
              <w:t>3</w:t>
            </w:r>
            <w:r w:rsidRPr="00A71729">
              <w:rPr>
                <w:rFonts w:ascii="Times New Roman" w:hAnsi="Times New Roman" w:cs="Times New Roman"/>
                <w:sz w:val="24"/>
                <w:szCs w:val="24"/>
              </w:rPr>
              <w:t xml:space="preserve">, визначаються згідно з додатком 5 до цієї Методики за кількістю газового обладнання, умовним діаметром вихідного патрубка ЗСК, тиском на виході регулятора (на вході ЗСК) і </w:t>
            </w:r>
            <w:r w:rsidRPr="00A71729">
              <w:rPr>
                <w:rFonts w:ascii="Times New Roman" w:hAnsi="Times New Roman" w:cs="Times New Roman"/>
                <w:sz w:val="24"/>
                <w:szCs w:val="24"/>
              </w:rPr>
              <w:lastRenderedPageBreak/>
              <w:t>кількістю діб у звітному періоді та розраховуються за формулою</w:t>
            </w:r>
          </w:p>
          <w:p w14:paraId="64B493F9" w14:textId="77777777" w:rsidR="0071715E" w:rsidRPr="00A71729" w:rsidRDefault="0071715E" w:rsidP="0071715E">
            <w:pPr>
              <w:jc w:val="both"/>
              <w:rPr>
                <w:rFonts w:ascii="Times New Roman" w:hAnsi="Times New Roman" w:cs="Times New Roman"/>
                <w:sz w:val="24"/>
                <w:szCs w:val="24"/>
              </w:rPr>
            </w:pPr>
          </w:p>
          <w:tbl>
            <w:tblPr>
              <w:tblW w:w="5000" w:type="pct"/>
              <w:tblCellMar>
                <w:top w:w="60" w:type="dxa"/>
                <w:left w:w="60" w:type="dxa"/>
                <w:bottom w:w="60" w:type="dxa"/>
                <w:right w:w="60" w:type="dxa"/>
              </w:tblCellMar>
              <w:tblLook w:val="04A0" w:firstRow="1" w:lastRow="0" w:firstColumn="1" w:lastColumn="0" w:noHBand="0" w:noVBand="1"/>
            </w:tblPr>
            <w:tblGrid>
              <w:gridCol w:w="4519"/>
              <w:gridCol w:w="400"/>
            </w:tblGrid>
            <w:tr w:rsidR="0071715E" w:rsidRPr="00A71729" w14:paraId="54119153" w14:textId="77777777" w:rsidTr="00B3006C">
              <w:tc>
                <w:tcPr>
                  <w:tcW w:w="4600" w:type="pct"/>
                  <w:hideMark/>
                </w:tcPr>
                <w:p w14:paraId="7E9D9171" w14:textId="77777777" w:rsidR="0071715E" w:rsidRPr="00A71729" w:rsidRDefault="0071715E" w:rsidP="0071715E">
                  <w:pPr>
                    <w:pStyle w:val="rvps12"/>
                    <w:spacing w:before="150" w:beforeAutospacing="0" w:after="150" w:afterAutospacing="0"/>
                    <w:jc w:val="both"/>
                  </w:pPr>
                  <w:r w:rsidRPr="00A71729">
                    <w:rPr>
                      <w:rStyle w:val="rvts9"/>
                      <w:rFonts w:eastAsiaTheme="majorEastAsia"/>
                      <w:bCs/>
                    </w:rPr>
                    <w:t>Q</w:t>
                  </w:r>
                  <w:r w:rsidRPr="00A71729">
                    <w:rPr>
                      <w:rStyle w:val="rvts40"/>
                      <w:bCs/>
                      <w:vertAlign w:val="subscript"/>
                    </w:rPr>
                    <w:t>В22</w:t>
                  </w:r>
                  <w:r w:rsidRPr="00A71729">
                    <w:rPr>
                      <w:rStyle w:val="rvts9"/>
                      <w:rFonts w:eastAsiaTheme="majorEastAsia"/>
                      <w:bCs/>
                    </w:rPr>
                    <w:t> = </w:t>
                  </w:r>
                  <w:r w:rsidRPr="00A71729">
                    <w:rPr>
                      <w:rStyle w:val="rvts80"/>
                      <w:bCs/>
                    </w:rPr>
                    <w:t>ƒ</w:t>
                  </w:r>
                  <w:r w:rsidRPr="00A71729">
                    <w:rPr>
                      <w:rStyle w:val="rvts9"/>
                      <w:rFonts w:eastAsiaTheme="majorEastAsia"/>
                      <w:bCs/>
                    </w:rPr>
                    <w:t> (</w:t>
                  </w:r>
                  <w:proofErr w:type="spellStart"/>
                  <w:r w:rsidRPr="00A71729">
                    <w:rPr>
                      <w:rStyle w:val="rvts9"/>
                      <w:rFonts w:eastAsiaTheme="majorEastAsia"/>
                      <w:bCs/>
                    </w:rPr>
                    <w:t>Ду</w:t>
                  </w:r>
                  <w:r w:rsidRPr="00A71729">
                    <w:rPr>
                      <w:rStyle w:val="rvts40"/>
                      <w:bCs/>
                      <w:vertAlign w:val="subscript"/>
                    </w:rPr>
                    <w:t>ЗСК</w:t>
                  </w:r>
                  <w:proofErr w:type="spellEnd"/>
                  <w:r w:rsidRPr="00A71729">
                    <w:rPr>
                      <w:rStyle w:val="rvts9"/>
                      <w:rFonts w:eastAsiaTheme="majorEastAsia"/>
                      <w:bCs/>
                    </w:rPr>
                    <w:t xml:space="preserve">, </w:t>
                  </w:r>
                  <w:proofErr w:type="spellStart"/>
                  <w:r w:rsidRPr="00A71729">
                    <w:rPr>
                      <w:rStyle w:val="rvts9"/>
                      <w:rFonts w:eastAsiaTheme="majorEastAsia"/>
                      <w:bCs/>
                    </w:rPr>
                    <w:t>P</w:t>
                  </w:r>
                  <w:r w:rsidRPr="00A71729">
                    <w:rPr>
                      <w:rStyle w:val="rvts40"/>
                      <w:bCs/>
                      <w:vertAlign w:val="subscript"/>
                    </w:rPr>
                    <w:t>вих</w:t>
                  </w:r>
                  <w:proofErr w:type="spellEnd"/>
                  <w:r w:rsidRPr="00A71729">
                    <w:rPr>
                      <w:rStyle w:val="rvts9"/>
                      <w:rFonts w:eastAsiaTheme="majorEastAsia"/>
                      <w:bCs/>
                    </w:rPr>
                    <w:t>),</w:t>
                  </w:r>
                </w:p>
              </w:tc>
              <w:tc>
                <w:tcPr>
                  <w:tcW w:w="400" w:type="pct"/>
                  <w:tcBorders>
                    <w:left w:val="nil"/>
                  </w:tcBorders>
                  <w:hideMark/>
                </w:tcPr>
                <w:p w14:paraId="7DE1A205" w14:textId="77777777" w:rsidR="0071715E" w:rsidRPr="00A71729" w:rsidRDefault="0071715E" w:rsidP="0071715E">
                  <w:pPr>
                    <w:pStyle w:val="rvps11"/>
                    <w:spacing w:before="150" w:beforeAutospacing="0" w:after="150" w:afterAutospacing="0"/>
                    <w:jc w:val="both"/>
                    <w:rPr>
                      <w:lang w:val="uk-UA"/>
                    </w:rPr>
                  </w:pPr>
                  <w:r w:rsidRPr="00A71729">
                    <w:rPr>
                      <w:lang w:val="uk-UA"/>
                    </w:rPr>
                    <w:t>(5)</w:t>
                  </w:r>
                </w:p>
              </w:tc>
            </w:tr>
          </w:tbl>
          <w:p w14:paraId="41011291"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 xml:space="preserve">де </w:t>
            </w:r>
            <w:proofErr w:type="spellStart"/>
            <w:r w:rsidRPr="00A71729">
              <w:rPr>
                <w:rFonts w:ascii="Times New Roman" w:hAnsi="Times New Roman" w:cs="Times New Roman"/>
                <w:sz w:val="24"/>
                <w:szCs w:val="24"/>
              </w:rPr>
              <w:t>Ду</w:t>
            </w:r>
            <w:r w:rsidRPr="00A71729">
              <w:rPr>
                <w:rFonts w:ascii="Times New Roman" w:hAnsi="Times New Roman" w:cs="Times New Roman"/>
                <w:sz w:val="24"/>
                <w:szCs w:val="24"/>
                <w:vertAlign w:val="subscript"/>
              </w:rPr>
              <w:t>ЗСК</w:t>
            </w:r>
            <w:proofErr w:type="spellEnd"/>
            <w:r w:rsidRPr="00A71729">
              <w:rPr>
                <w:rFonts w:ascii="Times New Roman" w:hAnsi="Times New Roman" w:cs="Times New Roman"/>
                <w:sz w:val="24"/>
                <w:szCs w:val="24"/>
              </w:rPr>
              <w:t xml:space="preserve"> - умовний діаметр вихідного патрубка ЗСК, мм;</w:t>
            </w:r>
          </w:p>
          <w:p w14:paraId="6132105A" w14:textId="77777777" w:rsidR="0071715E" w:rsidRPr="00A71729" w:rsidRDefault="0071715E" w:rsidP="0071715E">
            <w:pPr>
              <w:jc w:val="both"/>
              <w:rPr>
                <w:rFonts w:ascii="Times New Roman" w:hAnsi="Times New Roman" w:cs="Times New Roman"/>
                <w:sz w:val="24"/>
                <w:szCs w:val="24"/>
              </w:rPr>
            </w:pPr>
            <w:proofErr w:type="spellStart"/>
            <w:r w:rsidRPr="00A71729">
              <w:rPr>
                <w:rFonts w:ascii="Times New Roman" w:hAnsi="Times New Roman" w:cs="Times New Roman"/>
                <w:sz w:val="24"/>
                <w:szCs w:val="24"/>
              </w:rPr>
              <w:t>P</w:t>
            </w:r>
            <w:r w:rsidRPr="00A71729">
              <w:rPr>
                <w:rFonts w:ascii="Times New Roman" w:hAnsi="Times New Roman" w:cs="Times New Roman"/>
                <w:sz w:val="24"/>
                <w:szCs w:val="24"/>
                <w:vertAlign w:val="subscript"/>
              </w:rPr>
              <w:t>вих</w:t>
            </w:r>
            <w:proofErr w:type="spellEnd"/>
            <w:r w:rsidRPr="00A71729">
              <w:rPr>
                <w:rFonts w:ascii="Times New Roman" w:hAnsi="Times New Roman" w:cs="Times New Roman"/>
                <w:sz w:val="24"/>
                <w:szCs w:val="24"/>
              </w:rPr>
              <w:t xml:space="preserve"> - тиск газу на виході регулятора (на вході ЗСК), </w:t>
            </w:r>
            <w:proofErr w:type="spellStart"/>
            <w:r w:rsidRPr="00A71729">
              <w:rPr>
                <w:rFonts w:ascii="Times New Roman" w:hAnsi="Times New Roman" w:cs="Times New Roman"/>
                <w:sz w:val="24"/>
                <w:szCs w:val="24"/>
              </w:rPr>
              <w:t>кгс</w:t>
            </w:r>
            <w:proofErr w:type="spellEnd"/>
            <w:r w:rsidRPr="00A71729">
              <w:rPr>
                <w:rFonts w:ascii="Times New Roman" w:hAnsi="Times New Roman" w:cs="Times New Roman"/>
                <w:sz w:val="24"/>
                <w:szCs w:val="24"/>
              </w:rPr>
              <w:t>/см</w:t>
            </w:r>
            <w:r w:rsidRPr="00A71729">
              <w:rPr>
                <w:rFonts w:ascii="Times New Roman" w:hAnsi="Times New Roman" w:cs="Times New Roman"/>
                <w:sz w:val="24"/>
                <w:szCs w:val="24"/>
                <w:vertAlign w:val="superscript"/>
              </w:rPr>
              <w:t>2</w:t>
            </w:r>
            <w:r w:rsidRPr="00A71729">
              <w:rPr>
                <w:rFonts w:ascii="Times New Roman" w:hAnsi="Times New Roman" w:cs="Times New Roman"/>
                <w:sz w:val="24"/>
                <w:szCs w:val="24"/>
              </w:rPr>
              <w:t>.</w:t>
            </w:r>
          </w:p>
          <w:p w14:paraId="58AA3811"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 xml:space="preserve">Нормативні втрати газу, що виникають внаслідок спрацювання запобіжно-скидних клапанів ГРП, ГРПБ, ГРУ, ШРП, </w:t>
            </w:r>
            <w:bookmarkStart w:id="1" w:name="_Hlk151036753"/>
            <w:r w:rsidRPr="00A71729">
              <w:rPr>
                <w:rFonts w:ascii="Times New Roman" w:hAnsi="Times New Roman" w:cs="Times New Roman"/>
                <w:sz w:val="24"/>
                <w:szCs w:val="24"/>
              </w:rPr>
              <w:t>КБРТ</w:t>
            </w:r>
            <w:bookmarkEnd w:id="1"/>
            <w:r w:rsidRPr="00A71729">
              <w:rPr>
                <w:rFonts w:ascii="Times New Roman" w:hAnsi="Times New Roman" w:cs="Times New Roman"/>
                <w:sz w:val="24"/>
                <w:szCs w:val="24"/>
              </w:rPr>
              <w:t>,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технічного огляду, встановленого Правилами, та на основі результатів статистичних досліджень, становить t = 0,15 год/місяць на один ГРП, ГРПБ, ШРП, КБРТ;</w:t>
            </w:r>
          </w:p>
          <w:p w14:paraId="2A4B8382" w14:textId="1535C92F" w:rsidR="0071715E" w:rsidRPr="00A71729" w:rsidRDefault="0071715E" w:rsidP="0071715E">
            <w:pPr>
              <w:spacing w:after="0" w:line="240" w:lineRule="auto"/>
              <w:jc w:val="both"/>
              <w:rPr>
                <w:rFonts w:ascii="Times New Roman" w:eastAsia="Times New Roman" w:hAnsi="Times New Roman" w:cs="Times New Roman"/>
                <w:b/>
                <w:sz w:val="24"/>
                <w:szCs w:val="24"/>
                <w:lang w:eastAsia="uk-UA"/>
              </w:rPr>
            </w:pPr>
            <w:r w:rsidRPr="00A71729">
              <w:rPr>
                <w:rFonts w:ascii="Times New Roman" w:hAnsi="Times New Roman" w:cs="Times New Roman"/>
                <w:sz w:val="24"/>
                <w:szCs w:val="24"/>
              </w:rPr>
              <w:t>…</w:t>
            </w:r>
          </w:p>
        </w:tc>
        <w:tc>
          <w:tcPr>
            <w:tcW w:w="1667" w:type="pct"/>
            <w:gridSpan w:val="2"/>
            <w:tcBorders>
              <w:top w:val="single" w:sz="6" w:space="0" w:color="000000"/>
              <w:left w:val="single" w:sz="6" w:space="0" w:color="000000"/>
              <w:bottom w:val="single" w:sz="6" w:space="0" w:color="000000"/>
              <w:right w:val="single" w:sz="6" w:space="0" w:color="000000"/>
            </w:tcBorders>
            <w:shd w:val="clear" w:color="auto" w:fill="FFFFFF"/>
          </w:tcPr>
          <w:p w14:paraId="6B668629" w14:textId="77777777" w:rsidR="000D1193" w:rsidRPr="00A71729" w:rsidRDefault="000D1193" w:rsidP="000D1193">
            <w:pPr>
              <w:pStyle w:val="a3"/>
              <w:ind w:firstLine="567"/>
              <w:jc w:val="both"/>
              <w:rPr>
                <w:rFonts w:ascii="Times New Roman" w:eastAsia="Times New Roman" w:hAnsi="Times New Roman" w:cs="Times New Roman"/>
                <w:b/>
                <w:sz w:val="24"/>
                <w:szCs w:val="24"/>
                <w:u w:val="single"/>
                <w:lang w:val="uk-UA" w:eastAsia="uk-UA"/>
              </w:rPr>
            </w:pPr>
            <w:r w:rsidRPr="00A71729">
              <w:rPr>
                <w:rFonts w:ascii="Times New Roman" w:eastAsia="Times New Roman" w:hAnsi="Times New Roman" w:cs="Times New Roman"/>
                <w:b/>
                <w:sz w:val="24"/>
                <w:szCs w:val="24"/>
                <w:u w:val="single"/>
                <w:lang w:val="uk-UA" w:eastAsia="uk-UA"/>
              </w:rPr>
              <w:lastRenderedPageBreak/>
              <w:t>Олег БАКУЛІН</w:t>
            </w:r>
          </w:p>
          <w:p w14:paraId="5735B9D8" w14:textId="77777777" w:rsidR="000D1193" w:rsidRPr="00A71729" w:rsidRDefault="000D1193" w:rsidP="000D1193">
            <w:pPr>
              <w:pStyle w:val="rvps2"/>
              <w:shd w:val="clear" w:color="auto" w:fill="FFFFFF"/>
              <w:spacing w:before="0" w:beforeAutospacing="0" w:after="0" w:afterAutospacing="0"/>
              <w:ind w:firstLine="567"/>
              <w:jc w:val="both"/>
              <w:rPr>
                <w:b/>
                <w:i/>
                <w:lang w:val="uk-UA"/>
              </w:rPr>
            </w:pPr>
            <w:r w:rsidRPr="00A71729">
              <w:rPr>
                <w:b/>
                <w:i/>
                <w:lang w:val="uk-UA"/>
              </w:rPr>
              <w:t>Пропозиції:</w:t>
            </w:r>
          </w:p>
          <w:p w14:paraId="294B0872" w14:textId="2C9524C0" w:rsidR="0071715E" w:rsidRPr="00A71729" w:rsidRDefault="000D1193" w:rsidP="0071715E">
            <w:pPr>
              <w:jc w:val="both"/>
              <w:rPr>
                <w:rFonts w:ascii="Times New Roman" w:hAnsi="Times New Roman" w:cs="Times New Roman"/>
                <w:b/>
                <w:sz w:val="24"/>
                <w:szCs w:val="24"/>
              </w:rPr>
            </w:pPr>
            <w:r>
              <w:rPr>
                <w:rFonts w:ascii="Times New Roman" w:hAnsi="Times New Roman" w:cs="Times New Roman"/>
                <w:sz w:val="24"/>
                <w:szCs w:val="24"/>
              </w:rPr>
              <w:t>«</w:t>
            </w:r>
            <w:r w:rsidR="0071715E" w:rsidRPr="00A71729">
              <w:rPr>
                <w:rFonts w:ascii="Times New Roman" w:hAnsi="Times New Roman" w:cs="Times New Roman"/>
                <w:sz w:val="24"/>
                <w:szCs w:val="24"/>
              </w:rPr>
              <w:t>Q</w:t>
            </w:r>
            <w:r w:rsidR="0071715E" w:rsidRPr="00A71729">
              <w:rPr>
                <w:rFonts w:ascii="Times New Roman" w:hAnsi="Times New Roman" w:cs="Times New Roman"/>
                <w:sz w:val="24"/>
                <w:szCs w:val="24"/>
                <w:vertAlign w:val="subscript"/>
              </w:rPr>
              <w:t xml:space="preserve">В22 </w:t>
            </w:r>
            <w:r w:rsidR="0071715E" w:rsidRPr="00A71729">
              <w:rPr>
                <w:rFonts w:ascii="Times New Roman" w:hAnsi="Times New Roman" w:cs="Times New Roman"/>
                <w:sz w:val="24"/>
                <w:szCs w:val="24"/>
              </w:rPr>
              <w:t>- нормативні втрати газу за відповідний період, що виникають унаслідок спрацювання запобіжно-скидних клапанів ГРП, ГРПБ, ГРУ, ШРП, що знаходяться на балансі Оператора ГРМ</w:t>
            </w:r>
            <w:r w:rsidR="0071715E" w:rsidRPr="00A71729">
              <w:rPr>
                <w:rFonts w:ascii="Times New Roman" w:hAnsi="Times New Roman" w:cs="Times New Roman"/>
                <w:b/>
                <w:sz w:val="24"/>
                <w:szCs w:val="24"/>
              </w:rPr>
              <w:t xml:space="preserve"> та/або передані Оператору ГРМ в експлуатацію на підставі відповідного договору та не знаходяться на балансі оператора ГРМ, </w:t>
            </w:r>
            <w:r w:rsidR="0071715E" w:rsidRPr="00A71729">
              <w:rPr>
                <w:rFonts w:ascii="Times New Roman" w:hAnsi="Times New Roman" w:cs="Times New Roman"/>
                <w:sz w:val="24"/>
                <w:szCs w:val="24"/>
              </w:rPr>
              <w:t>та внаслідок спрацювання скидних клапанів комбінованих регуляторів КБРТ, м</w:t>
            </w:r>
            <w:r w:rsidR="0071715E" w:rsidRPr="00A71729">
              <w:rPr>
                <w:rFonts w:ascii="Times New Roman" w:hAnsi="Times New Roman" w:cs="Times New Roman"/>
                <w:sz w:val="24"/>
                <w:szCs w:val="24"/>
                <w:vertAlign w:val="superscript"/>
              </w:rPr>
              <w:t>3</w:t>
            </w:r>
            <w:r w:rsidR="0071715E" w:rsidRPr="00A71729">
              <w:rPr>
                <w:rFonts w:ascii="Times New Roman" w:hAnsi="Times New Roman" w:cs="Times New Roman"/>
                <w:sz w:val="24"/>
                <w:szCs w:val="24"/>
              </w:rPr>
              <w:t xml:space="preserve">, визначаються згідно з додатком 5 до </w:t>
            </w:r>
            <w:r w:rsidR="0071715E" w:rsidRPr="00A71729">
              <w:rPr>
                <w:rFonts w:ascii="Times New Roman" w:hAnsi="Times New Roman" w:cs="Times New Roman"/>
                <w:sz w:val="24"/>
                <w:szCs w:val="24"/>
              </w:rPr>
              <w:lastRenderedPageBreak/>
              <w:t>цієї Методики за кількістю газового обладнання, умовним діаметром вихідного патрубка ЗСК, тиском на виході регулятора (на вході ЗСК) і кількістю діб у звітному періоді та розраховуються за формулою</w:t>
            </w:r>
          </w:p>
          <w:p w14:paraId="3E8FC798" w14:textId="77777777" w:rsidR="0071715E" w:rsidRPr="00A71729" w:rsidRDefault="0071715E" w:rsidP="0071715E">
            <w:pPr>
              <w:jc w:val="both"/>
              <w:rPr>
                <w:rFonts w:ascii="Times New Roman" w:hAnsi="Times New Roman" w:cs="Times New Roman"/>
                <w:sz w:val="24"/>
                <w:szCs w:val="24"/>
              </w:rPr>
            </w:pPr>
          </w:p>
          <w:tbl>
            <w:tblPr>
              <w:tblW w:w="5000" w:type="pct"/>
              <w:tblCellMar>
                <w:top w:w="60" w:type="dxa"/>
                <w:left w:w="60" w:type="dxa"/>
                <w:bottom w:w="60" w:type="dxa"/>
                <w:right w:w="60" w:type="dxa"/>
              </w:tblCellMar>
              <w:tblLook w:val="04A0" w:firstRow="1" w:lastRow="0" w:firstColumn="1" w:lastColumn="0" w:noHBand="0" w:noVBand="1"/>
            </w:tblPr>
            <w:tblGrid>
              <w:gridCol w:w="4521"/>
              <w:gridCol w:w="400"/>
            </w:tblGrid>
            <w:tr w:rsidR="0071715E" w:rsidRPr="00A71729" w14:paraId="346CBD7E" w14:textId="77777777" w:rsidTr="00B3006C">
              <w:tc>
                <w:tcPr>
                  <w:tcW w:w="4600" w:type="pct"/>
                  <w:hideMark/>
                </w:tcPr>
                <w:p w14:paraId="2CE8E551" w14:textId="77777777" w:rsidR="0071715E" w:rsidRPr="00A71729" w:rsidRDefault="0071715E" w:rsidP="0071715E">
                  <w:pPr>
                    <w:pStyle w:val="rvps12"/>
                    <w:spacing w:before="150" w:beforeAutospacing="0" w:after="150" w:afterAutospacing="0"/>
                    <w:jc w:val="both"/>
                  </w:pPr>
                  <w:r w:rsidRPr="00A71729">
                    <w:rPr>
                      <w:rStyle w:val="rvts9"/>
                      <w:rFonts w:eastAsiaTheme="majorEastAsia"/>
                      <w:bCs/>
                    </w:rPr>
                    <w:t>Q</w:t>
                  </w:r>
                  <w:r w:rsidRPr="00A71729">
                    <w:rPr>
                      <w:rStyle w:val="rvts40"/>
                      <w:bCs/>
                      <w:vertAlign w:val="subscript"/>
                    </w:rPr>
                    <w:t>В22</w:t>
                  </w:r>
                  <w:r w:rsidRPr="00A71729">
                    <w:rPr>
                      <w:rStyle w:val="rvts9"/>
                      <w:rFonts w:eastAsiaTheme="majorEastAsia"/>
                      <w:bCs/>
                    </w:rPr>
                    <w:t> = </w:t>
                  </w:r>
                  <w:r w:rsidRPr="00A71729">
                    <w:rPr>
                      <w:rStyle w:val="rvts80"/>
                      <w:bCs/>
                    </w:rPr>
                    <w:t>ƒ</w:t>
                  </w:r>
                  <w:r w:rsidRPr="00A71729">
                    <w:rPr>
                      <w:rStyle w:val="rvts9"/>
                      <w:rFonts w:eastAsiaTheme="majorEastAsia"/>
                      <w:bCs/>
                    </w:rPr>
                    <w:t> (</w:t>
                  </w:r>
                  <w:proofErr w:type="spellStart"/>
                  <w:r w:rsidRPr="00A71729">
                    <w:rPr>
                      <w:rStyle w:val="rvts9"/>
                      <w:rFonts w:eastAsiaTheme="majorEastAsia"/>
                      <w:bCs/>
                    </w:rPr>
                    <w:t>Ду</w:t>
                  </w:r>
                  <w:r w:rsidRPr="00A71729">
                    <w:rPr>
                      <w:rStyle w:val="rvts40"/>
                      <w:bCs/>
                      <w:vertAlign w:val="subscript"/>
                    </w:rPr>
                    <w:t>ЗСК</w:t>
                  </w:r>
                  <w:proofErr w:type="spellEnd"/>
                  <w:r w:rsidRPr="00A71729">
                    <w:rPr>
                      <w:rStyle w:val="rvts9"/>
                      <w:rFonts w:eastAsiaTheme="majorEastAsia"/>
                      <w:bCs/>
                    </w:rPr>
                    <w:t xml:space="preserve">, </w:t>
                  </w:r>
                  <w:proofErr w:type="spellStart"/>
                  <w:r w:rsidRPr="00A71729">
                    <w:rPr>
                      <w:rStyle w:val="rvts9"/>
                      <w:rFonts w:eastAsiaTheme="majorEastAsia"/>
                      <w:bCs/>
                    </w:rPr>
                    <w:t>P</w:t>
                  </w:r>
                  <w:r w:rsidRPr="00A71729">
                    <w:rPr>
                      <w:rStyle w:val="rvts40"/>
                      <w:bCs/>
                      <w:vertAlign w:val="subscript"/>
                    </w:rPr>
                    <w:t>вих</w:t>
                  </w:r>
                  <w:proofErr w:type="spellEnd"/>
                  <w:r w:rsidRPr="00A71729">
                    <w:rPr>
                      <w:rStyle w:val="rvts9"/>
                      <w:rFonts w:eastAsiaTheme="majorEastAsia"/>
                      <w:bCs/>
                    </w:rPr>
                    <w:t>),</w:t>
                  </w:r>
                </w:p>
              </w:tc>
              <w:tc>
                <w:tcPr>
                  <w:tcW w:w="400" w:type="pct"/>
                  <w:tcBorders>
                    <w:left w:val="nil"/>
                  </w:tcBorders>
                  <w:hideMark/>
                </w:tcPr>
                <w:p w14:paraId="7DB218C2" w14:textId="77777777" w:rsidR="0071715E" w:rsidRPr="00A71729" w:rsidRDefault="0071715E" w:rsidP="0071715E">
                  <w:pPr>
                    <w:pStyle w:val="rvps11"/>
                    <w:spacing w:before="150" w:beforeAutospacing="0" w:after="150" w:afterAutospacing="0"/>
                    <w:jc w:val="both"/>
                    <w:rPr>
                      <w:lang w:val="uk-UA"/>
                    </w:rPr>
                  </w:pPr>
                  <w:r w:rsidRPr="00A71729">
                    <w:rPr>
                      <w:lang w:val="uk-UA"/>
                    </w:rPr>
                    <w:t>(5)</w:t>
                  </w:r>
                </w:p>
              </w:tc>
            </w:tr>
          </w:tbl>
          <w:p w14:paraId="4AAE5DB8"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 xml:space="preserve">де </w:t>
            </w:r>
            <w:proofErr w:type="spellStart"/>
            <w:r w:rsidRPr="00A71729">
              <w:rPr>
                <w:rFonts w:ascii="Times New Roman" w:hAnsi="Times New Roman" w:cs="Times New Roman"/>
                <w:sz w:val="24"/>
                <w:szCs w:val="24"/>
              </w:rPr>
              <w:t>Ду</w:t>
            </w:r>
            <w:r w:rsidRPr="00A71729">
              <w:rPr>
                <w:rFonts w:ascii="Times New Roman" w:hAnsi="Times New Roman" w:cs="Times New Roman"/>
                <w:sz w:val="24"/>
                <w:szCs w:val="24"/>
                <w:vertAlign w:val="subscript"/>
              </w:rPr>
              <w:t>ЗСК</w:t>
            </w:r>
            <w:proofErr w:type="spellEnd"/>
            <w:r w:rsidRPr="00A71729">
              <w:rPr>
                <w:rFonts w:ascii="Times New Roman" w:hAnsi="Times New Roman" w:cs="Times New Roman"/>
                <w:sz w:val="24"/>
                <w:szCs w:val="24"/>
              </w:rPr>
              <w:t xml:space="preserve"> - умовний діаметр вихідного патрубка ЗСК, мм;</w:t>
            </w:r>
          </w:p>
          <w:p w14:paraId="1E4E389B" w14:textId="77777777" w:rsidR="0071715E" w:rsidRPr="00A71729" w:rsidRDefault="0071715E" w:rsidP="0071715E">
            <w:pPr>
              <w:jc w:val="both"/>
              <w:rPr>
                <w:rFonts w:ascii="Times New Roman" w:hAnsi="Times New Roman" w:cs="Times New Roman"/>
                <w:sz w:val="24"/>
                <w:szCs w:val="24"/>
              </w:rPr>
            </w:pPr>
            <w:proofErr w:type="spellStart"/>
            <w:r w:rsidRPr="00A71729">
              <w:rPr>
                <w:rFonts w:ascii="Times New Roman" w:hAnsi="Times New Roman" w:cs="Times New Roman"/>
                <w:sz w:val="24"/>
                <w:szCs w:val="24"/>
              </w:rPr>
              <w:t>P</w:t>
            </w:r>
            <w:r w:rsidRPr="00A71729">
              <w:rPr>
                <w:rFonts w:ascii="Times New Roman" w:hAnsi="Times New Roman" w:cs="Times New Roman"/>
                <w:sz w:val="24"/>
                <w:szCs w:val="24"/>
                <w:vertAlign w:val="subscript"/>
              </w:rPr>
              <w:t>вих</w:t>
            </w:r>
            <w:proofErr w:type="spellEnd"/>
            <w:r w:rsidRPr="00A71729">
              <w:rPr>
                <w:rFonts w:ascii="Times New Roman" w:hAnsi="Times New Roman" w:cs="Times New Roman"/>
                <w:sz w:val="24"/>
                <w:szCs w:val="24"/>
              </w:rPr>
              <w:t xml:space="preserve"> - тиск газу на виході регулятора (на вході ЗСК), </w:t>
            </w:r>
            <w:proofErr w:type="spellStart"/>
            <w:r w:rsidRPr="00A71729">
              <w:rPr>
                <w:rFonts w:ascii="Times New Roman" w:hAnsi="Times New Roman" w:cs="Times New Roman"/>
                <w:sz w:val="24"/>
                <w:szCs w:val="24"/>
              </w:rPr>
              <w:t>кгс</w:t>
            </w:r>
            <w:proofErr w:type="spellEnd"/>
            <w:r w:rsidRPr="00A71729">
              <w:rPr>
                <w:rFonts w:ascii="Times New Roman" w:hAnsi="Times New Roman" w:cs="Times New Roman"/>
                <w:sz w:val="24"/>
                <w:szCs w:val="24"/>
              </w:rPr>
              <w:t>/см</w:t>
            </w:r>
            <w:r w:rsidRPr="00A71729">
              <w:rPr>
                <w:rFonts w:ascii="Times New Roman" w:hAnsi="Times New Roman" w:cs="Times New Roman"/>
                <w:sz w:val="24"/>
                <w:szCs w:val="24"/>
                <w:vertAlign w:val="superscript"/>
              </w:rPr>
              <w:t>2</w:t>
            </w:r>
            <w:r w:rsidRPr="00A71729">
              <w:rPr>
                <w:rFonts w:ascii="Times New Roman" w:hAnsi="Times New Roman" w:cs="Times New Roman"/>
                <w:sz w:val="24"/>
                <w:szCs w:val="24"/>
              </w:rPr>
              <w:t>.</w:t>
            </w:r>
          </w:p>
          <w:p w14:paraId="39DE6734"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Нормативні втрати газу, що виникають внаслідок спрацювання запобіжно-скидних клапанів ГРП, ГРПБ, ГРУ, ШРП, КБРТ,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технічного огляду, встановленого Правилами, та на основі результатів статистичних досліджень, становить t = 0,15 год/місяць на один ГРП, ГРПБ, ШРП, КБРТ;</w:t>
            </w:r>
          </w:p>
          <w:p w14:paraId="5DEC1B17" w14:textId="406035F4" w:rsidR="0071715E" w:rsidRDefault="0071715E" w:rsidP="0071715E">
            <w:pPr>
              <w:spacing w:after="0" w:line="240" w:lineRule="auto"/>
              <w:ind w:firstLine="567"/>
              <w:jc w:val="both"/>
              <w:rPr>
                <w:rFonts w:ascii="Times New Roman" w:hAnsi="Times New Roman" w:cs="Times New Roman"/>
                <w:sz w:val="24"/>
                <w:szCs w:val="24"/>
              </w:rPr>
            </w:pPr>
            <w:r w:rsidRPr="00A71729">
              <w:rPr>
                <w:rFonts w:ascii="Times New Roman" w:hAnsi="Times New Roman" w:cs="Times New Roman"/>
                <w:sz w:val="24"/>
                <w:szCs w:val="24"/>
              </w:rPr>
              <w:t>…</w:t>
            </w:r>
            <w:r w:rsidR="000D1193">
              <w:rPr>
                <w:rFonts w:ascii="Times New Roman" w:hAnsi="Times New Roman" w:cs="Times New Roman"/>
                <w:sz w:val="24"/>
                <w:szCs w:val="24"/>
              </w:rPr>
              <w:t>»</w:t>
            </w:r>
          </w:p>
          <w:p w14:paraId="1F877721" w14:textId="77777777" w:rsidR="000D1193" w:rsidRPr="00A71729" w:rsidRDefault="000D1193" w:rsidP="000D1193">
            <w:pPr>
              <w:pStyle w:val="rvps2"/>
              <w:shd w:val="clear" w:color="auto" w:fill="FFFFFF"/>
              <w:spacing w:before="0" w:beforeAutospacing="0" w:after="0" w:afterAutospacing="0"/>
              <w:ind w:firstLine="567"/>
              <w:jc w:val="both"/>
              <w:rPr>
                <w:b/>
                <w:bCs/>
                <w:i/>
                <w:lang w:val="uk-UA"/>
              </w:rPr>
            </w:pPr>
            <w:r w:rsidRPr="00A71729">
              <w:rPr>
                <w:b/>
                <w:bCs/>
                <w:i/>
                <w:lang w:val="uk-UA"/>
              </w:rPr>
              <w:t>Обґрунтування:</w:t>
            </w:r>
          </w:p>
          <w:p w14:paraId="2AF1DF44"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З метою  уникнення можливою неоднозначності, коли оператор,  отримавши  майно  в експлуатацію  та  обліковуючи його  на  балансі,  подає  до НКРЕКП інформацію про втрати одночасно по двом позиціям: </w:t>
            </w:r>
          </w:p>
          <w:p w14:paraId="1C0F08F9"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lastRenderedPageBreak/>
              <w:t xml:space="preserve">1) на ГРП,  ГРПБ,  ГРУ, ШРП,  що  передані  Оператору ГРМ  в  експлуатацію на підставі відповідного  договору  та знаходяться  на  балансі Оператора ГРМ. </w:t>
            </w:r>
          </w:p>
          <w:p w14:paraId="07D80710"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2) на  ГРП,  ГРПБ,  ГРУ, ШРП,  що  передані Оператору ГРМ в  експлуатацію на підставі відповідного договору. </w:t>
            </w:r>
          </w:p>
          <w:p w14:paraId="2E00DE81" w14:textId="059392AF" w:rsidR="000D1193" w:rsidRPr="000D1193" w:rsidRDefault="000D1193" w:rsidP="000D1193">
            <w:pPr>
              <w:spacing w:after="0" w:line="240" w:lineRule="auto"/>
              <w:ind w:firstLine="567"/>
              <w:jc w:val="both"/>
              <w:rPr>
                <w:rFonts w:ascii="Times New Roman" w:eastAsia="Times New Roman" w:hAnsi="Times New Roman" w:cs="Times New Roman"/>
                <w:b/>
                <w:sz w:val="24"/>
                <w:szCs w:val="24"/>
                <w:lang w:eastAsia="uk-UA"/>
              </w:rPr>
            </w:pPr>
            <w:r w:rsidRPr="00A71729">
              <w:rPr>
                <w:rFonts w:ascii="Times New Roman" w:hAnsi="Times New Roman" w:cs="Times New Roman"/>
                <w:sz w:val="24"/>
                <w:szCs w:val="24"/>
              </w:rPr>
              <w:t>Тому пропоную визначити,  що  враховуються втрати природного  газу на ГРП та ШРП, що передані Оператору ГРМ у експлуатацію  на  підставі відповідного договору та не знаходяться на його балансі.</w:t>
            </w:r>
          </w:p>
        </w:tc>
        <w:tc>
          <w:tcPr>
            <w:tcW w:w="1667" w:type="pct"/>
            <w:gridSpan w:val="2"/>
            <w:tcBorders>
              <w:top w:val="single" w:sz="6" w:space="0" w:color="000000"/>
              <w:left w:val="single" w:sz="6" w:space="0" w:color="000000"/>
              <w:bottom w:val="single" w:sz="6" w:space="0" w:color="000000"/>
              <w:right w:val="single" w:sz="6" w:space="0" w:color="000000"/>
            </w:tcBorders>
            <w:shd w:val="clear" w:color="auto" w:fill="FFFFFF"/>
          </w:tcPr>
          <w:p w14:paraId="7E4B7917" w14:textId="77777777" w:rsidR="004F3F00" w:rsidRPr="00A71729" w:rsidRDefault="004F3F00" w:rsidP="004F3F00">
            <w:pPr>
              <w:spacing w:after="0" w:line="240" w:lineRule="auto"/>
              <w:ind w:firstLine="567"/>
              <w:jc w:val="both"/>
              <w:rPr>
                <w:rFonts w:ascii="Times New Roman" w:eastAsia="Times New Roman" w:hAnsi="Times New Roman" w:cs="Times New Roman"/>
                <w:b/>
                <w:sz w:val="24"/>
                <w:szCs w:val="24"/>
                <w:lang w:eastAsia="uk-UA"/>
              </w:rPr>
            </w:pPr>
            <w:r w:rsidRPr="00A71729">
              <w:rPr>
                <w:rFonts w:ascii="Times New Roman" w:eastAsia="Times New Roman" w:hAnsi="Times New Roman" w:cs="Times New Roman"/>
                <w:b/>
                <w:sz w:val="24"/>
                <w:szCs w:val="24"/>
                <w:lang w:eastAsia="uk-UA"/>
              </w:rPr>
              <w:lastRenderedPageBreak/>
              <w:t xml:space="preserve">Попередньо </w:t>
            </w:r>
            <w:r>
              <w:rPr>
                <w:rFonts w:ascii="Times New Roman" w:eastAsia="Times New Roman" w:hAnsi="Times New Roman" w:cs="Times New Roman"/>
                <w:b/>
                <w:sz w:val="24"/>
                <w:szCs w:val="24"/>
                <w:lang w:eastAsia="uk-UA"/>
              </w:rPr>
              <w:t>враховано частково</w:t>
            </w:r>
            <w:r w:rsidRPr="00A71729">
              <w:rPr>
                <w:rFonts w:ascii="Times New Roman" w:eastAsia="Times New Roman" w:hAnsi="Times New Roman" w:cs="Times New Roman"/>
                <w:b/>
                <w:sz w:val="24"/>
                <w:szCs w:val="24"/>
                <w:lang w:eastAsia="uk-UA"/>
              </w:rPr>
              <w:t xml:space="preserve"> </w:t>
            </w:r>
          </w:p>
          <w:p w14:paraId="3071635D" w14:textId="15B39345" w:rsidR="004F3F00" w:rsidRPr="007555AD" w:rsidRDefault="004F3F00" w:rsidP="004F3F00">
            <w:pPr>
              <w:jc w:val="both"/>
              <w:rPr>
                <w:rFonts w:ascii="Times New Roman" w:eastAsia="Times New Roman" w:hAnsi="Times New Roman" w:cs="Times New Roman"/>
                <w:i/>
                <w:sz w:val="24"/>
                <w:szCs w:val="24"/>
                <w:lang w:eastAsia="uk-UA"/>
              </w:rPr>
            </w:pPr>
            <w:r w:rsidRPr="007555AD">
              <w:rPr>
                <w:rFonts w:ascii="Times New Roman" w:eastAsia="Times New Roman" w:hAnsi="Times New Roman" w:cs="Times New Roman"/>
                <w:i/>
                <w:sz w:val="24"/>
                <w:szCs w:val="24"/>
                <w:lang w:eastAsia="uk-UA"/>
              </w:rPr>
              <w:t xml:space="preserve">Пропонуємо абзац </w:t>
            </w:r>
            <w:r w:rsidRPr="004F3F00">
              <w:rPr>
                <w:rFonts w:ascii="Times New Roman" w:eastAsia="Times New Roman" w:hAnsi="Times New Roman" w:cs="Times New Roman"/>
                <w:i/>
                <w:sz w:val="24"/>
                <w:szCs w:val="24"/>
                <w:lang w:eastAsia="uk-UA"/>
              </w:rPr>
              <w:t>двадцятий</w:t>
            </w:r>
            <w:r w:rsidRPr="007555AD">
              <w:rPr>
                <w:rFonts w:ascii="Times New Roman" w:eastAsia="Times New Roman" w:hAnsi="Times New Roman" w:cs="Times New Roman"/>
                <w:i/>
                <w:sz w:val="24"/>
                <w:szCs w:val="24"/>
                <w:lang w:eastAsia="uk-UA"/>
              </w:rPr>
              <w:t xml:space="preserve"> викласти у редакції:</w:t>
            </w:r>
          </w:p>
          <w:p w14:paraId="7264D141" w14:textId="0A0496EB" w:rsidR="0071715E" w:rsidRPr="00A71729" w:rsidRDefault="004F3F00" w:rsidP="009404C4">
            <w:pPr>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001D7BF5" w:rsidRPr="00A71729">
              <w:rPr>
                <w:rFonts w:ascii="Times New Roman" w:hAnsi="Times New Roman" w:cs="Times New Roman"/>
                <w:sz w:val="24"/>
                <w:szCs w:val="24"/>
              </w:rPr>
              <w:t>Q</w:t>
            </w:r>
            <w:r w:rsidR="001D7BF5" w:rsidRPr="00A71729">
              <w:rPr>
                <w:rFonts w:ascii="Times New Roman" w:hAnsi="Times New Roman" w:cs="Times New Roman"/>
                <w:sz w:val="24"/>
                <w:szCs w:val="24"/>
                <w:vertAlign w:val="subscript"/>
              </w:rPr>
              <w:t xml:space="preserve">В22 </w:t>
            </w:r>
            <w:r w:rsidR="001D7BF5" w:rsidRPr="00A71729">
              <w:rPr>
                <w:rFonts w:ascii="Times New Roman" w:hAnsi="Times New Roman" w:cs="Times New Roman"/>
                <w:sz w:val="24"/>
                <w:szCs w:val="24"/>
              </w:rPr>
              <w:t>- нормативні втрати газу за відповідний період, що виникають унаслідок спрацювання запобіжно-скидних клапанів ГРП, ГРПБ, ГРУ, ШРП, що знаходяться на балансі Оператора ГРМ</w:t>
            </w:r>
            <w:r w:rsidR="001D7BF5" w:rsidRPr="003B3151">
              <w:rPr>
                <w:rFonts w:ascii="Times New Roman" w:hAnsi="Times New Roman" w:cs="Times New Roman"/>
                <w:b/>
                <w:sz w:val="24"/>
                <w:szCs w:val="24"/>
              </w:rPr>
              <w:t>,</w:t>
            </w:r>
            <w:r w:rsidR="001D7BF5">
              <w:rPr>
                <w:rFonts w:ascii="Times New Roman" w:hAnsi="Times New Roman" w:cs="Times New Roman"/>
                <w:sz w:val="24"/>
                <w:szCs w:val="24"/>
              </w:rPr>
              <w:t xml:space="preserve"> </w:t>
            </w:r>
            <w:r w:rsidR="008230D5" w:rsidRPr="00A71729">
              <w:rPr>
                <w:rFonts w:ascii="Times New Roman" w:hAnsi="Times New Roman" w:cs="Times New Roman"/>
                <w:b/>
                <w:sz w:val="24"/>
                <w:szCs w:val="24"/>
              </w:rPr>
              <w:t xml:space="preserve">передані Оператору ГРМ в експлуатацію на підставі </w:t>
            </w:r>
            <w:r w:rsidR="008230D5">
              <w:rPr>
                <w:rFonts w:ascii="Times New Roman" w:hAnsi="Times New Roman" w:cs="Times New Roman"/>
                <w:b/>
                <w:sz w:val="24"/>
                <w:szCs w:val="24"/>
              </w:rPr>
              <w:t xml:space="preserve">відповідного </w:t>
            </w:r>
            <w:r w:rsidR="008230D5" w:rsidRPr="00A71729">
              <w:rPr>
                <w:rFonts w:ascii="Times New Roman" w:hAnsi="Times New Roman" w:cs="Times New Roman"/>
                <w:b/>
                <w:sz w:val="24"/>
                <w:szCs w:val="24"/>
              </w:rPr>
              <w:t>договор</w:t>
            </w:r>
            <w:r w:rsidR="008230D5">
              <w:rPr>
                <w:rFonts w:ascii="Times New Roman" w:hAnsi="Times New Roman" w:cs="Times New Roman"/>
                <w:b/>
                <w:sz w:val="24"/>
                <w:szCs w:val="24"/>
              </w:rPr>
              <w:t>у без передачі на баланс Оператора ГРМ</w:t>
            </w:r>
            <w:r w:rsidR="00F65D8C">
              <w:rPr>
                <w:rFonts w:ascii="Times New Roman" w:hAnsi="Times New Roman" w:cs="Times New Roman"/>
                <w:b/>
                <w:sz w:val="24"/>
                <w:szCs w:val="24"/>
              </w:rPr>
              <w:t>,</w:t>
            </w:r>
            <w:r w:rsidR="001D7BF5" w:rsidRPr="00A71729">
              <w:rPr>
                <w:rFonts w:ascii="Times New Roman" w:hAnsi="Times New Roman" w:cs="Times New Roman"/>
                <w:sz w:val="24"/>
                <w:szCs w:val="24"/>
              </w:rPr>
              <w:t xml:space="preserve"> та внаслідок спрацювання скидних клапанів </w:t>
            </w:r>
            <w:r w:rsidR="001D7BF5" w:rsidRPr="00A71729">
              <w:rPr>
                <w:rFonts w:ascii="Times New Roman" w:hAnsi="Times New Roman" w:cs="Times New Roman"/>
                <w:sz w:val="24"/>
                <w:szCs w:val="24"/>
              </w:rPr>
              <w:lastRenderedPageBreak/>
              <w:t>комбінованих регуляторів КБРТ, м</w:t>
            </w:r>
            <w:r w:rsidR="001D7BF5" w:rsidRPr="00A71729">
              <w:rPr>
                <w:rFonts w:ascii="Times New Roman" w:hAnsi="Times New Roman" w:cs="Times New Roman"/>
                <w:sz w:val="24"/>
                <w:szCs w:val="24"/>
                <w:vertAlign w:val="superscript"/>
              </w:rPr>
              <w:t>3</w:t>
            </w:r>
            <w:r w:rsidR="001D7BF5" w:rsidRPr="00A71729">
              <w:rPr>
                <w:rFonts w:ascii="Times New Roman" w:hAnsi="Times New Roman" w:cs="Times New Roman"/>
                <w:sz w:val="24"/>
                <w:szCs w:val="24"/>
              </w:rPr>
              <w:t>, визначаються згідно з додатком 5 до цієї Методики за кількістю газового обладнання, умовним діаметром вихідного патрубка ЗСК, тиском на виході регулятора (на вході ЗСК) і кількістю діб у звітному періоді та розраховуються за формулою</w:t>
            </w:r>
            <w:r>
              <w:rPr>
                <w:rFonts w:ascii="Times New Roman" w:hAnsi="Times New Roman" w:cs="Times New Roman"/>
                <w:sz w:val="24"/>
                <w:szCs w:val="24"/>
              </w:rPr>
              <w:t>»</w:t>
            </w:r>
          </w:p>
        </w:tc>
      </w:tr>
      <w:tr w:rsidR="0071715E" w:rsidRPr="00FB62F2" w14:paraId="46261703" w14:textId="77777777" w:rsidTr="00E769A1">
        <w:trPr>
          <w:trHeight w:val="744"/>
        </w:trPr>
        <w:tc>
          <w:tcPr>
            <w:tcW w:w="1666" w:type="pct"/>
            <w:tcBorders>
              <w:top w:val="single" w:sz="6" w:space="0" w:color="000000"/>
              <w:left w:val="single" w:sz="6" w:space="0" w:color="000000"/>
              <w:bottom w:val="single" w:sz="6" w:space="0" w:color="000000"/>
              <w:right w:val="single" w:sz="6" w:space="0" w:color="000000"/>
            </w:tcBorders>
            <w:shd w:val="clear" w:color="auto" w:fill="FFFFFF"/>
          </w:tcPr>
          <w:p w14:paraId="5B3EAA44"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lastRenderedPageBreak/>
              <w:t>3.8. До нормативних втрат газу Оператора ГРМ відносяться:</w:t>
            </w:r>
          </w:p>
          <w:p w14:paraId="0E16C8CD"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w:t>
            </w:r>
          </w:p>
          <w:p w14:paraId="1B2208A3"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 xml:space="preserve">5) нормативні втрати газу на ГРП, ГРПБ, ГРУ, ШРП, що знаходяться на балансі Оператора ГРМ </w:t>
            </w:r>
            <w:bookmarkStart w:id="2" w:name="_Hlk151036882"/>
            <w:r w:rsidRPr="00A71729">
              <w:rPr>
                <w:rFonts w:ascii="Times New Roman" w:hAnsi="Times New Roman" w:cs="Times New Roman"/>
                <w:b/>
                <w:sz w:val="24"/>
                <w:szCs w:val="24"/>
              </w:rPr>
              <w:t>та/або передані Оператору ГРМ в експлуатацію на підставі відповідного договору</w:t>
            </w:r>
            <w:r w:rsidRPr="00A71729">
              <w:rPr>
                <w:rFonts w:ascii="Times New Roman" w:hAnsi="Times New Roman" w:cs="Times New Roman"/>
                <w:sz w:val="24"/>
                <w:szCs w:val="24"/>
              </w:rPr>
              <w:t>;</w:t>
            </w:r>
          </w:p>
          <w:bookmarkEnd w:id="2"/>
          <w:p w14:paraId="14E6C9B2" w14:textId="03B2167B" w:rsidR="0071715E" w:rsidRPr="00A71729" w:rsidRDefault="0071715E" w:rsidP="0071715E">
            <w:pPr>
              <w:spacing w:after="0" w:line="240" w:lineRule="auto"/>
              <w:ind w:firstLine="567"/>
              <w:jc w:val="both"/>
              <w:rPr>
                <w:rFonts w:ascii="Times New Roman" w:eastAsia="Times New Roman" w:hAnsi="Times New Roman" w:cs="Times New Roman"/>
                <w:b/>
                <w:sz w:val="24"/>
                <w:szCs w:val="24"/>
                <w:lang w:eastAsia="uk-UA"/>
              </w:rPr>
            </w:pPr>
            <w:r w:rsidRPr="00A71729">
              <w:rPr>
                <w:rFonts w:ascii="Times New Roman" w:hAnsi="Times New Roman" w:cs="Times New Roman"/>
                <w:sz w:val="24"/>
                <w:szCs w:val="24"/>
              </w:rPr>
              <w:t>…</w:t>
            </w:r>
          </w:p>
        </w:tc>
        <w:tc>
          <w:tcPr>
            <w:tcW w:w="1667" w:type="pct"/>
            <w:gridSpan w:val="2"/>
            <w:tcBorders>
              <w:top w:val="single" w:sz="6" w:space="0" w:color="000000"/>
              <w:left w:val="single" w:sz="6" w:space="0" w:color="000000"/>
              <w:bottom w:val="single" w:sz="6" w:space="0" w:color="000000"/>
              <w:right w:val="single" w:sz="6" w:space="0" w:color="000000"/>
            </w:tcBorders>
            <w:shd w:val="clear" w:color="auto" w:fill="FFFFFF"/>
          </w:tcPr>
          <w:p w14:paraId="028E5FBE" w14:textId="77777777" w:rsidR="000D1193" w:rsidRPr="00A71729" w:rsidRDefault="000D1193" w:rsidP="000D1193">
            <w:pPr>
              <w:pStyle w:val="a3"/>
              <w:ind w:firstLine="567"/>
              <w:jc w:val="both"/>
              <w:rPr>
                <w:rFonts w:ascii="Times New Roman" w:eastAsia="Times New Roman" w:hAnsi="Times New Roman" w:cs="Times New Roman"/>
                <w:b/>
                <w:sz w:val="24"/>
                <w:szCs w:val="24"/>
                <w:u w:val="single"/>
                <w:lang w:val="uk-UA" w:eastAsia="uk-UA"/>
              </w:rPr>
            </w:pPr>
            <w:r w:rsidRPr="00A71729">
              <w:rPr>
                <w:rFonts w:ascii="Times New Roman" w:eastAsia="Times New Roman" w:hAnsi="Times New Roman" w:cs="Times New Roman"/>
                <w:b/>
                <w:sz w:val="24"/>
                <w:szCs w:val="24"/>
                <w:u w:val="single"/>
                <w:lang w:val="uk-UA" w:eastAsia="uk-UA"/>
              </w:rPr>
              <w:t>Олег БАКУЛІН</w:t>
            </w:r>
          </w:p>
          <w:p w14:paraId="2AFBABD4" w14:textId="77777777" w:rsidR="000D1193" w:rsidRPr="00A71729" w:rsidRDefault="000D1193" w:rsidP="000D1193">
            <w:pPr>
              <w:pStyle w:val="rvps2"/>
              <w:shd w:val="clear" w:color="auto" w:fill="FFFFFF"/>
              <w:spacing w:before="0" w:beforeAutospacing="0" w:after="0" w:afterAutospacing="0"/>
              <w:ind w:firstLine="567"/>
              <w:jc w:val="both"/>
              <w:rPr>
                <w:b/>
                <w:i/>
                <w:lang w:val="uk-UA"/>
              </w:rPr>
            </w:pPr>
            <w:r w:rsidRPr="00A71729">
              <w:rPr>
                <w:b/>
                <w:i/>
                <w:lang w:val="uk-UA"/>
              </w:rPr>
              <w:t>Пропозиції:</w:t>
            </w:r>
          </w:p>
          <w:p w14:paraId="7CAE40FF" w14:textId="2512D98D" w:rsidR="0071715E" w:rsidRPr="00A71729" w:rsidRDefault="000D1193" w:rsidP="0071715E">
            <w:pPr>
              <w:jc w:val="both"/>
              <w:rPr>
                <w:rFonts w:ascii="Times New Roman" w:hAnsi="Times New Roman" w:cs="Times New Roman"/>
                <w:sz w:val="24"/>
                <w:szCs w:val="24"/>
              </w:rPr>
            </w:pPr>
            <w:r>
              <w:rPr>
                <w:rFonts w:ascii="Times New Roman" w:hAnsi="Times New Roman" w:cs="Times New Roman"/>
                <w:sz w:val="24"/>
                <w:szCs w:val="24"/>
              </w:rPr>
              <w:t>«</w:t>
            </w:r>
            <w:r w:rsidR="0071715E" w:rsidRPr="00A71729">
              <w:rPr>
                <w:rFonts w:ascii="Times New Roman" w:hAnsi="Times New Roman" w:cs="Times New Roman"/>
                <w:sz w:val="24"/>
                <w:szCs w:val="24"/>
              </w:rPr>
              <w:t>3.8. До нормативних втрат газу Оператора ГРМ відносяться:</w:t>
            </w:r>
          </w:p>
          <w:p w14:paraId="4400709F" w14:textId="77777777" w:rsidR="0071715E" w:rsidRPr="00A71729" w:rsidRDefault="0071715E" w:rsidP="0071715E">
            <w:pPr>
              <w:jc w:val="both"/>
              <w:rPr>
                <w:rFonts w:ascii="Times New Roman" w:hAnsi="Times New Roman" w:cs="Times New Roman"/>
                <w:sz w:val="24"/>
                <w:szCs w:val="24"/>
              </w:rPr>
            </w:pPr>
            <w:r w:rsidRPr="00A71729">
              <w:rPr>
                <w:rFonts w:ascii="Times New Roman" w:hAnsi="Times New Roman" w:cs="Times New Roman"/>
                <w:sz w:val="24"/>
                <w:szCs w:val="24"/>
              </w:rPr>
              <w:t>…</w:t>
            </w:r>
          </w:p>
          <w:p w14:paraId="5FED5282" w14:textId="733A1B88" w:rsidR="0071715E" w:rsidRDefault="0071715E" w:rsidP="0071715E">
            <w:pPr>
              <w:jc w:val="both"/>
              <w:rPr>
                <w:rFonts w:ascii="Times New Roman" w:hAnsi="Times New Roman" w:cs="Times New Roman"/>
                <w:b/>
                <w:sz w:val="24"/>
                <w:szCs w:val="24"/>
              </w:rPr>
            </w:pPr>
            <w:r w:rsidRPr="00A71729">
              <w:rPr>
                <w:rFonts w:ascii="Times New Roman" w:hAnsi="Times New Roman" w:cs="Times New Roman"/>
                <w:sz w:val="24"/>
                <w:szCs w:val="24"/>
              </w:rPr>
              <w:t xml:space="preserve">5) нормативні втрати газу на ГРП, ГРПБ, ГРУ, ШРП, що знаходяться на балансі Оператора ГРМ </w:t>
            </w:r>
            <w:r w:rsidRPr="00A71729">
              <w:rPr>
                <w:rFonts w:ascii="Times New Roman" w:hAnsi="Times New Roman" w:cs="Times New Roman"/>
                <w:b/>
                <w:sz w:val="24"/>
                <w:szCs w:val="24"/>
              </w:rPr>
              <w:t>та/або передані Оператору ГРМ в експлуатацію  на підставі  відповідного договору та не знаходяться на балансі оператора ГРМ,;</w:t>
            </w:r>
            <w:r w:rsidR="000D1193">
              <w:rPr>
                <w:rFonts w:ascii="Times New Roman" w:hAnsi="Times New Roman" w:cs="Times New Roman"/>
                <w:b/>
                <w:sz w:val="24"/>
                <w:szCs w:val="24"/>
              </w:rPr>
              <w:t>»</w:t>
            </w:r>
          </w:p>
          <w:p w14:paraId="6BE87D0F" w14:textId="77777777" w:rsidR="000D1193" w:rsidRPr="00A71729" w:rsidRDefault="000D1193" w:rsidP="000D1193">
            <w:pPr>
              <w:pStyle w:val="rvps2"/>
              <w:shd w:val="clear" w:color="auto" w:fill="FFFFFF"/>
              <w:spacing w:before="0" w:beforeAutospacing="0" w:after="0" w:afterAutospacing="0"/>
              <w:ind w:firstLine="567"/>
              <w:jc w:val="both"/>
              <w:rPr>
                <w:b/>
                <w:bCs/>
                <w:i/>
                <w:lang w:val="uk-UA"/>
              </w:rPr>
            </w:pPr>
            <w:r w:rsidRPr="00A71729">
              <w:rPr>
                <w:b/>
                <w:bCs/>
                <w:i/>
                <w:lang w:val="uk-UA"/>
              </w:rPr>
              <w:t>Обґрунтування:</w:t>
            </w:r>
          </w:p>
          <w:p w14:paraId="51128DC0"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З метою  уникнення можливою неоднозначності, коли оператор,  отримавши  майно  в експлуатацію  та  обліковуючи його  на  балансі,  подає  до НКРЕКП інформацію про втрати одночасно по двом позиціям: </w:t>
            </w:r>
          </w:p>
          <w:p w14:paraId="4FD4EEC4"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t xml:space="preserve">1) на ГРП,  ГРПБ,  ГРУ, ШРП,  що  передані  Оператору ГРМ  в  експлуатацію на підставі відповідного  договору  та знаходяться  на  балансі Оператора ГРМ. </w:t>
            </w:r>
          </w:p>
          <w:p w14:paraId="36D8C43F" w14:textId="77777777" w:rsidR="000D1193" w:rsidRPr="00A71729" w:rsidRDefault="000D1193" w:rsidP="000D1193">
            <w:pPr>
              <w:pStyle w:val="a3"/>
              <w:ind w:firstLine="567"/>
              <w:jc w:val="both"/>
              <w:rPr>
                <w:rFonts w:ascii="Times New Roman" w:hAnsi="Times New Roman" w:cs="Times New Roman"/>
                <w:sz w:val="24"/>
                <w:szCs w:val="24"/>
                <w:lang w:val="uk-UA"/>
              </w:rPr>
            </w:pPr>
            <w:r w:rsidRPr="00A71729">
              <w:rPr>
                <w:rFonts w:ascii="Times New Roman" w:hAnsi="Times New Roman" w:cs="Times New Roman"/>
                <w:sz w:val="24"/>
                <w:szCs w:val="24"/>
                <w:lang w:val="uk-UA"/>
              </w:rPr>
              <w:lastRenderedPageBreak/>
              <w:t xml:space="preserve">2) на  ГРП,  ГРПБ,  ГРУ, ШРП,  що  передані Оператору ГРМ в  експлуатацію на підставі відповідного договору. </w:t>
            </w:r>
          </w:p>
          <w:p w14:paraId="74D465F6" w14:textId="2096E833" w:rsidR="0071715E" w:rsidRPr="00A71729" w:rsidRDefault="000D1193" w:rsidP="000D1193">
            <w:pPr>
              <w:jc w:val="both"/>
              <w:rPr>
                <w:rFonts w:ascii="Times New Roman" w:eastAsia="Times New Roman" w:hAnsi="Times New Roman" w:cs="Times New Roman"/>
                <w:b/>
                <w:sz w:val="24"/>
                <w:szCs w:val="24"/>
                <w:lang w:eastAsia="uk-UA"/>
              </w:rPr>
            </w:pPr>
            <w:r w:rsidRPr="00A71729">
              <w:rPr>
                <w:rFonts w:ascii="Times New Roman" w:hAnsi="Times New Roman" w:cs="Times New Roman"/>
                <w:sz w:val="24"/>
                <w:szCs w:val="24"/>
              </w:rPr>
              <w:t>Тому пропоную визначити,  що  враховуються втрати природного  газу на ГРП та ШРП, що передані Оператору ГРМ у експлуатацію  на  підставі відповідного договору та не знаходяться на його балансі.</w:t>
            </w:r>
          </w:p>
        </w:tc>
        <w:tc>
          <w:tcPr>
            <w:tcW w:w="1667" w:type="pct"/>
            <w:gridSpan w:val="2"/>
            <w:tcBorders>
              <w:top w:val="single" w:sz="6" w:space="0" w:color="000000"/>
              <w:left w:val="single" w:sz="6" w:space="0" w:color="000000"/>
              <w:bottom w:val="single" w:sz="6" w:space="0" w:color="000000"/>
              <w:right w:val="single" w:sz="6" w:space="0" w:color="000000"/>
            </w:tcBorders>
            <w:shd w:val="clear" w:color="auto" w:fill="FFFFFF"/>
          </w:tcPr>
          <w:p w14:paraId="5DCDF1A4" w14:textId="77777777" w:rsidR="00DB578A" w:rsidRPr="00A71729" w:rsidRDefault="00DB578A" w:rsidP="00DB578A">
            <w:pPr>
              <w:spacing w:after="0" w:line="240" w:lineRule="auto"/>
              <w:ind w:firstLine="567"/>
              <w:jc w:val="both"/>
              <w:rPr>
                <w:rFonts w:ascii="Times New Roman" w:eastAsia="Times New Roman" w:hAnsi="Times New Roman" w:cs="Times New Roman"/>
                <w:b/>
                <w:sz w:val="24"/>
                <w:szCs w:val="24"/>
                <w:lang w:eastAsia="uk-UA"/>
              </w:rPr>
            </w:pPr>
            <w:r w:rsidRPr="00A71729">
              <w:rPr>
                <w:rFonts w:ascii="Times New Roman" w:eastAsia="Times New Roman" w:hAnsi="Times New Roman" w:cs="Times New Roman"/>
                <w:b/>
                <w:sz w:val="24"/>
                <w:szCs w:val="24"/>
                <w:lang w:eastAsia="uk-UA"/>
              </w:rPr>
              <w:lastRenderedPageBreak/>
              <w:t xml:space="preserve">Попередньо </w:t>
            </w:r>
            <w:r>
              <w:rPr>
                <w:rFonts w:ascii="Times New Roman" w:eastAsia="Times New Roman" w:hAnsi="Times New Roman" w:cs="Times New Roman"/>
                <w:b/>
                <w:sz w:val="24"/>
                <w:szCs w:val="24"/>
                <w:lang w:eastAsia="uk-UA"/>
              </w:rPr>
              <w:t>враховано частково</w:t>
            </w:r>
            <w:r w:rsidRPr="00A71729">
              <w:rPr>
                <w:rFonts w:ascii="Times New Roman" w:eastAsia="Times New Roman" w:hAnsi="Times New Roman" w:cs="Times New Roman"/>
                <w:b/>
                <w:sz w:val="24"/>
                <w:szCs w:val="24"/>
                <w:lang w:eastAsia="uk-UA"/>
              </w:rPr>
              <w:t xml:space="preserve"> </w:t>
            </w:r>
          </w:p>
          <w:p w14:paraId="40BBF7F2" w14:textId="0EF03292" w:rsidR="00DB578A" w:rsidRPr="007555AD" w:rsidRDefault="00DB578A" w:rsidP="00DB578A">
            <w:pPr>
              <w:jc w:val="both"/>
              <w:rPr>
                <w:rFonts w:ascii="Times New Roman" w:eastAsia="Times New Roman" w:hAnsi="Times New Roman" w:cs="Times New Roman"/>
                <w:i/>
                <w:sz w:val="24"/>
                <w:szCs w:val="24"/>
                <w:lang w:eastAsia="uk-UA"/>
              </w:rPr>
            </w:pPr>
            <w:r w:rsidRPr="007555AD">
              <w:rPr>
                <w:rFonts w:ascii="Times New Roman" w:eastAsia="Times New Roman" w:hAnsi="Times New Roman" w:cs="Times New Roman"/>
                <w:i/>
                <w:sz w:val="24"/>
                <w:szCs w:val="24"/>
                <w:lang w:eastAsia="uk-UA"/>
              </w:rPr>
              <w:t xml:space="preserve">Пропонуємо абзац </w:t>
            </w:r>
            <w:r w:rsidR="00A01B80" w:rsidRPr="00A01B80">
              <w:rPr>
                <w:rFonts w:ascii="Times New Roman" w:eastAsia="Times New Roman" w:hAnsi="Times New Roman" w:cs="Times New Roman"/>
                <w:i/>
                <w:sz w:val="24"/>
                <w:szCs w:val="24"/>
                <w:lang w:eastAsia="uk-UA"/>
              </w:rPr>
              <w:t>шостий пункту 3.8</w:t>
            </w:r>
            <w:r w:rsidRPr="007555AD">
              <w:rPr>
                <w:rFonts w:ascii="Times New Roman" w:eastAsia="Times New Roman" w:hAnsi="Times New Roman" w:cs="Times New Roman"/>
                <w:i/>
                <w:sz w:val="24"/>
                <w:szCs w:val="24"/>
                <w:lang w:eastAsia="uk-UA"/>
              </w:rPr>
              <w:t xml:space="preserve"> викласти у редакції:</w:t>
            </w:r>
          </w:p>
          <w:p w14:paraId="7C0138E6" w14:textId="4224E474" w:rsidR="000565E7" w:rsidRPr="00A71729" w:rsidRDefault="00A01B80" w:rsidP="000565E7">
            <w:pPr>
              <w:jc w:val="both"/>
              <w:rPr>
                <w:rFonts w:ascii="Times New Roman" w:hAnsi="Times New Roman" w:cs="Times New Roman"/>
                <w:sz w:val="24"/>
                <w:szCs w:val="24"/>
              </w:rPr>
            </w:pPr>
            <w:r>
              <w:rPr>
                <w:rFonts w:ascii="Times New Roman" w:eastAsia="Times New Roman" w:hAnsi="Times New Roman" w:cs="Times New Roman"/>
                <w:sz w:val="24"/>
                <w:szCs w:val="24"/>
                <w:lang w:eastAsia="uk-UA"/>
              </w:rPr>
              <w:t>«</w:t>
            </w:r>
            <w:r w:rsidR="000565E7" w:rsidRPr="00A71729">
              <w:rPr>
                <w:rFonts w:ascii="Times New Roman" w:hAnsi="Times New Roman" w:cs="Times New Roman"/>
                <w:sz w:val="24"/>
                <w:szCs w:val="24"/>
              </w:rPr>
              <w:t>5) нормативні втрати газу на ГРП, ГРПБ, ГРУ, ШРП, що знаходяться на балансі Оператора ГРМ</w:t>
            </w:r>
            <w:r w:rsidR="000565E7" w:rsidRPr="000565E7">
              <w:rPr>
                <w:rFonts w:ascii="Times New Roman" w:hAnsi="Times New Roman" w:cs="Times New Roman"/>
                <w:b/>
                <w:sz w:val="24"/>
                <w:szCs w:val="24"/>
              </w:rPr>
              <w:t>,</w:t>
            </w:r>
            <w:r w:rsidR="000565E7" w:rsidRPr="00A71729">
              <w:rPr>
                <w:rFonts w:ascii="Times New Roman" w:hAnsi="Times New Roman" w:cs="Times New Roman"/>
                <w:sz w:val="24"/>
                <w:szCs w:val="24"/>
              </w:rPr>
              <w:t xml:space="preserve"> </w:t>
            </w:r>
            <w:r w:rsidR="008230D5" w:rsidRPr="00A71729">
              <w:rPr>
                <w:rFonts w:ascii="Times New Roman" w:hAnsi="Times New Roman" w:cs="Times New Roman"/>
                <w:b/>
                <w:sz w:val="24"/>
                <w:szCs w:val="24"/>
              </w:rPr>
              <w:t xml:space="preserve">передані Оператору ГРМ в експлуатацію на підставі </w:t>
            </w:r>
            <w:r w:rsidR="008230D5">
              <w:rPr>
                <w:rFonts w:ascii="Times New Roman" w:hAnsi="Times New Roman" w:cs="Times New Roman"/>
                <w:b/>
                <w:sz w:val="24"/>
                <w:szCs w:val="24"/>
              </w:rPr>
              <w:t xml:space="preserve">відповідного </w:t>
            </w:r>
            <w:r w:rsidR="008230D5" w:rsidRPr="00A71729">
              <w:rPr>
                <w:rFonts w:ascii="Times New Roman" w:hAnsi="Times New Roman" w:cs="Times New Roman"/>
                <w:b/>
                <w:sz w:val="24"/>
                <w:szCs w:val="24"/>
              </w:rPr>
              <w:t>договор</w:t>
            </w:r>
            <w:r w:rsidR="008230D5">
              <w:rPr>
                <w:rFonts w:ascii="Times New Roman" w:hAnsi="Times New Roman" w:cs="Times New Roman"/>
                <w:b/>
                <w:sz w:val="24"/>
                <w:szCs w:val="24"/>
              </w:rPr>
              <w:t>у без передачі на баланс Оператора ГРМ</w:t>
            </w:r>
            <w:bookmarkStart w:id="3" w:name="_GoBack"/>
            <w:bookmarkEnd w:id="3"/>
            <w:r w:rsidR="000565E7" w:rsidRPr="00A71729">
              <w:rPr>
                <w:rFonts w:ascii="Times New Roman" w:hAnsi="Times New Roman" w:cs="Times New Roman"/>
                <w:sz w:val="24"/>
                <w:szCs w:val="24"/>
              </w:rPr>
              <w:t>;</w:t>
            </w:r>
            <w:r w:rsidR="000565E7">
              <w:rPr>
                <w:rFonts w:ascii="Times New Roman" w:hAnsi="Times New Roman" w:cs="Times New Roman"/>
                <w:sz w:val="24"/>
                <w:szCs w:val="24"/>
              </w:rPr>
              <w:t>»</w:t>
            </w:r>
          </w:p>
          <w:p w14:paraId="13588655" w14:textId="6ABD520A" w:rsidR="0071715E" w:rsidRPr="00A71729" w:rsidRDefault="0071715E" w:rsidP="0071715E">
            <w:pPr>
              <w:spacing w:after="0" w:line="240" w:lineRule="auto"/>
              <w:ind w:firstLine="567"/>
              <w:jc w:val="both"/>
              <w:rPr>
                <w:rFonts w:ascii="Times New Roman" w:eastAsia="Times New Roman" w:hAnsi="Times New Roman" w:cs="Times New Roman"/>
                <w:sz w:val="24"/>
                <w:szCs w:val="24"/>
                <w:lang w:eastAsia="uk-UA"/>
              </w:rPr>
            </w:pPr>
          </w:p>
        </w:tc>
      </w:tr>
      <w:tr w:rsidR="0071715E" w:rsidRPr="00FB62F2" w14:paraId="666105B4" w14:textId="77777777" w:rsidTr="00A71729">
        <w:trPr>
          <w:trHeight w:val="386"/>
        </w:trPr>
        <w:tc>
          <w:tcPr>
            <w:tcW w:w="5000" w:type="pct"/>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14:paraId="298B7700" w14:textId="4659C373" w:rsidR="0071715E" w:rsidRPr="00A71729" w:rsidRDefault="0071715E" w:rsidP="0071715E">
            <w:pPr>
              <w:spacing w:after="0" w:line="240" w:lineRule="auto"/>
              <w:ind w:firstLine="567"/>
              <w:jc w:val="center"/>
              <w:rPr>
                <w:rFonts w:ascii="Times New Roman" w:eastAsia="Times New Roman" w:hAnsi="Times New Roman" w:cs="Times New Roman"/>
                <w:b/>
                <w:sz w:val="24"/>
                <w:szCs w:val="24"/>
                <w:lang w:eastAsia="uk-UA"/>
              </w:rPr>
            </w:pPr>
            <w:r w:rsidRPr="00A71729">
              <w:rPr>
                <w:rFonts w:ascii="Times New Roman" w:eastAsia="Times New Roman" w:hAnsi="Times New Roman" w:cs="Times New Roman"/>
                <w:b/>
                <w:sz w:val="24"/>
                <w:szCs w:val="24"/>
                <w:lang w:eastAsia="uk-UA"/>
              </w:rPr>
              <w:t>6. Процедура встановлення розміру нормативних та виробничо-технологічних втрат/витрат природного газу</w:t>
            </w:r>
          </w:p>
        </w:tc>
      </w:tr>
      <w:tr w:rsidR="0071715E" w:rsidRPr="00FB62F2" w14:paraId="24B23B2D" w14:textId="77777777" w:rsidTr="00DE73DF">
        <w:trPr>
          <w:trHeight w:val="744"/>
        </w:trPr>
        <w:tc>
          <w:tcPr>
            <w:tcW w:w="1666" w:type="pct"/>
            <w:tcBorders>
              <w:top w:val="single" w:sz="6" w:space="0" w:color="000000"/>
              <w:left w:val="single" w:sz="6" w:space="0" w:color="000000"/>
              <w:right w:val="single" w:sz="6" w:space="0" w:color="000000"/>
            </w:tcBorders>
            <w:shd w:val="clear" w:color="auto" w:fill="FFFFFF"/>
          </w:tcPr>
          <w:p w14:paraId="680C18D0" w14:textId="77777777" w:rsidR="0071715E" w:rsidRPr="00A71729" w:rsidRDefault="0071715E" w:rsidP="0071715E">
            <w:pPr>
              <w:pStyle w:val="rvps2"/>
              <w:shd w:val="clear" w:color="auto" w:fill="FFFFFF"/>
              <w:spacing w:before="0" w:beforeAutospacing="0" w:after="150" w:afterAutospacing="0"/>
              <w:ind w:firstLine="450"/>
              <w:jc w:val="both"/>
              <w:rPr>
                <w:lang w:val="uk-UA"/>
              </w:rPr>
            </w:pPr>
            <w:r w:rsidRPr="00A71729">
              <w:rPr>
                <w:lang w:val="uk-UA"/>
              </w:rPr>
              <w:t xml:space="preserve">6.2. Для встановлення </w:t>
            </w:r>
            <w:r w:rsidRPr="00A71729">
              <w:rPr>
                <w:b/>
                <w:lang w:val="uk-UA"/>
              </w:rPr>
              <w:t>річного</w:t>
            </w:r>
            <w:r w:rsidRPr="00A71729">
              <w:rPr>
                <w:lang w:val="uk-UA"/>
              </w:rPr>
              <w:t xml:space="preserve"> розміру нормативних втрат/витрат газу Оператор ГРМ щороку до 31 серпня подає до НКРЕКП </w:t>
            </w:r>
            <w:bookmarkStart w:id="4" w:name="_Hlk151037163"/>
            <w:r w:rsidRPr="00A71729">
              <w:rPr>
                <w:lang w:val="uk-UA"/>
              </w:rPr>
              <w:t>розрахунки</w:t>
            </w:r>
            <w:bookmarkEnd w:id="4"/>
            <w:r w:rsidRPr="00A71729">
              <w:rPr>
                <w:lang w:val="uk-UA"/>
              </w:rPr>
              <w:t xml:space="preserve"> обсягів нормативних втрат/витрат газу, до яких додаються:</w:t>
            </w:r>
          </w:p>
          <w:p w14:paraId="5A48D318" w14:textId="77777777" w:rsidR="0071715E" w:rsidRPr="00A71729" w:rsidRDefault="0071715E" w:rsidP="0071715E">
            <w:pPr>
              <w:spacing w:after="0" w:line="240" w:lineRule="auto"/>
              <w:ind w:firstLine="567"/>
              <w:jc w:val="both"/>
              <w:rPr>
                <w:rFonts w:ascii="Times New Roman" w:eastAsia="Times New Roman" w:hAnsi="Times New Roman" w:cs="Times New Roman"/>
                <w:b/>
                <w:sz w:val="24"/>
                <w:szCs w:val="24"/>
                <w:lang w:eastAsia="uk-UA"/>
              </w:rPr>
            </w:pPr>
          </w:p>
        </w:tc>
        <w:tc>
          <w:tcPr>
            <w:tcW w:w="1667" w:type="pct"/>
            <w:gridSpan w:val="2"/>
            <w:tcBorders>
              <w:top w:val="single" w:sz="6" w:space="0" w:color="000000"/>
              <w:left w:val="single" w:sz="6" w:space="0" w:color="000000"/>
              <w:right w:val="single" w:sz="6" w:space="0" w:color="000000"/>
            </w:tcBorders>
            <w:shd w:val="clear" w:color="auto" w:fill="FFFFFF"/>
          </w:tcPr>
          <w:p w14:paraId="36D72ACB" w14:textId="77777777" w:rsidR="0071715E" w:rsidRPr="00A71729" w:rsidRDefault="0071715E" w:rsidP="0071715E">
            <w:pPr>
              <w:spacing w:after="0" w:line="240" w:lineRule="auto"/>
              <w:ind w:firstLine="567"/>
              <w:jc w:val="both"/>
              <w:rPr>
                <w:rFonts w:ascii="Times New Roman" w:eastAsia="Times New Roman" w:hAnsi="Times New Roman" w:cs="Times New Roman"/>
                <w:b/>
                <w:sz w:val="24"/>
                <w:szCs w:val="24"/>
                <w:lang w:eastAsia="uk-UA"/>
              </w:rPr>
            </w:pPr>
          </w:p>
        </w:tc>
        <w:tc>
          <w:tcPr>
            <w:tcW w:w="1667" w:type="pct"/>
            <w:gridSpan w:val="2"/>
            <w:tcBorders>
              <w:top w:val="single" w:sz="6" w:space="0" w:color="000000"/>
              <w:left w:val="single" w:sz="6" w:space="0" w:color="000000"/>
              <w:right w:val="single" w:sz="6" w:space="0" w:color="000000"/>
            </w:tcBorders>
            <w:shd w:val="clear" w:color="auto" w:fill="FFFFFF"/>
          </w:tcPr>
          <w:p w14:paraId="77918542" w14:textId="77777777" w:rsidR="0071715E" w:rsidRPr="00A71729" w:rsidRDefault="0071715E" w:rsidP="0071715E">
            <w:pPr>
              <w:spacing w:after="0" w:line="240" w:lineRule="auto"/>
              <w:ind w:firstLine="567"/>
              <w:jc w:val="both"/>
              <w:rPr>
                <w:rFonts w:ascii="Times New Roman" w:eastAsia="Times New Roman" w:hAnsi="Times New Roman" w:cs="Times New Roman"/>
                <w:sz w:val="24"/>
                <w:szCs w:val="24"/>
                <w:lang w:eastAsia="uk-UA"/>
              </w:rPr>
            </w:pPr>
          </w:p>
        </w:tc>
      </w:tr>
    </w:tbl>
    <w:p w14:paraId="01926C5D" w14:textId="77777777" w:rsidR="0071715E" w:rsidRDefault="0071715E" w:rsidP="00BC55BC">
      <w:pPr>
        <w:tabs>
          <w:tab w:val="left" w:pos="12049"/>
        </w:tabs>
        <w:spacing w:after="0"/>
        <w:ind w:firstLine="567"/>
        <w:jc w:val="both"/>
        <w:rPr>
          <w:rFonts w:ascii="Times New Roman" w:hAnsi="Times New Roman" w:cs="Times New Roman"/>
          <w:b/>
          <w:sz w:val="28"/>
          <w:szCs w:val="24"/>
        </w:rPr>
      </w:pPr>
    </w:p>
    <w:p w14:paraId="4F899774" w14:textId="77777777" w:rsidR="0071715E" w:rsidRDefault="0071715E" w:rsidP="00BC55BC">
      <w:pPr>
        <w:tabs>
          <w:tab w:val="left" w:pos="12049"/>
        </w:tabs>
        <w:spacing w:after="0"/>
        <w:ind w:firstLine="567"/>
        <w:jc w:val="both"/>
        <w:rPr>
          <w:rFonts w:ascii="Times New Roman" w:hAnsi="Times New Roman" w:cs="Times New Roman"/>
          <w:b/>
          <w:sz w:val="28"/>
          <w:szCs w:val="24"/>
        </w:rPr>
      </w:pPr>
    </w:p>
    <w:p w14:paraId="7E4DAD7E" w14:textId="6953D119" w:rsidR="00BC55BC" w:rsidRDefault="00BC55BC" w:rsidP="00BC55BC">
      <w:pPr>
        <w:tabs>
          <w:tab w:val="left" w:pos="12049"/>
        </w:tabs>
        <w:spacing w:after="0"/>
        <w:ind w:firstLine="567"/>
        <w:jc w:val="both"/>
        <w:rPr>
          <w:rFonts w:ascii="Times New Roman" w:hAnsi="Times New Roman" w:cs="Times New Roman"/>
          <w:b/>
          <w:sz w:val="28"/>
          <w:szCs w:val="24"/>
        </w:rPr>
      </w:pPr>
      <w:r w:rsidRPr="00315AC4">
        <w:rPr>
          <w:rFonts w:ascii="Times New Roman" w:hAnsi="Times New Roman" w:cs="Times New Roman"/>
          <w:b/>
          <w:sz w:val="28"/>
          <w:szCs w:val="24"/>
        </w:rPr>
        <w:t>Директор Департаменту із регулювання</w:t>
      </w:r>
    </w:p>
    <w:p w14:paraId="0C08C1B2" w14:textId="456E7D05" w:rsidR="00BE3BC1" w:rsidRPr="0078243D" w:rsidRDefault="00BC55BC" w:rsidP="009D1D4D">
      <w:pPr>
        <w:tabs>
          <w:tab w:val="left" w:pos="12049"/>
        </w:tabs>
        <w:spacing w:after="0"/>
        <w:ind w:firstLine="567"/>
        <w:jc w:val="both"/>
        <w:rPr>
          <w:rFonts w:ascii="Times New Roman" w:hAnsi="Times New Roman" w:cs="Times New Roman"/>
          <w:b/>
          <w:sz w:val="28"/>
          <w:szCs w:val="24"/>
        </w:rPr>
      </w:pPr>
      <w:r w:rsidRPr="00315AC4">
        <w:rPr>
          <w:rFonts w:ascii="Times New Roman" w:hAnsi="Times New Roman" w:cs="Times New Roman"/>
          <w:b/>
          <w:sz w:val="28"/>
          <w:szCs w:val="24"/>
        </w:rPr>
        <w:t xml:space="preserve"> відносин у нафтогазовій сфері  </w:t>
      </w:r>
      <w:r>
        <w:rPr>
          <w:rFonts w:ascii="Times New Roman" w:hAnsi="Times New Roman" w:cs="Times New Roman"/>
          <w:b/>
          <w:sz w:val="28"/>
          <w:szCs w:val="24"/>
        </w:rPr>
        <w:t xml:space="preserve">                                                                                          </w:t>
      </w:r>
      <w:r w:rsidRPr="00315AC4">
        <w:rPr>
          <w:rFonts w:ascii="Times New Roman" w:hAnsi="Times New Roman" w:cs="Times New Roman"/>
          <w:b/>
          <w:sz w:val="28"/>
          <w:szCs w:val="24"/>
        </w:rPr>
        <w:t xml:space="preserve">   Олександр КОСЯНЧУК</w:t>
      </w:r>
    </w:p>
    <w:sectPr w:rsidR="00BE3BC1" w:rsidRPr="0078243D" w:rsidSect="0071715E">
      <w:footerReference w:type="default" r:id="rId8"/>
      <w:pgSz w:w="16838" w:h="11906" w:orient="landscape"/>
      <w:pgMar w:top="284"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FE195" w14:textId="77777777" w:rsidR="00D6385F" w:rsidRDefault="00D6385F" w:rsidP="00D6385F">
      <w:pPr>
        <w:spacing w:after="0" w:line="240" w:lineRule="auto"/>
      </w:pPr>
      <w:r>
        <w:separator/>
      </w:r>
    </w:p>
  </w:endnote>
  <w:endnote w:type="continuationSeparator" w:id="0">
    <w:p w14:paraId="6A4AEAF0" w14:textId="77777777" w:rsidR="00D6385F" w:rsidRDefault="00D6385F" w:rsidP="00D6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rPr>
      <w:id w:val="-615368485"/>
      <w:docPartObj>
        <w:docPartGallery w:val="Page Numbers (Bottom of Page)"/>
        <w:docPartUnique/>
      </w:docPartObj>
    </w:sdtPr>
    <w:sdtEndPr/>
    <w:sdtContent>
      <w:p w14:paraId="0022A698" w14:textId="7E393457" w:rsidR="00D6385F" w:rsidRPr="00D6385F" w:rsidRDefault="00D6385F">
        <w:pPr>
          <w:pStyle w:val="a9"/>
          <w:jc w:val="center"/>
          <w:rPr>
            <w:rFonts w:ascii="Times New Roman" w:hAnsi="Times New Roman" w:cs="Times New Roman"/>
            <w:sz w:val="24"/>
          </w:rPr>
        </w:pPr>
        <w:r w:rsidRPr="00D6385F">
          <w:rPr>
            <w:rFonts w:ascii="Times New Roman" w:hAnsi="Times New Roman" w:cs="Times New Roman"/>
            <w:sz w:val="24"/>
          </w:rPr>
          <w:fldChar w:fldCharType="begin"/>
        </w:r>
        <w:r w:rsidRPr="00D6385F">
          <w:rPr>
            <w:rFonts w:ascii="Times New Roman" w:hAnsi="Times New Roman" w:cs="Times New Roman"/>
            <w:sz w:val="24"/>
          </w:rPr>
          <w:instrText>PAGE   \* MERGEFORMAT</w:instrText>
        </w:r>
        <w:r w:rsidRPr="00D6385F">
          <w:rPr>
            <w:rFonts w:ascii="Times New Roman" w:hAnsi="Times New Roman" w:cs="Times New Roman"/>
            <w:sz w:val="24"/>
          </w:rPr>
          <w:fldChar w:fldCharType="separate"/>
        </w:r>
        <w:r w:rsidR="0002716A">
          <w:rPr>
            <w:rFonts w:ascii="Times New Roman" w:hAnsi="Times New Roman" w:cs="Times New Roman"/>
            <w:noProof/>
            <w:sz w:val="24"/>
          </w:rPr>
          <w:t>40</w:t>
        </w:r>
        <w:r w:rsidRPr="00D6385F">
          <w:rPr>
            <w:rFonts w:ascii="Times New Roman" w:hAnsi="Times New Roman" w:cs="Times New Roman"/>
            <w:sz w:val="24"/>
          </w:rPr>
          <w:fldChar w:fldCharType="end"/>
        </w:r>
      </w:p>
    </w:sdtContent>
  </w:sdt>
  <w:p w14:paraId="0417CD61" w14:textId="77777777" w:rsidR="00D6385F" w:rsidRDefault="00D6385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B7141" w14:textId="77777777" w:rsidR="00D6385F" w:rsidRDefault="00D6385F" w:rsidP="00D6385F">
      <w:pPr>
        <w:spacing w:after="0" w:line="240" w:lineRule="auto"/>
      </w:pPr>
      <w:r>
        <w:separator/>
      </w:r>
    </w:p>
  </w:footnote>
  <w:footnote w:type="continuationSeparator" w:id="0">
    <w:p w14:paraId="633FCE90" w14:textId="77777777" w:rsidR="00D6385F" w:rsidRDefault="00D6385F" w:rsidP="00D6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1109"/>
    <w:multiLevelType w:val="hybridMultilevel"/>
    <w:tmpl w:val="3BA24216"/>
    <w:lvl w:ilvl="0" w:tplc="F078C5A6">
      <w:start w:val="1"/>
      <w:numFmt w:val="bullet"/>
      <w:lvlText w:val=""/>
      <w:lvlJc w:val="left"/>
      <w:pPr>
        <w:tabs>
          <w:tab w:val="num" w:pos="425"/>
        </w:tabs>
        <w:ind w:left="425"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26"/>
    <w:rsid w:val="0000158D"/>
    <w:rsid w:val="000143AE"/>
    <w:rsid w:val="0002716A"/>
    <w:rsid w:val="00032D12"/>
    <w:rsid w:val="000565E7"/>
    <w:rsid w:val="00061696"/>
    <w:rsid w:val="00064FAA"/>
    <w:rsid w:val="00066468"/>
    <w:rsid w:val="00075B5F"/>
    <w:rsid w:val="000919E3"/>
    <w:rsid w:val="00095BCE"/>
    <w:rsid w:val="000B3A63"/>
    <w:rsid w:val="000D1193"/>
    <w:rsid w:val="00115D27"/>
    <w:rsid w:val="00127609"/>
    <w:rsid w:val="00135BFF"/>
    <w:rsid w:val="00160BBC"/>
    <w:rsid w:val="00162668"/>
    <w:rsid w:val="00162996"/>
    <w:rsid w:val="00171D7E"/>
    <w:rsid w:val="0018391A"/>
    <w:rsid w:val="001A7127"/>
    <w:rsid w:val="001C619E"/>
    <w:rsid w:val="001C6D19"/>
    <w:rsid w:val="001D3472"/>
    <w:rsid w:val="001D7BF5"/>
    <w:rsid w:val="00211034"/>
    <w:rsid w:val="00236430"/>
    <w:rsid w:val="00237FE1"/>
    <w:rsid w:val="00241D8A"/>
    <w:rsid w:val="002461AF"/>
    <w:rsid w:val="002B7F4F"/>
    <w:rsid w:val="002C00C5"/>
    <w:rsid w:val="002C21B2"/>
    <w:rsid w:val="002D0057"/>
    <w:rsid w:val="002F0A65"/>
    <w:rsid w:val="0030033E"/>
    <w:rsid w:val="00317F5A"/>
    <w:rsid w:val="003320E0"/>
    <w:rsid w:val="00342D5A"/>
    <w:rsid w:val="003A1E95"/>
    <w:rsid w:val="003B3151"/>
    <w:rsid w:val="003C2DE5"/>
    <w:rsid w:val="003C4032"/>
    <w:rsid w:val="003E7008"/>
    <w:rsid w:val="003F0496"/>
    <w:rsid w:val="00431DED"/>
    <w:rsid w:val="004656D6"/>
    <w:rsid w:val="0047124D"/>
    <w:rsid w:val="00487EEF"/>
    <w:rsid w:val="004D4A79"/>
    <w:rsid w:val="004E2F56"/>
    <w:rsid w:val="004E696E"/>
    <w:rsid w:val="004F3F00"/>
    <w:rsid w:val="004F4777"/>
    <w:rsid w:val="00501801"/>
    <w:rsid w:val="0054117C"/>
    <w:rsid w:val="00552855"/>
    <w:rsid w:val="005771E0"/>
    <w:rsid w:val="005816D5"/>
    <w:rsid w:val="00581E8F"/>
    <w:rsid w:val="00592BAB"/>
    <w:rsid w:val="00596BC3"/>
    <w:rsid w:val="0059786A"/>
    <w:rsid w:val="005B1C96"/>
    <w:rsid w:val="005B4DEA"/>
    <w:rsid w:val="005F6E21"/>
    <w:rsid w:val="0061736D"/>
    <w:rsid w:val="006317F2"/>
    <w:rsid w:val="00631C87"/>
    <w:rsid w:val="00637E32"/>
    <w:rsid w:val="006424D5"/>
    <w:rsid w:val="00643500"/>
    <w:rsid w:val="00652198"/>
    <w:rsid w:val="006524B9"/>
    <w:rsid w:val="00657803"/>
    <w:rsid w:val="006657E5"/>
    <w:rsid w:val="00675802"/>
    <w:rsid w:val="00680C38"/>
    <w:rsid w:val="00681D72"/>
    <w:rsid w:val="006955CE"/>
    <w:rsid w:val="006A27ED"/>
    <w:rsid w:val="006B621F"/>
    <w:rsid w:val="006D492D"/>
    <w:rsid w:val="0071715E"/>
    <w:rsid w:val="007177AF"/>
    <w:rsid w:val="00751591"/>
    <w:rsid w:val="00753952"/>
    <w:rsid w:val="007555AD"/>
    <w:rsid w:val="0076673B"/>
    <w:rsid w:val="00766A74"/>
    <w:rsid w:val="0078243D"/>
    <w:rsid w:val="00796C21"/>
    <w:rsid w:val="007B0983"/>
    <w:rsid w:val="008230D5"/>
    <w:rsid w:val="00826434"/>
    <w:rsid w:val="0082743D"/>
    <w:rsid w:val="0083202D"/>
    <w:rsid w:val="008363E5"/>
    <w:rsid w:val="00851002"/>
    <w:rsid w:val="00864D0F"/>
    <w:rsid w:val="008652F3"/>
    <w:rsid w:val="00870A9F"/>
    <w:rsid w:val="00890279"/>
    <w:rsid w:val="008B3546"/>
    <w:rsid w:val="008E05AC"/>
    <w:rsid w:val="008E071E"/>
    <w:rsid w:val="008F7A51"/>
    <w:rsid w:val="00931409"/>
    <w:rsid w:val="00935068"/>
    <w:rsid w:val="009404C4"/>
    <w:rsid w:val="0094311C"/>
    <w:rsid w:val="00951391"/>
    <w:rsid w:val="00963207"/>
    <w:rsid w:val="00972248"/>
    <w:rsid w:val="00974E14"/>
    <w:rsid w:val="009A51AE"/>
    <w:rsid w:val="009A57D2"/>
    <w:rsid w:val="009B3CA1"/>
    <w:rsid w:val="009C76BD"/>
    <w:rsid w:val="009D1D4D"/>
    <w:rsid w:val="00A01B80"/>
    <w:rsid w:val="00A128AE"/>
    <w:rsid w:val="00A40C88"/>
    <w:rsid w:val="00A551AD"/>
    <w:rsid w:val="00A71729"/>
    <w:rsid w:val="00A73AAE"/>
    <w:rsid w:val="00A838BC"/>
    <w:rsid w:val="00AA467C"/>
    <w:rsid w:val="00B07FB8"/>
    <w:rsid w:val="00B23871"/>
    <w:rsid w:val="00B2441A"/>
    <w:rsid w:val="00B34291"/>
    <w:rsid w:val="00B51A93"/>
    <w:rsid w:val="00B55496"/>
    <w:rsid w:val="00B83C39"/>
    <w:rsid w:val="00B9118C"/>
    <w:rsid w:val="00B96666"/>
    <w:rsid w:val="00BB4DCD"/>
    <w:rsid w:val="00BB65BF"/>
    <w:rsid w:val="00BC55BC"/>
    <w:rsid w:val="00BE3BC1"/>
    <w:rsid w:val="00C1240A"/>
    <w:rsid w:val="00C17209"/>
    <w:rsid w:val="00C31384"/>
    <w:rsid w:val="00C536AF"/>
    <w:rsid w:val="00C6214F"/>
    <w:rsid w:val="00C632D7"/>
    <w:rsid w:val="00C63BFF"/>
    <w:rsid w:val="00C663BF"/>
    <w:rsid w:val="00C857DD"/>
    <w:rsid w:val="00C8731E"/>
    <w:rsid w:val="00CB4597"/>
    <w:rsid w:val="00CD1373"/>
    <w:rsid w:val="00CD534F"/>
    <w:rsid w:val="00CE34CB"/>
    <w:rsid w:val="00CE35D1"/>
    <w:rsid w:val="00D0074F"/>
    <w:rsid w:val="00D11FC2"/>
    <w:rsid w:val="00D12E2E"/>
    <w:rsid w:val="00D219D2"/>
    <w:rsid w:val="00D26626"/>
    <w:rsid w:val="00D27070"/>
    <w:rsid w:val="00D51709"/>
    <w:rsid w:val="00D6385F"/>
    <w:rsid w:val="00D71BAD"/>
    <w:rsid w:val="00D92DF4"/>
    <w:rsid w:val="00D93651"/>
    <w:rsid w:val="00DA0677"/>
    <w:rsid w:val="00DB359D"/>
    <w:rsid w:val="00DB578A"/>
    <w:rsid w:val="00DC2536"/>
    <w:rsid w:val="00DD441D"/>
    <w:rsid w:val="00DE73DF"/>
    <w:rsid w:val="00DF2AD3"/>
    <w:rsid w:val="00E04A15"/>
    <w:rsid w:val="00E10459"/>
    <w:rsid w:val="00E130ED"/>
    <w:rsid w:val="00E15961"/>
    <w:rsid w:val="00E3728C"/>
    <w:rsid w:val="00E66E42"/>
    <w:rsid w:val="00E769A1"/>
    <w:rsid w:val="00EA6508"/>
    <w:rsid w:val="00EB4C31"/>
    <w:rsid w:val="00EC6E1E"/>
    <w:rsid w:val="00ED165C"/>
    <w:rsid w:val="00ED4551"/>
    <w:rsid w:val="00ED5511"/>
    <w:rsid w:val="00EE2406"/>
    <w:rsid w:val="00F16DAB"/>
    <w:rsid w:val="00F26732"/>
    <w:rsid w:val="00F34116"/>
    <w:rsid w:val="00F35A1B"/>
    <w:rsid w:val="00F43483"/>
    <w:rsid w:val="00F63DA2"/>
    <w:rsid w:val="00F64A32"/>
    <w:rsid w:val="00F65D8C"/>
    <w:rsid w:val="00F71EAD"/>
    <w:rsid w:val="00F775A7"/>
    <w:rsid w:val="00FB62F2"/>
    <w:rsid w:val="00FF7894"/>
    <w:rsid w:val="00FF7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10BD"/>
  <w15:chartTrackingRefBased/>
  <w15:docId w15:val="{CFAFE10E-7421-48D3-9C2F-DD8DF3D3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2461AF"/>
    <w:pPr>
      <w:keepNext/>
      <w:keepLines/>
      <w:spacing w:before="40" w:after="0"/>
      <w:outlineLvl w:val="1"/>
    </w:pPr>
    <w:rPr>
      <w:rFonts w:asciiTheme="majorHAnsi" w:eastAsiaTheme="majorEastAsia" w:hAnsiTheme="majorHAnsi" w:cstheme="majorBidi"/>
      <w:color w:val="2F5496" w:themeColor="accent1" w:themeShade="BF"/>
      <w:kern w:val="2"/>
      <w:sz w:val="26"/>
      <w:szCs w:val="26"/>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47124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2461AF"/>
    <w:rPr>
      <w:rFonts w:asciiTheme="majorHAnsi" w:eastAsiaTheme="majorEastAsia" w:hAnsiTheme="majorHAnsi" w:cstheme="majorBidi"/>
      <w:color w:val="2F5496" w:themeColor="accent1" w:themeShade="BF"/>
      <w:kern w:val="2"/>
      <w:sz w:val="26"/>
      <w:szCs w:val="26"/>
      <w14:ligatures w14:val="standardContextual"/>
    </w:rPr>
  </w:style>
  <w:style w:type="paragraph" w:customStyle="1" w:styleId="rvps2">
    <w:name w:val="rvps2"/>
    <w:basedOn w:val="a"/>
    <w:rsid w:val="000616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No Spacing"/>
    <w:uiPriority w:val="1"/>
    <w:qFormat/>
    <w:rsid w:val="00211034"/>
    <w:pPr>
      <w:spacing w:after="0" w:line="240" w:lineRule="auto"/>
    </w:pPr>
    <w:rPr>
      <w:lang w:val="ru-RU"/>
    </w:rPr>
  </w:style>
  <w:style w:type="character" w:styleId="a4">
    <w:name w:val="Strong"/>
    <w:basedOn w:val="a0"/>
    <w:uiPriority w:val="22"/>
    <w:qFormat/>
    <w:rsid w:val="00211034"/>
    <w:rPr>
      <w:b/>
      <w:bCs/>
    </w:rPr>
  </w:style>
  <w:style w:type="paragraph" w:styleId="a5">
    <w:name w:val="Closing"/>
    <w:basedOn w:val="a"/>
    <w:link w:val="a6"/>
    <w:rsid w:val="00657803"/>
    <w:pPr>
      <w:spacing w:after="0" w:line="240" w:lineRule="auto"/>
      <w:ind w:left="4252"/>
    </w:pPr>
    <w:rPr>
      <w:rFonts w:ascii="Times New Roman" w:eastAsia="Times New Roman" w:hAnsi="Times New Roman" w:cs="Times New Roman"/>
      <w:sz w:val="20"/>
      <w:szCs w:val="20"/>
      <w:lang w:val="ru-RU" w:eastAsia="ru-RU"/>
    </w:rPr>
  </w:style>
  <w:style w:type="character" w:customStyle="1" w:styleId="a6">
    <w:name w:val="Прощання Знак"/>
    <w:basedOn w:val="a0"/>
    <w:link w:val="a5"/>
    <w:rsid w:val="00657803"/>
    <w:rPr>
      <w:rFonts w:ascii="Times New Roman" w:eastAsia="Times New Roman" w:hAnsi="Times New Roman" w:cs="Times New Roman"/>
      <w:sz w:val="20"/>
      <w:szCs w:val="20"/>
      <w:lang w:val="ru-RU" w:eastAsia="ru-RU"/>
    </w:rPr>
  </w:style>
  <w:style w:type="paragraph" w:styleId="a7">
    <w:name w:val="header"/>
    <w:basedOn w:val="a"/>
    <w:link w:val="a8"/>
    <w:uiPriority w:val="99"/>
    <w:unhideWhenUsed/>
    <w:rsid w:val="00D6385F"/>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D6385F"/>
  </w:style>
  <w:style w:type="paragraph" w:styleId="a9">
    <w:name w:val="footer"/>
    <w:basedOn w:val="a"/>
    <w:link w:val="aa"/>
    <w:uiPriority w:val="99"/>
    <w:unhideWhenUsed/>
    <w:rsid w:val="00D6385F"/>
    <w:pPr>
      <w:tabs>
        <w:tab w:val="center" w:pos="4819"/>
        <w:tab w:val="right" w:pos="9639"/>
      </w:tabs>
      <w:spacing w:after="0" w:line="240" w:lineRule="auto"/>
    </w:pPr>
  </w:style>
  <w:style w:type="character" w:customStyle="1" w:styleId="aa">
    <w:name w:val="Нижній колонтитул Знак"/>
    <w:basedOn w:val="a0"/>
    <w:link w:val="a9"/>
    <w:uiPriority w:val="99"/>
    <w:rsid w:val="00D6385F"/>
  </w:style>
  <w:style w:type="character" w:customStyle="1" w:styleId="rvts9">
    <w:name w:val="rvts9"/>
    <w:basedOn w:val="a0"/>
    <w:rsid w:val="00DE73DF"/>
  </w:style>
  <w:style w:type="character" w:customStyle="1" w:styleId="rvts40">
    <w:name w:val="rvts40"/>
    <w:basedOn w:val="a0"/>
    <w:rsid w:val="00DE73DF"/>
  </w:style>
  <w:style w:type="character" w:customStyle="1" w:styleId="rvts80">
    <w:name w:val="rvts80"/>
    <w:basedOn w:val="a0"/>
    <w:rsid w:val="00DE73DF"/>
  </w:style>
  <w:style w:type="paragraph" w:customStyle="1" w:styleId="rvps11">
    <w:name w:val="rvps11"/>
    <w:basedOn w:val="a"/>
    <w:rsid w:val="00DE73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71715E"/>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171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77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2AF23-99A7-4DBC-A406-59DC2831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1393</Words>
  <Characters>7943</Characters>
  <Application>Microsoft Office Word</Application>
  <DocSecurity>0</DocSecurity>
  <Lines>66</Lines>
  <Paragraphs>18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 Мельник</dc:creator>
  <cp:keywords/>
  <dc:description/>
  <cp:lastModifiedBy>Інна Кужильна</cp:lastModifiedBy>
  <cp:revision>9</cp:revision>
  <cp:lastPrinted>2024-02-21T07:04:00Z</cp:lastPrinted>
  <dcterms:created xsi:type="dcterms:W3CDTF">2024-02-19T10:57:00Z</dcterms:created>
  <dcterms:modified xsi:type="dcterms:W3CDTF">2024-02-21T08:21:00Z</dcterms:modified>
</cp:coreProperties>
</file>