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D9E" w:rsidRPr="00B72819" w:rsidRDefault="00EB7D9E" w:rsidP="009541B0">
      <w:pPr>
        <w:spacing w:after="0" w:line="240" w:lineRule="auto"/>
        <w:ind w:right="253" w:firstLine="567"/>
        <w:jc w:val="center"/>
        <w:rPr>
          <w:rFonts w:ascii="Times New Roman" w:hAnsi="Times New Roman"/>
          <w:b/>
          <w:sz w:val="24"/>
          <w:szCs w:val="24"/>
          <w:lang w:eastAsia="ru-RU"/>
        </w:rPr>
      </w:pPr>
    </w:p>
    <w:p w:rsidR="0035327B" w:rsidRPr="00B72819" w:rsidRDefault="008A6208" w:rsidP="009541B0">
      <w:pPr>
        <w:spacing w:after="0" w:line="240" w:lineRule="auto"/>
        <w:ind w:right="253" w:firstLine="567"/>
        <w:jc w:val="center"/>
        <w:rPr>
          <w:rFonts w:ascii="Times New Roman" w:eastAsia="Times New Roman" w:hAnsi="Times New Roman"/>
          <w:b/>
          <w:sz w:val="24"/>
          <w:szCs w:val="24"/>
        </w:rPr>
      </w:pPr>
      <w:r w:rsidRPr="00B72819">
        <w:rPr>
          <w:rFonts w:ascii="Times New Roman" w:hAnsi="Times New Roman"/>
          <w:b/>
          <w:sz w:val="24"/>
          <w:szCs w:val="24"/>
          <w:lang w:eastAsia="ru-RU"/>
        </w:rPr>
        <w:t>Узагальнена таблиця з</w:t>
      </w:r>
      <w:r w:rsidR="009541B0" w:rsidRPr="00B72819">
        <w:rPr>
          <w:rFonts w:ascii="Times New Roman" w:hAnsi="Times New Roman"/>
          <w:b/>
          <w:sz w:val="24"/>
          <w:szCs w:val="24"/>
          <w:lang w:eastAsia="ru-RU"/>
        </w:rPr>
        <w:t>ауважен</w:t>
      </w:r>
      <w:r w:rsidRPr="00B72819">
        <w:rPr>
          <w:rFonts w:ascii="Times New Roman" w:hAnsi="Times New Roman"/>
          <w:b/>
          <w:sz w:val="24"/>
          <w:szCs w:val="24"/>
          <w:lang w:eastAsia="ru-RU"/>
        </w:rPr>
        <w:t>ь</w:t>
      </w:r>
      <w:r w:rsidR="009541B0" w:rsidRPr="00B72819">
        <w:rPr>
          <w:rFonts w:ascii="Times New Roman" w:hAnsi="Times New Roman"/>
          <w:b/>
          <w:sz w:val="24"/>
          <w:szCs w:val="24"/>
          <w:lang w:eastAsia="ru-RU"/>
        </w:rPr>
        <w:t xml:space="preserve"> та пропозиці</w:t>
      </w:r>
      <w:r w:rsidRPr="00B72819">
        <w:rPr>
          <w:rFonts w:ascii="Times New Roman" w:hAnsi="Times New Roman"/>
          <w:b/>
          <w:sz w:val="24"/>
          <w:szCs w:val="24"/>
          <w:lang w:eastAsia="ru-RU"/>
        </w:rPr>
        <w:t>й</w:t>
      </w:r>
      <w:r w:rsidR="009541B0" w:rsidRPr="00B72819">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B72819">
        <w:rPr>
          <w:rFonts w:ascii="Times New Roman" w:hAnsi="Times New Roman"/>
          <w:b/>
          <w:sz w:val="24"/>
          <w:szCs w:val="24"/>
          <w:lang w:eastAsia="ru-RU"/>
        </w:rPr>
        <w:t>акта</w:t>
      </w:r>
      <w:proofErr w:type="spellEnd"/>
      <w:r w:rsidR="00C93EDE" w:rsidRPr="00B72819">
        <w:rPr>
          <w:rFonts w:ascii="Times New Roman" w:eastAsia="Times New Roman" w:hAnsi="Times New Roman"/>
          <w:b/>
          <w:sz w:val="24"/>
          <w:szCs w:val="24"/>
        </w:rPr>
        <w:t>, – постанови НКРЕКП</w:t>
      </w:r>
      <w:r w:rsidR="009541B0" w:rsidRPr="00B72819">
        <w:rPr>
          <w:rFonts w:ascii="Times New Roman" w:eastAsia="Times New Roman" w:hAnsi="Times New Roman"/>
          <w:b/>
          <w:sz w:val="24"/>
          <w:szCs w:val="24"/>
        </w:rPr>
        <w:t xml:space="preserve"> </w:t>
      </w:r>
      <w:r w:rsidR="00C93EDE" w:rsidRPr="00B72819">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CE33B0" w:rsidRPr="00B72819" w:rsidRDefault="00CE33B0" w:rsidP="009541B0">
      <w:pPr>
        <w:spacing w:after="0" w:line="240" w:lineRule="auto"/>
        <w:ind w:right="253" w:firstLine="567"/>
        <w:jc w:val="center"/>
        <w:rPr>
          <w:rFonts w:ascii="Times New Roman" w:eastAsia="Times New Roman" w:hAnsi="Times New Roman"/>
          <w:b/>
          <w:sz w:val="24"/>
          <w:szCs w:val="24"/>
          <w:lang w:eastAsia="uk-UA"/>
        </w:rPr>
      </w:pPr>
    </w:p>
    <w:tbl>
      <w:tblPr>
        <w:tblStyle w:val="af1"/>
        <w:tblW w:w="4966" w:type="pct"/>
        <w:tblCellMar>
          <w:left w:w="57" w:type="dxa"/>
          <w:right w:w="57" w:type="dxa"/>
        </w:tblCellMar>
        <w:tblLook w:val="04A0" w:firstRow="1" w:lastRow="0" w:firstColumn="1" w:lastColumn="0" w:noHBand="0" w:noVBand="1"/>
      </w:tblPr>
      <w:tblGrid>
        <w:gridCol w:w="1310"/>
        <w:gridCol w:w="3598"/>
        <w:gridCol w:w="3598"/>
        <w:gridCol w:w="3598"/>
        <w:gridCol w:w="3483"/>
      </w:tblGrid>
      <w:tr w:rsidR="00C66BF4" w:rsidRPr="004A6173" w:rsidTr="009D4D7D">
        <w:tc>
          <w:tcPr>
            <w:tcW w:w="420" w:type="pct"/>
            <w:shd w:val="clear" w:color="auto" w:fill="auto"/>
            <w:vAlign w:val="center"/>
          </w:tcPr>
          <w:p w:rsidR="00BA25AC" w:rsidRPr="004A6173" w:rsidRDefault="00BA25AC" w:rsidP="004A6173">
            <w:pPr>
              <w:pStyle w:val="a8"/>
              <w:spacing w:after="0"/>
              <w:ind w:left="0"/>
              <w:jc w:val="center"/>
              <w:rPr>
                <w:rFonts w:ascii="Times New Roman" w:hAnsi="Times New Roman" w:cs="Times New Roman"/>
                <w:b/>
                <w:bCs/>
                <w:lang w:val="uk-UA"/>
              </w:rPr>
            </w:pPr>
            <w:r w:rsidRPr="004A6173">
              <w:rPr>
                <w:rFonts w:ascii="Times New Roman" w:hAnsi="Times New Roman" w:cs="Times New Roman"/>
                <w:b/>
                <w:bCs/>
                <w:lang w:val="uk-UA"/>
              </w:rPr>
              <w:t>Зауваження до</w:t>
            </w:r>
          </w:p>
        </w:tc>
        <w:tc>
          <w:tcPr>
            <w:tcW w:w="1154" w:type="pct"/>
            <w:shd w:val="clear" w:color="auto" w:fill="E2EFD9" w:themeFill="accent6" w:themeFillTint="33"/>
            <w:vAlign w:val="center"/>
          </w:tcPr>
          <w:p w:rsidR="00BA25AC" w:rsidRPr="004A6173" w:rsidRDefault="00BA25AC" w:rsidP="004A6173">
            <w:pPr>
              <w:pStyle w:val="a8"/>
              <w:spacing w:after="0"/>
              <w:ind w:left="0"/>
              <w:jc w:val="center"/>
              <w:rPr>
                <w:rFonts w:ascii="Times New Roman" w:hAnsi="Times New Roman" w:cs="Times New Roman"/>
                <w:b/>
                <w:bCs/>
                <w:lang w:val="uk-UA"/>
              </w:rPr>
            </w:pPr>
            <w:r w:rsidRPr="004A6173">
              <w:rPr>
                <w:rFonts w:ascii="Times New Roman" w:hAnsi="Times New Roman" w:cs="Times New Roman"/>
                <w:b/>
                <w:bCs/>
                <w:lang w:val="uk-UA"/>
              </w:rPr>
              <w:t>Редакція про</w:t>
            </w:r>
            <w:r w:rsidR="00673D69" w:rsidRPr="004A6173">
              <w:rPr>
                <w:rFonts w:ascii="Times New Roman" w:hAnsi="Times New Roman" w:cs="Times New Roman"/>
                <w:b/>
                <w:bCs/>
                <w:lang w:val="uk-UA"/>
              </w:rPr>
              <w:t>є</w:t>
            </w:r>
            <w:r w:rsidRPr="004A6173">
              <w:rPr>
                <w:rFonts w:ascii="Times New Roman" w:hAnsi="Times New Roman" w:cs="Times New Roman"/>
                <w:b/>
                <w:bCs/>
                <w:lang w:val="uk-UA"/>
              </w:rPr>
              <w:t>кту рішення НКРЕКП</w:t>
            </w:r>
          </w:p>
        </w:tc>
        <w:tc>
          <w:tcPr>
            <w:tcW w:w="1154" w:type="pct"/>
            <w:shd w:val="clear" w:color="auto" w:fill="E2EFD9" w:themeFill="accent6" w:themeFillTint="33"/>
            <w:vAlign w:val="center"/>
          </w:tcPr>
          <w:p w:rsidR="00BA25AC" w:rsidRPr="004A6173" w:rsidRDefault="00BA25AC" w:rsidP="004A6173">
            <w:pPr>
              <w:pStyle w:val="a8"/>
              <w:spacing w:after="0"/>
              <w:ind w:left="0"/>
              <w:jc w:val="center"/>
              <w:rPr>
                <w:rFonts w:ascii="Times New Roman" w:hAnsi="Times New Roman" w:cs="Times New Roman"/>
                <w:b/>
                <w:bCs/>
                <w:lang w:val="uk-UA"/>
              </w:rPr>
            </w:pPr>
            <w:r w:rsidRPr="004A6173">
              <w:rPr>
                <w:rFonts w:ascii="Times New Roman" w:hAnsi="Times New Roman" w:cs="Times New Roman"/>
                <w:b/>
                <w:bCs/>
                <w:lang w:val="uk-UA"/>
              </w:rPr>
              <w:t>Зауваження та пропозиції до про</w:t>
            </w:r>
            <w:r w:rsidR="00673D69" w:rsidRPr="004A6173">
              <w:rPr>
                <w:rFonts w:ascii="Times New Roman" w:hAnsi="Times New Roman" w:cs="Times New Roman"/>
                <w:b/>
                <w:bCs/>
                <w:lang w:val="uk-UA"/>
              </w:rPr>
              <w:t>є</w:t>
            </w:r>
            <w:r w:rsidRPr="004A6173">
              <w:rPr>
                <w:rFonts w:ascii="Times New Roman" w:hAnsi="Times New Roman" w:cs="Times New Roman"/>
                <w:b/>
                <w:bCs/>
                <w:lang w:val="uk-UA"/>
              </w:rPr>
              <w:t>кту рішення НКРЕКП</w:t>
            </w:r>
          </w:p>
        </w:tc>
        <w:tc>
          <w:tcPr>
            <w:tcW w:w="1154" w:type="pct"/>
            <w:shd w:val="clear" w:color="auto" w:fill="auto"/>
            <w:vAlign w:val="center"/>
          </w:tcPr>
          <w:p w:rsidR="00BA25AC" w:rsidRPr="004A6173" w:rsidRDefault="00BA25AC" w:rsidP="004A6173">
            <w:pPr>
              <w:pStyle w:val="a8"/>
              <w:spacing w:after="0"/>
              <w:ind w:left="0"/>
              <w:jc w:val="center"/>
              <w:rPr>
                <w:rFonts w:ascii="Times New Roman" w:hAnsi="Times New Roman" w:cs="Times New Roman"/>
                <w:b/>
                <w:bCs/>
                <w:lang w:val="uk-UA"/>
              </w:rPr>
            </w:pPr>
            <w:r w:rsidRPr="004A6173">
              <w:rPr>
                <w:rFonts w:ascii="Times New Roman" w:hAnsi="Times New Roman" w:cs="Times New Roman"/>
                <w:b/>
                <w:bCs/>
                <w:lang w:val="uk-UA"/>
              </w:rPr>
              <w:t>Обґрунтування</w:t>
            </w:r>
          </w:p>
        </w:tc>
        <w:tc>
          <w:tcPr>
            <w:tcW w:w="1117" w:type="pct"/>
            <w:shd w:val="clear" w:color="auto" w:fill="E2EFD9" w:themeFill="accent6" w:themeFillTint="33"/>
            <w:vAlign w:val="center"/>
          </w:tcPr>
          <w:p w:rsidR="00BA25AC" w:rsidRPr="004A6173" w:rsidRDefault="00673D69" w:rsidP="004A6173">
            <w:pPr>
              <w:pStyle w:val="a8"/>
              <w:spacing w:after="0"/>
              <w:ind w:left="0"/>
              <w:jc w:val="center"/>
              <w:rPr>
                <w:rFonts w:ascii="Times New Roman" w:hAnsi="Times New Roman" w:cs="Times New Roman"/>
                <w:b/>
                <w:bCs/>
                <w:lang w:val="uk-UA"/>
              </w:rPr>
            </w:pPr>
            <w:r w:rsidRPr="004A6173">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6233E0" w:rsidRPr="004A6173" w:rsidTr="00B36E31">
        <w:tc>
          <w:tcPr>
            <w:tcW w:w="420" w:type="pct"/>
          </w:tcPr>
          <w:p w:rsidR="00BA776C" w:rsidRDefault="00BA776C" w:rsidP="004A6173">
            <w:pPr>
              <w:spacing w:after="0"/>
              <w:contextualSpacing/>
              <w:jc w:val="center"/>
              <w:rPr>
                <w:rFonts w:ascii="Times New Roman" w:hAnsi="Times New Roman" w:cs="Times New Roman"/>
              </w:rPr>
            </w:pPr>
          </w:p>
          <w:p w:rsidR="006233E0" w:rsidRPr="004A6173" w:rsidRDefault="006233E0" w:rsidP="004A6173">
            <w:pPr>
              <w:spacing w:after="0"/>
              <w:contextualSpacing/>
              <w:jc w:val="center"/>
              <w:rPr>
                <w:rFonts w:ascii="Times New Roman" w:hAnsi="Times New Roman" w:cs="Times New Roman"/>
              </w:rPr>
            </w:pPr>
            <w:r w:rsidRPr="004A6173">
              <w:rPr>
                <w:rFonts w:ascii="Times New Roman" w:hAnsi="Times New Roman" w:cs="Times New Roman"/>
              </w:rPr>
              <w:t>2.10</w:t>
            </w:r>
          </w:p>
        </w:tc>
        <w:tc>
          <w:tcPr>
            <w:tcW w:w="1154" w:type="pct"/>
            <w:shd w:val="clear" w:color="auto" w:fill="auto"/>
          </w:tcPr>
          <w:p w:rsidR="00E76B7A" w:rsidRDefault="00E76B7A" w:rsidP="004A6173">
            <w:pPr>
              <w:pStyle w:val="a3"/>
              <w:spacing w:before="0" w:beforeAutospacing="0" w:after="0" w:afterAutospacing="0"/>
              <w:jc w:val="both"/>
              <w:rPr>
                <w:rFonts w:cs="Times New Roman"/>
                <w:sz w:val="22"/>
                <w:szCs w:val="22"/>
              </w:rPr>
            </w:pPr>
          </w:p>
          <w:p w:rsidR="00E76B7A" w:rsidRDefault="00E76B7A" w:rsidP="004A6173">
            <w:pPr>
              <w:pStyle w:val="a3"/>
              <w:spacing w:before="0" w:beforeAutospacing="0" w:after="0" w:afterAutospacing="0"/>
              <w:jc w:val="both"/>
              <w:rPr>
                <w:rFonts w:cs="Times New Roman"/>
                <w:sz w:val="22"/>
                <w:szCs w:val="22"/>
              </w:rPr>
            </w:pPr>
          </w:p>
          <w:p w:rsidR="00BA776C" w:rsidRDefault="00BA776C" w:rsidP="004A6173">
            <w:pPr>
              <w:pStyle w:val="a3"/>
              <w:spacing w:before="0" w:beforeAutospacing="0" w:after="0" w:afterAutospacing="0"/>
              <w:jc w:val="both"/>
              <w:rPr>
                <w:rFonts w:cs="Times New Roman"/>
                <w:sz w:val="22"/>
                <w:szCs w:val="22"/>
              </w:rPr>
            </w:pPr>
          </w:p>
          <w:p w:rsidR="00E76B7A" w:rsidRDefault="00E76B7A" w:rsidP="004A6173">
            <w:pPr>
              <w:pStyle w:val="a3"/>
              <w:spacing w:before="0" w:beforeAutospacing="0" w:after="0" w:afterAutospacing="0"/>
              <w:jc w:val="both"/>
              <w:rPr>
                <w:rFonts w:cs="Times New Roman"/>
                <w:sz w:val="22"/>
                <w:szCs w:val="22"/>
              </w:rPr>
            </w:pP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2.10. Під час проведення перевірок не допускається вилучення у ліцензіатів оригіналів їхніх фінансово-господарських, бухгалтерських, інших документів, а також комп'ютерів та їх частин.</w:t>
            </w:r>
          </w:p>
          <w:p w:rsidR="006233E0" w:rsidRPr="004A6173"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Документи, пояснення, довідки, відомості, матеріали з питань, що виникають під час перевірки, надаються ліцензіатом в паперовій або електронній формі. Матеріали в електронній формі надаються на оптичному диску та/або USB-флеш-накопичувачі та/або іншому, доступному для зчитування інформації носії та з забезпеченням цілісності інформації на таких носіях.</w:t>
            </w:r>
          </w:p>
          <w:p w:rsidR="006233E0" w:rsidRPr="004A6173"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При наданні інформації на електронному носії мають бути виконані такі вимоги:</w:t>
            </w:r>
          </w:p>
          <w:p w:rsidR="006233E0" w:rsidRPr="004A6173"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інформація, що міститься в електронних документах, повинна бути доступною для її подальшого використання;</w:t>
            </w:r>
          </w:p>
          <w:p w:rsidR="006233E0" w:rsidRPr="004A6173"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 xml:space="preserve">має бути забезпечена можливість відновлення електронного документа у тому форматі, в якому </w:t>
            </w:r>
            <w:r w:rsidRPr="004A6173">
              <w:rPr>
                <w:rFonts w:cs="Times New Roman"/>
                <w:b/>
                <w:sz w:val="22"/>
                <w:szCs w:val="22"/>
                <w:u w:val="single"/>
              </w:rPr>
              <w:lastRenderedPageBreak/>
              <w:t>він був створений, відправлений або одержаний;</w:t>
            </w:r>
          </w:p>
          <w:p w:rsidR="006233E0"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у разі наявності повинна зберігатися інформація, яка дає змогу встановити походження та призначення електронного документа, а також дату і час його відправлення чи одержання.</w:t>
            </w:r>
          </w:p>
          <w:p w:rsidR="00BA776C" w:rsidRPr="004A6173" w:rsidRDefault="00BA776C" w:rsidP="004A6173">
            <w:pPr>
              <w:pStyle w:val="a3"/>
              <w:spacing w:before="0" w:beforeAutospacing="0" w:after="0" w:afterAutospacing="0"/>
              <w:jc w:val="both"/>
              <w:rPr>
                <w:rFonts w:cs="Times New Roman"/>
                <w:sz w:val="22"/>
                <w:szCs w:val="22"/>
              </w:rPr>
            </w:pPr>
          </w:p>
        </w:tc>
        <w:tc>
          <w:tcPr>
            <w:tcW w:w="1154" w:type="pct"/>
            <w:shd w:val="clear" w:color="auto" w:fill="auto"/>
          </w:tcPr>
          <w:p w:rsidR="00BA776C" w:rsidRDefault="00BA776C" w:rsidP="004A6173">
            <w:pPr>
              <w:pStyle w:val="a3"/>
              <w:spacing w:before="0" w:beforeAutospacing="0" w:after="0" w:afterAutospacing="0"/>
              <w:ind w:firstLine="100"/>
              <w:contextualSpacing/>
              <w:jc w:val="both"/>
              <w:rPr>
                <w:rFonts w:cs="Times New Roman"/>
                <w:i/>
                <w:sz w:val="22"/>
                <w:szCs w:val="22"/>
              </w:rPr>
            </w:pPr>
          </w:p>
          <w:p w:rsidR="006233E0" w:rsidRPr="004A6173" w:rsidRDefault="006233E0" w:rsidP="004A6173">
            <w:pPr>
              <w:pStyle w:val="a3"/>
              <w:spacing w:before="0" w:beforeAutospacing="0" w:after="0" w:afterAutospacing="0"/>
              <w:ind w:firstLine="100"/>
              <w:contextualSpacing/>
              <w:jc w:val="both"/>
              <w:rPr>
                <w:rFonts w:cs="Times New Roman"/>
                <w:i/>
                <w:sz w:val="22"/>
                <w:szCs w:val="22"/>
              </w:rPr>
            </w:pPr>
            <w:r w:rsidRPr="004A6173">
              <w:rPr>
                <w:rFonts w:cs="Times New Roman"/>
                <w:i/>
                <w:sz w:val="22"/>
                <w:szCs w:val="22"/>
              </w:rPr>
              <w:t>АТ «ДТЕК ДНІПРОВСЬКІ ЕЛЕКТРОМЕРЕЖІ»</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2.10. Під час проведення перевірок не допускається вилучення у ліцензіатів оригіналів їхніх фінансово-господарських, бухгалтерських, інших документів, а також комп'ютерів та їх частин.</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 xml:space="preserve">Документи, пояснення, довідки, відомості, матеріали з питань, що виникають під час перевірки, надаються ліцензіатом в паперовій або електронній формі. Матеріали в електронній формі надаються на оптичному диску та/або USB-флеш-накопичувачі та/або іншому, доступному для зчитування інформації носії, </w:t>
            </w:r>
            <w:r w:rsidRPr="004A6173">
              <w:rPr>
                <w:rFonts w:cs="Times New Roman"/>
                <w:b/>
                <w:bCs/>
                <w:sz w:val="22"/>
                <w:szCs w:val="22"/>
              </w:rPr>
              <w:t>а також шляхом надання засобами електронної пошти</w:t>
            </w:r>
            <w:r w:rsidRPr="004A6173">
              <w:rPr>
                <w:rFonts w:cs="Times New Roman"/>
                <w:sz w:val="22"/>
                <w:szCs w:val="22"/>
              </w:rPr>
              <w:t>, та з забезпеченням цілісності інформації на таких носіях.</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При наданні інформації на електронному носії мають бути виконані такі вимоги:</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інформація, що міститься в електронних документах, повинна бути доступною для її подальшого використання;</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 xml:space="preserve">має бути забезпечена можливість відновлення електронного </w:t>
            </w:r>
            <w:r w:rsidRPr="004A6173">
              <w:rPr>
                <w:rFonts w:cs="Times New Roman"/>
                <w:sz w:val="22"/>
                <w:szCs w:val="22"/>
              </w:rPr>
              <w:lastRenderedPageBreak/>
              <w:t>документа у тому форматі, в якому він був створений, відправлений або одержаний;</w:t>
            </w:r>
          </w:p>
          <w:p w:rsidR="006233E0"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у разі наявності повинна зберігатися інформація, яка дає змогу встановити походження та призначення електронного документа, а також дату і час його відправлення чи одержання.</w:t>
            </w:r>
          </w:p>
          <w:p w:rsidR="00BA776C" w:rsidRPr="004A6173" w:rsidRDefault="00BA776C" w:rsidP="004A6173">
            <w:pPr>
              <w:pStyle w:val="a3"/>
              <w:spacing w:before="0" w:beforeAutospacing="0" w:after="0" w:afterAutospacing="0"/>
              <w:jc w:val="both"/>
              <w:rPr>
                <w:rFonts w:cs="Times New Roman"/>
                <w:bCs/>
                <w:i/>
                <w:iCs/>
                <w:sz w:val="22"/>
                <w:szCs w:val="22"/>
                <w:lang w:eastAsia="ru-RU"/>
              </w:rPr>
            </w:pPr>
          </w:p>
        </w:tc>
        <w:tc>
          <w:tcPr>
            <w:tcW w:w="1154" w:type="pct"/>
            <w:shd w:val="clear" w:color="auto" w:fill="auto"/>
          </w:tcPr>
          <w:p w:rsidR="00BA776C" w:rsidRDefault="00BA776C" w:rsidP="004A6173">
            <w:pPr>
              <w:pStyle w:val="a3"/>
              <w:spacing w:before="0" w:beforeAutospacing="0" w:after="0" w:afterAutospacing="0"/>
              <w:ind w:firstLine="100"/>
              <w:contextualSpacing/>
              <w:jc w:val="both"/>
              <w:rPr>
                <w:rFonts w:cs="Times New Roman"/>
                <w:i/>
                <w:sz w:val="22"/>
                <w:szCs w:val="22"/>
              </w:rPr>
            </w:pPr>
          </w:p>
          <w:p w:rsidR="006233E0" w:rsidRPr="004A6173" w:rsidRDefault="006233E0" w:rsidP="004A6173">
            <w:pPr>
              <w:pStyle w:val="a3"/>
              <w:spacing w:before="0" w:beforeAutospacing="0" w:after="0" w:afterAutospacing="0"/>
              <w:ind w:firstLine="100"/>
              <w:contextualSpacing/>
              <w:jc w:val="both"/>
              <w:rPr>
                <w:rFonts w:cs="Times New Roman"/>
                <w:i/>
                <w:sz w:val="22"/>
                <w:szCs w:val="22"/>
              </w:rPr>
            </w:pPr>
            <w:r w:rsidRPr="004A6173">
              <w:rPr>
                <w:rFonts w:cs="Times New Roman"/>
                <w:i/>
                <w:sz w:val="22"/>
                <w:szCs w:val="22"/>
              </w:rPr>
              <w:t>АТ «ДТЕК ДНІПРОВСЬКІ ЕЛЕКТРОМЕРЕЖІ»</w:t>
            </w:r>
          </w:p>
          <w:p w:rsidR="006233E0" w:rsidRPr="004A6173" w:rsidRDefault="006233E0" w:rsidP="004A6173">
            <w:pPr>
              <w:pStyle w:val="a3"/>
              <w:spacing w:before="0" w:beforeAutospacing="0" w:after="0" w:afterAutospacing="0"/>
              <w:jc w:val="both"/>
              <w:rPr>
                <w:rFonts w:cs="Times New Roman"/>
                <w:bCs/>
                <w:color w:val="000000" w:themeColor="text1"/>
                <w:sz w:val="22"/>
                <w:szCs w:val="22"/>
              </w:rPr>
            </w:pPr>
          </w:p>
          <w:p w:rsidR="006233E0" w:rsidRPr="004A6173" w:rsidRDefault="006233E0" w:rsidP="004A6173">
            <w:pPr>
              <w:pStyle w:val="a3"/>
              <w:spacing w:before="0" w:beforeAutospacing="0" w:after="0" w:afterAutospacing="0"/>
              <w:jc w:val="both"/>
              <w:rPr>
                <w:rFonts w:cs="Times New Roman"/>
                <w:bCs/>
                <w:i/>
                <w:iCs/>
                <w:sz w:val="22"/>
                <w:szCs w:val="22"/>
                <w:lang w:eastAsia="ru-RU"/>
              </w:rPr>
            </w:pPr>
            <w:r w:rsidRPr="004A6173">
              <w:rPr>
                <w:rFonts w:cs="Times New Roman"/>
                <w:bCs/>
                <w:color w:val="000000" w:themeColor="text1"/>
                <w:sz w:val="22"/>
                <w:szCs w:val="22"/>
              </w:rPr>
              <w:t>Пропонується доповнити перелік засобів надання інформації зокрема шляхом надсилання електронною поштою</w:t>
            </w:r>
          </w:p>
        </w:tc>
        <w:tc>
          <w:tcPr>
            <w:tcW w:w="1117" w:type="pct"/>
            <w:shd w:val="clear" w:color="auto" w:fill="auto"/>
          </w:tcPr>
          <w:p w:rsidR="006233E0" w:rsidRDefault="006233E0" w:rsidP="004A6173">
            <w:pPr>
              <w:pStyle w:val="a8"/>
              <w:spacing w:after="0"/>
              <w:ind w:left="0"/>
              <w:jc w:val="both"/>
              <w:rPr>
                <w:rFonts w:ascii="Times New Roman" w:hAnsi="Times New Roman" w:cs="Times New Roman"/>
                <w:b/>
                <w:lang w:val="uk-UA"/>
              </w:rPr>
            </w:pPr>
          </w:p>
          <w:p w:rsidR="008C337A" w:rsidRDefault="008C337A" w:rsidP="004A6173">
            <w:pPr>
              <w:pStyle w:val="a8"/>
              <w:spacing w:after="0"/>
              <w:ind w:left="0"/>
              <w:jc w:val="both"/>
              <w:rPr>
                <w:rFonts w:ascii="Times New Roman" w:hAnsi="Times New Roman" w:cs="Times New Roman"/>
                <w:b/>
                <w:lang w:val="uk-UA"/>
              </w:rPr>
            </w:pPr>
            <w:r>
              <w:rPr>
                <w:rFonts w:ascii="Times New Roman" w:hAnsi="Times New Roman" w:cs="Times New Roman"/>
                <w:b/>
                <w:lang w:val="uk-UA"/>
              </w:rPr>
              <w:t>Не враховано</w:t>
            </w:r>
          </w:p>
          <w:p w:rsidR="008C337A" w:rsidRDefault="008C337A" w:rsidP="004A6173">
            <w:pPr>
              <w:pStyle w:val="a8"/>
              <w:spacing w:after="0"/>
              <w:ind w:left="0"/>
              <w:jc w:val="both"/>
              <w:rPr>
                <w:rFonts w:ascii="Times New Roman" w:hAnsi="Times New Roman" w:cs="Times New Roman"/>
                <w:b/>
                <w:lang w:val="uk-UA"/>
              </w:rPr>
            </w:pPr>
          </w:p>
          <w:p w:rsidR="008C337A" w:rsidRPr="008C337A" w:rsidRDefault="008C337A" w:rsidP="004A6173">
            <w:pPr>
              <w:pStyle w:val="a8"/>
              <w:spacing w:after="0"/>
              <w:ind w:left="0"/>
              <w:jc w:val="both"/>
              <w:rPr>
                <w:rFonts w:ascii="Times New Roman" w:hAnsi="Times New Roman" w:cs="Times New Roman"/>
                <w:lang w:val="uk-UA"/>
              </w:rPr>
            </w:pPr>
            <w:r>
              <w:rPr>
                <w:rFonts w:ascii="Times New Roman" w:hAnsi="Times New Roman" w:cs="Times New Roman"/>
                <w:lang w:val="uk-UA"/>
              </w:rPr>
              <w:t>У зв</w:t>
            </w:r>
            <w:r>
              <w:rPr>
                <w:rFonts w:ascii="Times New Roman" w:hAnsi="Times New Roman" w:cs="Times New Roman"/>
                <w:lang w:val="en-US"/>
              </w:rPr>
              <w:t>’</w:t>
            </w:r>
            <w:proofErr w:type="spellStart"/>
            <w:r>
              <w:rPr>
                <w:rFonts w:ascii="Times New Roman" w:hAnsi="Times New Roman" w:cs="Times New Roman"/>
                <w:lang w:val="uk-UA"/>
              </w:rPr>
              <w:t>язку</w:t>
            </w:r>
            <w:proofErr w:type="spellEnd"/>
            <w:r>
              <w:rPr>
                <w:rFonts w:ascii="Times New Roman" w:hAnsi="Times New Roman" w:cs="Times New Roman"/>
                <w:lang w:val="uk-UA"/>
              </w:rPr>
              <w:t xml:space="preserve"> з тим, що електронний лист не може бути додатком да </w:t>
            </w:r>
            <w:proofErr w:type="spellStart"/>
            <w:r>
              <w:rPr>
                <w:rFonts w:ascii="Times New Roman" w:hAnsi="Times New Roman" w:cs="Times New Roman"/>
                <w:lang w:val="uk-UA"/>
              </w:rPr>
              <w:t>акта</w:t>
            </w:r>
            <w:proofErr w:type="spellEnd"/>
            <w:r w:rsidR="00F71810">
              <w:rPr>
                <w:rFonts w:ascii="Times New Roman" w:hAnsi="Times New Roman" w:cs="Times New Roman"/>
                <w:lang w:val="uk-UA"/>
              </w:rPr>
              <w:t xml:space="preserve"> перевірки</w:t>
            </w:r>
          </w:p>
        </w:tc>
      </w:tr>
      <w:tr w:rsidR="006233E0" w:rsidRPr="004A6173" w:rsidTr="00B36E31">
        <w:tc>
          <w:tcPr>
            <w:tcW w:w="420" w:type="pct"/>
          </w:tcPr>
          <w:p w:rsidR="00BA776C" w:rsidRDefault="00BA776C" w:rsidP="004A6173">
            <w:pPr>
              <w:spacing w:after="0"/>
              <w:contextualSpacing/>
              <w:jc w:val="center"/>
              <w:rPr>
                <w:rFonts w:ascii="Times New Roman" w:hAnsi="Times New Roman" w:cs="Times New Roman"/>
              </w:rPr>
            </w:pPr>
          </w:p>
          <w:p w:rsidR="006233E0" w:rsidRPr="004A6173" w:rsidRDefault="006233E0" w:rsidP="004A6173">
            <w:pPr>
              <w:spacing w:after="0"/>
              <w:contextualSpacing/>
              <w:jc w:val="center"/>
              <w:rPr>
                <w:rFonts w:ascii="Times New Roman" w:hAnsi="Times New Roman" w:cs="Times New Roman"/>
              </w:rPr>
            </w:pPr>
            <w:r w:rsidRPr="004A6173">
              <w:rPr>
                <w:rFonts w:ascii="Times New Roman" w:hAnsi="Times New Roman" w:cs="Times New Roman"/>
              </w:rPr>
              <w:t>3.1</w:t>
            </w:r>
          </w:p>
        </w:tc>
        <w:tc>
          <w:tcPr>
            <w:tcW w:w="1154" w:type="pct"/>
            <w:shd w:val="clear" w:color="auto" w:fill="auto"/>
          </w:tcPr>
          <w:p w:rsidR="00BA776C" w:rsidRDefault="00BA776C" w:rsidP="004A6173">
            <w:pPr>
              <w:pStyle w:val="a3"/>
              <w:spacing w:before="0" w:beforeAutospacing="0" w:after="0" w:afterAutospacing="0"/>
              <w:jc w:val="both"/>
              <w:rPr>
                <w:rFonts w:cs="Times New Roman"/>
                <w:sz w:val="22"/>
                <w:szCs w:val="22"/>
              </w:rPr>
            </w:pPr>
          </w:p>
          <w:p w:rsidR="00BA776C" w:rsidRDefault="00BA776C" w:rsidP="004A6173">
            <w:pPr>
              <w:pStyle w:val="a3"/>
              <w:spacing w:before="0" w:beforeAutospacing="0" w:after="0" w:afterAutospacing="0"/>
              <w:jc w:val="both"/>
              <w:rPr>
                <w:rFonts w:cs="Times New Roman"/>
                <w:sz w:val="22"/>
                <w:szCs w:val="22"/>
              </w:rPr>
            </w:pPr>
          </w:p>
          <w:p w:rsidR="00BA776C" w:rsidRDefault="00BA776C" w:rsidP="004A6173">
            <w:pPr>
              <w:pStyle w:val="a3"/>
              <w:spacing w:before="0" w:beforeAutospacing="0" w:after="0" w:afterAutospacing="0"/>
              <w:jc w:val="both"/>
              <w:rPr>
                <w:rFonts w:cs="Times New Roman"/>
                <w:sz w:val="22"/>
                <w:szCs w:val="22"/>
              </w:rPr>
            </w:pPr>
          </w:p>
          <w:p w:rsidR="00BA776C" w:rsidRDefault="00BA776C" w:rsidP="004A6173">
            <w:pPr>
              <w:pStyle w:val="a3"/>
              <w:spacing w:before="0" w:beforeAutospacing="0" w:after="0" w:afterAutospacing="0"/>
              <w:jc w:val="both"/>
              <w:rPr>
                <w:rFonts w:cs="Times New Roman"/>
                <w:sz w:val="22"/>
                <w:szCs w:val="22"/>
              </w:rPr>
            </w:pP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3.1. Планові перевірки ліцензіатів проводяться не частіше одного разу на рік відповідно до річного плану, який затверджується НКРЕКП до першого грудня року, що передує плановому, та оприлюднюється на офіційному </w:t>
            </w:r>
            <w:proofErr w:type="spellStart"/>
            <w:r w:rsidRPr="004A6173">
              <w:rPr>
                <w:rFonts w:cs="Times New Roman"/>
                <w:sz w:val="22"/>
                <w:szCs w:val="22"/>
              </w:rPr>
              <w:t>вебсайті</w:t>
            </w:r>
            <w:proofErr w:type="spellEnd"/>
            <w:r w:rsidRPr="004A6173">
              <w:rPr>
                <w:rFonts w:cs="Times New Roman"/>
                <w:sz w:val="22"/>
                <w:szCs w:val="22"/>
              </w:rPr>
              <w:t xml:space="preserve"> не пізніше п'яти днів до початку відповідного планового періоду.</w:t>
            </w: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Внесення змін до річного плану здійснення заходів державного контролю допускається в частині виключення ліцензіата, зміни його найменування та/або місцезнаходження, дати та строку проведення перевірки та виправлення технічних помилок.</w:t>
            </w:r>
          </w:p>
          <w:p w:rsidR="006233E0" w:rsidRPr="004A6173" w:rsidRDefault="006233E0" w:rsidP="004A6173">
            <w:pPr>
              <w:pStyle w:val="a3"/>
              <w:spacing w:before="0" w:beforeAutospacing="0" w:after="0" w:afterAutospacing="0"/>
              <w:jc w:val="both"/>
              <w:rPr>
                <w:rFonts w:cs="Times New Roman"/>
                <w:b/>
                <w:sz w:val="22"/>
                <w:szCs w:val="22"/>
                <w:u w:val="single"/>
              </w:rPr>
            </w:pPr>
            <w:r w:rsidRPr="004A6173">
              <w:rPr>
                <w:rFonts w:cs="Times New Roman"/>
                <w:b/>
                <w:sz w:val="22"/>
                <w:szCs w:val="22"/>
                <w:u w:val="single"/>
              </w:rPr>
              <w:t xml:space="preserve">Зміни до річного плану здійснення заходів державного контролю в частині його доповнення вносяться виключно щодо суб’єктів господарювання, які були розташовані та / або здійснювали діяльність в областях України, де наявні території активних бойових дій та окуповані території, після повного </w:t>
            </w:r>
            <w:r w:rsidRPr="004A6173">
              <w:rPr>
                <w:rFonts w:cs="Times New Roman"/>
                <w:b/>
                <w:sz w:val="22"/>
                <w:szCs w:val="22"/>
                <w:u w:val="single"/>
              </w:rPr>
              <w:lastRenderedPageBreak/>
              <w:t xml:space="preserve">припинення активних бойових дій та </w:t>
            </w:r>
            <w:proofErr w:type="spellStart"/>
            <w:r w:rsidRPr="004A6173">
              <w:rPr>
                <w:rFonts w:cs="Times New Roman"/>
                <w:b/>
                <w:sz w:val="22"/>
                <w:szCs w:val="22"/>
                <w:u w:val="single"/>
              </w:rPr>
              <w:t>деокупації</w:t>
            </w:r>
            <w:proofErr w:type="spellEnd"/>
            <w:r w:rsidRPr="004A6173">
              <w:rPr>
                <w:rFonts w:cs="Times New Roman"/>
                <w:b/>
                <w:sz w:val="22"/>
                <w:szCs w:val="22"/>
                <w:u w:val="single"/>
              </w:rPr>
              <w:t xml:space="preserve"> на таких територіях.</w:t>
            </w: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Не допускається зміна дати проведення перевірки на більш ранній період ніж було визначено в річному плані здійснення заходів державного контролю, крім випадків зміни дати проведення перевірки на більш ранній період за заявою ліцензіата, господарська діяльність якого має перевірятися.</w:t>
            </w: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НКРЕКП щорічно до 01 червня готує звіт про виконання річного плану державного контролю за попередній рік, який включається до річного звіту про діяльність Регулятора та підлягає оприлюдненню на офіційному </w:t>
            </w:r>
            <w:proofErr w:type="spellStart"/>
            <w:r w:rsidRPr="004A6173">
              <w:rPr>
                <w:rFonts w:cs="Times New Roman"/>
                <w:sz w:val="22"/>
                <w:szCs w:val="22"/>
              </w:rPr>
              <w:t>вебсайті</w:t>
            </w:r>
            <w:proofErr w:type="spellEnd"/>
            <w:r w:rsidRPr="004A6173">
              <w:rPr>
                <w:rFonts w:cs="Times New Roman"/>
                <w:sz w:val="22"/>
                <w:szCs w:val="22"/>
              </w:rPr>
              <w:t>.</w:t>
            </w:r>
          </w:p>
          <w:p w:rsidR="006233E0" w:rsidRPr="004A6173" w:rsidRDefault="006233E0" w:rsidP="004A6173">
            <w:pPr>
              <w:pStyle w:val="a3"/>
              <w:spacing w:before="0" w:beforeAutospacing="0" w:after="0" w:afterAutospacing="0"/>
              <w:jc w:val="both"/>
              <w:rPr>
                <w:rFonts w:cs="Times New Roman"/>
                <w:sz w:val="22"/>
                <w:szCs w:val="22"/>
              </w:rPr>
            </w:pPr>
          </w:p>
        </w:tc>
        <w:tc>
          <w:tcPr>
            <w:tcW w:w="1154" w:type="pct"/>
            <w:shd w:val="clear" w:color="auto" w:fill="auto"/>
          </w:tcPr>
          <w:p w:rsidR="00BA776C" w:rsidRDefault="00BA776C" w:rsidP="004A6173">
            <w:pPr>
              <w:pStyle w:val="a3"/>
              <w:spacing w:before="0" w:beforeAutospacing="0" w:after="0" w:afterAutospacing="0"/>
              <w:ind w:firstLine="100"/>
              <w:contextualSpacing/>
              <w:jc w:val="both"/>
              <w:rPr>
                <w:rFonts w:cs="Times New Roman"/>
                <w:i/>
                <w:sz w:val="22"/>
                <w:szCs w:val="22"/>
              </w:rPr>
            </w:pPr>
          </w:p>
          <w:p w:rsidR="006233E0" w:rsidRPr="004A6173" w:rsidRDefault="006233E0" w:rsidP="004A6173">
            <w:pPr>
              <w:pStyle w:val="a3"/>
              <w:spacing w:before="0" w:beforeAutospacing="0" w:after="0" w:afterAutospacing="0"/>
              <w:ind w:firstLine="100"/>
              <w:contextualSpacing/>
              <w:jc w:val="both"/>
              <w:rPr>
                <w:rFonts w:cs="Times New Roman"/>
                <w:i/>
                <w:sz w:val="22"/>
                <w:szCs w:val="22"/>
              </w:rPr>
            </w:pPr>
            <w:r w:rsidRPr="004A6173">
              <w:rPr>
                <w:rFonts w:cs="Times New Roman"/>
                <w:i/>
                <w:sz w:val="22"/>
                <w:szCs w:val="22"/>
              </w:rPr>
              <w:t>АТ «ДТЕК ДНІПРОВСЬКІ ЕЛЕКТРОМЕРЕЖІ»</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 xml:space="preserve">3.1. Планові перевірки ліцензіатів проводяться не частіше одного разу на рік відповідно до річного плану, який затверджується НКРЕКП до першого грудня року, що передує плановому, та оприлюднюється на офіційному </w:t>
            </w:r>
            <w:proofErr w:type="spellStart"/>
            <w:r w:rsidRPr="004A6173">
              <w:rPr>
                <w:rFonts w:cs="Times New Roman"/>
                <w:sz w:val="22"/>
                <w:szCs w:val="22"/>
              </w:rPr>
              <w:t>вебсайті</w:t>
            </w:r>
            <w:proofErr w:type="spellEnd"/>
            <w:r w:rsidRPr="004A6173">
              <w:rPr>
                <w:rFonts w:cs="Times New Roman"/>
                <w:sz w:val="22"/>
                <w:szCs w:val="22"/>
              </w:rPr>
              <w:t xml:space="preserve"> не пізніше п'яти днів до початку відповідного планового періоду.</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Внесення змін до річного плану здійснення заходів державного контролю допускається в частині виключення ліцензіата, зміни його найменування та/або місцезнаходження, дати та строку проведення перевірки та виправлення технічних помилок.</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Зміни до річного плану здійснення заходів державного контролю в частині його доповнення вносяться виключно:</w:t>
            </w:r>
          </w:p>
          <w:p w:rsidR="006233E0" w:rsidRPr="004A6173" w:rsidRDefault="006233E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 xml:space="preserve">щодо суб’єктів господарювання, які були розташовані та / або здійснювали діяльність в областях України, де наявні території активних бойових дій та окуповані території, після повного припинення </w:t>
            </w:r>
            <w:r w:rsidRPr="004A6173">
              <w:rPr>
                <w:rFonts w:cs="Times New Roman"/>
                <w:sz w:val="22"/>
                <w:szCs w:val="22"/>
              </w:rPr>
              <w:lastRenderedPageBreak/>
              <w:t xml:space="preserve">активних бойових дій та </w:t>
            </w:r>
            <w:proofErr w:type="spellStart"/>
            <w:r w:rsidRPr="004A6173">
              <w:rPr>
                <w:rFonts w:cs="Times New Roman"/>
                <w:sz w:val="22"/>
                <w:szCs w:val="22"/>
              </w:rPr>
              <w:t>деокупації</w:t>
            </w:r>
            <w:proofErr w:type="spellEnd"/>
            <w:r w:rsidRPr="004A6173">
              <w:rPr>
                <w:rFonts w:cs="Times New Roman"/>
                <w:sz w:val="22"/>
                <w:szCs w:val="22"/>
              </w:rPr>
              <w:t xml:space="preserve"> на таких територіях;</w:t>
            </w:r>
          </w:p>
          <w:p w:rsidR="006233E0" w:rsidRPr="004A6173" w:rsidRDefault="006233E0" w:rsidP="004A6173">
            <w:pPr>
              <w:pStyle w:val="a3"/>
              <w:spacing w:before="0" w:beforeAutospacing="0" w:after="0" w:afterAutospacing="0"/>
              <w:jc w:val="both"/>
              <w:rPr>
                <w:rFonts w:cs="Times New Roman"/>
                <w:b/>
                <w:bCs/>
                <w:sz w:val="22"/>
                <w:szCs w:val="22"/>
              </w:rPr>
            </w:pPr>
            <w:r w:rsidRPr="004A6173">
              <w:rPr>
                <w:rFonts w:cs="Times New Roman"/>
                <w:b/>
                <w:bCs/>
                <w:sz w:val="22"/>
                <w:szCs w:val="22"/>
              </w:rPr>
              <w:t>за окремим обґрунтованим зверненням ліцензіата щодо необхідності проведення заходу державного контролю суб’єкту господарювання, який розташований та / або здійснює діяльність в областях України, де наявні території активних бойових дій, але відсутні окуповані території. З метою забезпечення такої перевірки суб’єкт господарювання забезпечує відповідні місця для роботи  комісії з перевірки з метою дотримання заходів з безпеки під час військового стану на таких територіях;</w:t>
            </w:r>
          </w:p>
          <w:p w:rsidR="00744E16" w:rsidRPr="004A6173" w:rsidRDefault="00744E16"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Не допускається зміна дати проведення перевірки на більш ранній період ніж було визначено в річному плані здійснення заходів державного контролю, крім випадків зміни дати проведення перевірки на більш ранній період за заявою ліцензіата, господарська діяльність якого має перевірятися.</w:t>
            </w:r>
          </w:p>
          <w:p w:rsidR="00744E16"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НКРЕКП щорічно до 01 червня готує звіт про виконання річного плану державного контролю за попередній рік, який включається до річного звіту про діяльність Регулятора та підлягає оприлюдненню на офіційному </w:t>
            </w:r>
            <w:proofErr w:type="spellStart"/>
            <w:r w:rsidRPr="004A6173">
              <w:rPr>
                <w:rFonts w:cs="Times New Roman"/>
                <w:sz w:val="22"/>
                <w:szCs w:val="22"/>
              </w:rPr>
              <w:t>вебсайті</w:t>
            </w:r>
            <w:proofErr w:type="spellEnd"/>
          </w:p>
          <w:p w:rsidR="00EE169C" w:rsidRPr="004A6173" w:rsidRDefault="00EE169C" w:rsidP="004A6173">
            <w:pPr>
              <w:pStyle w:val="a3"/>
              <w:spacing w:before="0" w:beforeAutospacing="0" w:after="0" w:afterAutospacing="0"/>
              <w:jc w:val="both"/>
              <w:rPr>
                <w:rFonts w:cs="Times New Roman"/>
                <w:bCs/>
                <w:i/>
                <w:iCs/>
                <w:sz w:val="22"/>
                <w:szCs w:val="22"/>
                <w:lang w:eastAsia="ru-RU"/>
              </w:rPr>
            </w:pPr>
          </w:p>
        </w:tc>
        <w:tc>
          <w:tcPr>
            <w:tcW w:w="1154" w:type="pct"/>
            <w:shd w:val="clear" w:color="auto" w:fill="auto"/>
          </w:tcPr>
          <w:p w:rsidR="00BA776C" w:rsidRDefault="00BA776C" w:rsidP="004A6173">
            <w:pPr>
              <w:pStyle w:val="a3"/>
              <w:spacing w:before="0" w:beforeAutospacing="0" w:after="0" w:afterAutospacing="0"/>
              <w:jc w:val="both"/>
              <w:rPr>
                <w:rFonts w:cs="Times New Roman"/>
                <w:i/>
                <w:sz w:val="22"/>
                <w:szCs w:val="22"/>
              </w:rPr>
            </w:pPr>
          </w:p>
          <w:p w:rsidR="006233E0" w:rsidRPr="004A6173" w:rsidRDefault="006233E0" w:rsidP="004A6173">
            <w:pPr>
              <w:pStyle w:val="a3"/>
              <w:spacing w:before="0" w:beforeAutospacing="0" w:after="0" w:afterAutospacing="0"/>
              <w:jc w:val="both"/>
              <w:rPr>
                <w:rFonts w:cs="Times New Roman"/>
                <w:i/>
                <w:sz w:val="22"/>
                <w:szCs w:val="22"/>
              </w:rPr>
            </w:pPr>
            <w:r w:rsidRPr="004A6173">
              <w:rPr>
                <w:rFonts w:cs="Times New Roman"/>
                <w:i/>
                <w:sz w:val="22"/>
                <w:szCs w:val="22"/>
              </w:rPr>
              <w:t>АТ «ДТЕК ДНІПРОВСЬКІ ЕЛЕКТРОМЕРЕЖІ»</w:t>
            </w:r>
          </w:p>
          <w:p w:rsidR="006233E0" w:rsidRPr="004A6173" w:rsidRDefault="006233E0" w:rsidP="004A6173">
            <w:pPr>
              <w:pStyle w:val="a3"/>
              <w:spacing w:before="0" w:beforeAutospacing="0" w:after="0" w:afterAutospacing="0"/>
              <w:jc w:val="both"/>
              <w:rPr>
                <w:rFonts w:cs="Times New Roman"/>
                <w:bCs/>
                <w:i/>
                <w:iCs/>
                <w:sz w:val="22"/>
                <w:szCs w:val="22"/>
                <w:lang w:eastAsia="ru-RU"/>
              </w:rPr>
            </w:pPr>
          </w:p>
          <w:p w:rsidR="006233E0" w:rsidRPr="004A6173" w:rsidRDefault="006233E0" w:rsidP="004A6173">
            <w:pPr>
              <w:pStyle w:val="a3"/>
              <w:spacing w:before="0" w:beforeAutospacing="0" w:after="0" w:afterAutospacing="0"/>
              <w:jc w:val="both"/>
              <w:rPr>
                <w:rFonts w:cs="Times New Roman"/>
                <w:bCs/>
                <w:i/>
                <w:iCs/>
                <w:sz w:val="22"/>
                <w:szCs w:val="22"/>
                <w:lang w:eastAsia="ru-RU"/>
              </w:rPr>
            </w:pPr>
            <w:r w:rsidRPr="004A6173">
              <w:rPr>
                <w:rFonts w:cs="Times New Roman"/>
                <w:color w:val="000000" w:themeColor="text1"/>
                <w:sz w:val="22"/>
                <w:szCs w:val="22"/>
              </w:rPr>
              <w:t>В контексті забезпечення безпеки  місцерозташування підрозділу НКРЕКП у Дніпропетровській області та центрального офісу АТ «ДТЕК «Дніпровські електромережі» знаходяться в однакових умовах. У цьому зв’язку пропонуємо передбачити можливість проведення планових перевірок для суб’єктів господарювання, частина території діяльності яких не є анексованими.</w:t>
            </w:r>
          </w:p>
        </w:tc>
        <w:tc>
          <w:tcPr>
            <w:tcW w:w="1117" w:type="pct"/>
            <w:shd w:val="clear" w:color="auto" w:fill="auto"/>
          </w:tcPr>
          <w:p w:rsidR="006233E0" w:rsidRDefault="006233E0" w:rsidP="004A6173">
            <w:pPr>
              <w:pStyle w:val="a8"/>
              <w:spacing w:after="0"/>
              <w:ind w:left="0"/>
              <w:jc w:val="both"/>
              <w:rPr>
                <w:rFonts w:ascii="Times New Roman" w:hAnsi="Times New Roman" w:cs="Times New Roman"/>
                <w:b/>
                <w:lang w:val="uk-UA"/>
              </w:rPr>
            </w:pPr>
          </w:p>
          <w:p w:rsidR="00F71810" w:rsidRDefault="00F71810" w:rsidP="00F71810">
            <w:pPr>
              <w:pStyle w:val="a8"/>
              <w:spacing w:after="0"/>
              <w:ind w:left="0"/>
              <w:jc w:val="both"/>
              <w:rPr>
                <w:rFonts w:ascii="Times New Roman" w:hAnsi="Times New Roman" w:cs="Times New Roman"/>
                <w:b/>
                <w:lang w:val="uk-UA"/>
              </w:rPr>
            </w:pPr>
            <w:r>
              <w:rPr>
                <w:rFonts w:ascii="Times New Roman" w:hAnsi="Times New Roman" w:cs="Times New Roman"/>
                <w:b/>
                <w:lang w:val="uk-UA"/>
              </w:rPr>
              <w:t>Не враховано</w:t>
            </w:r>
          </w:p>
          <w:p w:rsidR="00F71810" w:rsidRDefault="00F71810" w:rsidP="00F71810">
            <w:pPr>
              <w:pStyle w:val="a8"/>
              <w:spacing w:after="0"/>
              <w:ind w:left="0"/>
              <w:jc w:val="both"/>
              <w:rPr>
                <w:rFonts w:ascii="Times New Roman" w:hAnsi="Times New Roman" w:cs="Times New Roman"/>
                <w:b/>
                <w:lang w:val="uk-UA"/>
              </w:rPr>
            </w:pPr>
          </w:p>
          <w:p w:rsidR="00F71810" w:rsidRPr="004A6173" w:rsidRDefault="00F501F8" w:rsidP="00F71810">
            <w:pPr>
              <w:pStyle w:val="a8"/>
              <w:spacing w:after="0"/>
              <w:ind w:left="0"/>
              <w:jc w:val="both"/>
              <w:rPr>
                <w:rFonts w:ascii="Times New Roman" w:hAnsi="Times New Roman" w:cs="Times New Roman"/>
                <w:b/>
                <w:lang w:val="uk-UA"/>
              </w:rPr>
            </w:pPr>
            <w:r>
              <w:rPr>
                <w:rFonts w:ascii="Times New Roman" w:hAnsi="Times New Roman" w:cs="Times New Roman"/>
                <w:lang w:val="uk-UA"/>
              </w:rPr>
              <w:t>Оскільки, у разі настання таких обставин</w:t>
            </w:r>
            <w:r w:rsidR="004A5470">
              <w:rPr>
                <w:rFonts w:ascii="Times New Roman" w:hAnsi="Times New Roman" w:cs="Times New Roman"/>
                <w:lang w:val="uk-UA"/>
              </w:rPr>
              <w:t xml:space="preserve"> та у разі можливості</w:t>
            </w:r>
            <w:r>
              <w:rPr>
                <w:rFonts w:ascii="Times New Roman" w:hAnsi="Times New Roman" w:cs="Times New Roman"/>
                <w:lang w:val="uk-UA"/>
              </w:rPr>
              <w:t>, за обґрунтованим зверненням доцільно буде провести позапланову виїзну перевірку</w:t>
            </w:r>
          </w:p>
        </w:tc>
      </w:tr>
      <w:tr w:rsidR="006233E0" w:rsidRPr="004A6173" w:rsidTr="00B36E31">
        <w:tc>
          <w:tcPr>
            <w:tcW w:w="420" w:type="pct"/>
          </w:tcPr>
          <w:p w:rsidR="006233E0" w:rsidRDefault="006233E0" w:rsidP="004A6173">
            <w:pPr>
              <w:spacing w:after="0"/>
              <w:contextualSpacing/>
              <w:jc w:val="center"/>
              <w:rPr>
                <w:rFonts w:ascii="Times New Roman" w:hAnsi="Times New Roman" w:cs="Times New Roman"/>
              </w:rPr>
            </w:pPr>
          </w:p>
          <w:p w:rsidR="00EE169C" w:rsidRPr="004A6173" w:rsidRDefault="00EE169C" w:rsidP="004A6173">
            <w:pPr>
              <w:spacing w:after="0"/>
              <w:contextualSpacing/>
              <w:jc w:val="center"/>
              <w:rPr>
                <w:rFonts w:ascii="Times New Roman" w:hAnsi="Times New Roman" w:cs="Times New Roman"/>
              </w:rPr>
            </w:pPr>
            <w:r>
              <w:rPr>
                <w:rFonts w:ascii="Times New Roman" w:hAnsi="Times New Roman" w:cs="Times New Roman"/>
              </w:rPr>
              <w:t>5.1</w:t>
            </w:r>
          </w:p>
        </w:tc>
        <w:tc>
          <w:tcPr>
            <w:tcW w:w="1154" w:type="pct"/>
            <w:shd w:val="clear" w:color="auto" w:fill="auto"/>
          </w:tcPr>
          <w:p w:rsidR="00EE169C" w:rsidRDefault="00EE169C" w:rsidP="004A6173">
            <w:pPr>
              <w:pStyle w:val="a3"/>
              <w:spacing w:before="0" w:beforeAutospacing="0" w:after="0" w:afterAutospacing="0"/>
              <w:jc w:val="both"/>
              <w:rPr>
                <w:rFonts w:cs="Times New Roman"/>
                <w:sz w:val="22"/>
                <w:szCs w:val="22"/>
              </w:rPr>
            </w:pPr>
          </w:p>
          <w:p w:rsidR="00EE169C" w:rsidRDefault="00EE169C" w:rsidP="004A6173">
            <w:pPr>
              <w:pStyle w:val="a3"/>
              <w:spacing w:before="0" w:beforeAutospacing="0" w:after="0" w:afterAutospacing="0"/>
              <w:jc w:val="both"/>
              <w:rPr>
                <w:rFonts w:cs="Times New Roman"/>
                <w:sz w:val="22"/>
                <w:szCs w:val="22"/>
              </w:rPr>
            </w:pPr>
          </w:p>
          <w:p w:rsidR="00EE169C" w:rsidRDefault="00EE169C" w:rsidP="004A6173">
            <w:pPr>
              <w:pStyle w:val="a3"/>
              <w:spacing w:before="0" w:beforeAutospacing="0" w:after="0" w:afterAutospacing="0"/>
              <w:jc w:val="both"/>
              <w:rPr>
                <w:rFonts w:cs="Times New Roman"/>
                <w:sz w:val="22"/>
                <w:szCs w:val="22"/>
              </w:rPr>
            </w:pPr>
          </w:p>
          <w:p w:rsidR="00EE169C" w:rsidRDefault="00EE169C" w:rsidP="004A6173">
            <w:pPr>
              <w:pStyle w:val="a3"/>
              <w:spacing w:before="0" w:beforeAutospacing="0" w:after="0" w:afterAutospacing="0"/>
              <w:jc w:val="both"/>
              <w:rPr>
                <w:rFonts w:cs="Times New Roman"/>
                <w:sz w:val="22"/>
                <w:szCs w:val="22"/>
              </w:rPr>
            </w:pP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lastRenderedPageBreak/>
              <w:t xml:space="preserve">5.1. Підставою для проведення позапланової невиїзної перевірки </w:t>
            </w:r>
            <w:r w:rsidRPr="004A6173">
              <w:rPr>
                <w:rFonts w:cs="Times New Roman"/>
                <w:b/>
                <w:strike/>
                <w:sz w:val="22"/>
                <w:szCs w:val="22"/>
              </w:rPr>
              <w:t>ліцензіата, що провадить діяльність у сферах енергетики та комунальних послуг,</w:t>
            </w:r>
            <w:r w:rsidRPr="004A6173">
              <w:rPr>
                <w:rFonts w:cs="Times New Roman"/>
                <w:sz w:val="22"/>
                <w:szCs w:val="22"/>
              </w:rPr>
              <w:t xml:space="preserve"> є:</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1) неподання, несвоєчасне подання, подання недостовірної інформації або необхідність перевірки достовірності такої інформації;</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2) неподання, несвоєчасне подання, подання недостовірних даних у звітності або необхідність перевірки достовірності таких даних в установлений НКРЕКП строк або в інших документах;</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3) неподання копій документів, засвідчених в установленому законодавством порядку, пояснень та іншої інформації на законну вимогу НКРЕКП;</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4) обґрунтоване звернення фізичної або юридичної особи про порушення ліцензіатом</w:t>
            </w:r>
            <w:r w:rsidRPr="004A6173">
              <w:rPr>
                <w:rFonts w:cs="Times New Roman"/>
                <w:b/>
                <w:sz w:val="22"/>
                <w:szCs w:val="22"/>
                <w:u w:val="single"/>
              </w:rPr>
              <w:t>, або суб’єктом, що належить до особливої групи споживачів,</w:t>
            </w:r>
            <w:r w:rsidRPr="004A6173">
              <w:rPr>
                <w:rFonts w:cs="Times New Roman"/>
                <w:sz w:val="22"/>
                <w:szCs w:val="22"/>
              </w:rPr>
              <w:t xml:space="preserve"> її законних прав та надання документів (копій документів), що підтверджують таке порушення;</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5) обґрунтоване звернення суб'єкта господарювання або споживача про порушення суб'єктом природної монополії</w:t>
            </w:r>
            <w:r w:rsidRPr="004A6173">
              <w:rPr>
                <w:rFonts w:cs="Times New Roman"/>
                <w:b/>
                <w:sz w:val="22"/>
                <w:szCs w:val="22"/>
                <w:u w:val="single"/>
              </w:rPr>
              <w:t>, оператором малої системи розподілу</w:t>
            </w:r>
            <w:r w:rsidRPr="004A6173">
              <w:rPr>
                <w:rFonts w:cs="Times New Roman"/>
                <w:sz w:val="22"/>
                <w:szCs w:val="22"/>
              </w:rPr>
              <w:t xml:space="preserve"> законодавства з питань доступу до електричних/теплових/газових мереж, мереж централізованого водопостачання та/або водовідведення, порушення ліцензійних умов та надання документів (копій документів), що </w:t>
            </w:r>
            <w:r w:rsidRPr="004A6173">
              <w:rPr>
                <w:rFonts w:cs="Times New Roman"/>
                <w:sz w:val="22"/>
                <w:szCs w:val="22"/>
              </w:rPr>
              <w:lastRenderedPageBreak/>
              <w:t>підтверджують таке порушення ліцензійних умов;</w:t>
            </w:r>
          </w:p>
          <w:p w:rsidR="00744E16" w:rsidRPr="004A6173" w:rsidRDefault="00744E16" w:rsidP="004A6173">
            <w:pPr>
              <w:pStyle w:val="a3"/>
              <w:spacing w:before="0" w:beforeAutospacing="0" w:after="0" w:afterAutospacing="0"/>
              <w:jc w:val="both"/>
              <w:rPr>
                <w:rFonts w:cs="Times New Roman"/>
                <w:sz w:val="22"/>
                <w:szCs w:val="22"/>
              </w:rPr>
            </w:pPr>
            <w:r w:rsidRPr="004A6173">
              <w:rPr>
                <w:rFonts w:cs="Times New Roman"/>
                <w:sz w:val="22"/>
                <w:szCs w:val="22"/>
              </w:rPr>
              <w:t>6) виявлення під час аналізу звітності або моніторингу нецільового використання коштів, передбачених встановленою структурою тарифів та/або схваленою інвестиційною програмою.</w:t>
            </w:r>
          </w:p>
          <w:p w:rsidR="006233E0" w:rsidRPr="004A6173" w:rsidRDefault="006233E0" w:rsidP="004A6173">
            <w:pPr>
              <w:pStyle w:val="a3"/>
              <w:spacing w:before="0" w:beforeAutospacing="0" w:after="0" w:afterAutospacing="0"/>
              <w:jc w:val="both"/>
              <w:rPr>
                <w:rFonts w:cs="Times New Roman"/>
                <w:sz w:val="22"/>
                <w:szCs w:val="22"/>
              </w:rPr>
            </w:pPr>
          </w:p>
        </w:tc>
        <w:tc>
          <w:tcPr>
            <w:tcW w:w="1154" w:type="pct"/>
            <w:shd w:val="clear" w:color="auto" w:fill="auto"/>
          </w:tcPr>
          <w:p w:rsidR="00EE169C" w:rsidRDefault="00EE169C" w:rsidP="004A6173">
            <w:pPr>
              <w:pStyle w:val="a3"/>
              <w:spacing w:before="0" w:beforeAutospacing="0" w:after="0" w:afterAutospacing="0"/>
              <w:jc w:val="both"/>
              <w:rPr>
                <w:rFonts w:cs="Times New Roman"/>
                <w:i/>
                <w:sz w:val="22"/>
                <w:szCs w:val="22"/>
              </w:rPr>
            </w:pPr>
          </w:p>
          <w:p w:rsidR="006233E0" w:rsidRPr="004A6173" w:rsidRDefault="00744E16" w:rsidP="004A6173">
            <w:pPr>
              <w:pStyle w:val="a3"/>
              <w:spacing w:before="0" w:beforeAutospacing="0" w:after="0" w:afterAutospacing="0"/>
              <w:jc w:val="both"/>
              <w:rPr>
                <w:rFonts w:cs="Times New Roman"/>
                <w:i/>
                <w:sz w:val="22"/>
                <w:szCs w:val="22"/>
              </w:rPr>
            </w:pPr>
            <w:r w:rsidRPr="004A6173">
              <w:rPr>
                <w:rFonts w:cs="Times New Roman"/>
                <w:i/>
                <w:sz w:val="22"/>
                <w:szCs w:val="22"/>
              </w:rPr>
              <w:t>АТ «ДТЕК ДНІПРОВСЬКІ ЕЛЕКТРОМЕРЕЖІ»</w:t>
            </w:r>
          </w:p>
          <w:p w:rsidR="00744E16" w:rsidRPr="004A6173" w:rsidRDefault="00744E16"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lastRenderedPageBreak/>
              <w:t xml:space="preserve">5.1. Підставою для проведення позапланової невиїзної перевірки </w:t>
            </w:r>
            <w:r w:rsidRPr="004A6173">
              <w:rPr>
                <w:rFonts w:cs="Times New Roman"/>
                <w:b/>
                <w:strike/>
                <w:sz w:val="22"/>
                <w:szCs w:val="22"/>
              </w:rPr>
              <w:t>ліцензіата, що провадить діяльність у сферах енергетики та комунальних послуг,</w:t>
            </w:r>
            <w:r w:rsidRPr="004A6173">
              <w:rPr>
                <w:rFonts w:cs="Times New Roman"/>
                <w:sz w:val="22"/>
                <w:szCs w:val="22"/>
              </w:rPr>
              <w:t xml:space="preserve"> є:</w:t>
            </w:r>
          </w:p>
          <w:p w:rsidR="00901B90" w:rsidRPr="004A6173" w:rsidRDefault="00901B9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w:t>
            </w:r>
          </w:p>
          <w:p w:rsidR="00901B90" w:rsidRPr="004A6173" w:rsidRDefault="00901B90" w:rsidP="004A6173">
            <w:pPr>
              <w:pStyle w:val="a3"/>
              <w:spacing w:before="0" w:beforeAutospacing="0" w:after="0" w:afterAutospacing="0"/>
              <w:ind w:firstLine="100"/>
              <w:contextualSpacing/>
              <w:jc w:val="both"/>
              <w:rPr>
                <w:rFonts w:cs="Times New Roman"/>
                <w:b/>
                <w:bCs/>
                <w:sz w:val="22"/>
                <w:szCs w:val="22"/>
              </w:rPr>
            </w:pPr>
            <w:r w:rsidRPr="004A6173">
              <w:rPr>
                <w:rFonts w:cs="Times New Roman"/>
                <w:sz w:val="22"/>
                <w:szCs w:val="22"/>
              </w:rPr>
              <w:t>5) обґрунтоване звернення суб'єкта господарювання або споживача про порушення суб'єктом природної монополії</w:t>
            </w:r>
            <w:r w:rsidRPr="004A6173">
              <w:rPr>
                <w:rFonts w:cs="Times New Roman"/>
                <w:b/>
                <w:sz w:val="22"/>
                <w:szCs w:val="22"/>
                <w:u w:val="single"/>
              </w:rPr>
              <w:t>, оператором малої системи розподілу</w:t>
            </w:r>
            <w:r w:rsidRPr="004A6173">
              <w:rPr>
                <w:rFonts w:cs="Times New Roman"/>
                <w:sz w:val="22"/>
                <w:szCs w:val="22"/>
              </w:rPr>
              <w:t xml:space="preserve"> законодавства з питань доступу до електричних/теплових/газових мереж, мереж централізованого водопостачання та/або водовідведення, порушення ліцензійних умов та надання документів (копій документів), що підтверджують таке порушення ліцензійних умов, </w:t>
            </w:r>
          </w:p>
          <w:p w:rsidR="00744E16" w:rsidRPr="004A6173" w:rsidRDefault="00901B90" w:rsidP="004A6173">
            <w:pPr>
              <w:pStyle w:val="a3"/>
              <w:spacing w:before="0" w:beforeAutospacing="0" w:after="0" w:afterAutospacing="0"/>
              <w:jc w:val="both"/>
              <w:rPr>
                <w:rFonts w:cs="Times New Roman"/>
                <w:bCs/>
                <w:i/>
                <w:iCs/>
                <w:sz w:val="22"/>
                <w:szCs w:val="22"/>
                <w:lang w:eastAsia="ru-RU"/>
              </w:rPr>
            </w:pPr>
            <w:r w:rsidRPr="004A6173">
              <w:rPr>
                <w:rFonts w:cs="Times New Roman"/>
                <w:b/>
                <w:bCs/>
                <w:sz w:val="22"/>
                <w:szCs w:val="22"/>
              </w:rPr>
              <w:t>6) обґрунтовані звернення ліцензіата щодо необхідності проведення позапланової невиїзної перевірки його діяльності, у разі якщо плановий захід державного контролю (виїзна перевірка) неможливий</w:t>
            </w:r>
            <w:r w:rsidRPr="004A6173">
              <w:rPr>
                <w:rFonts w:cs="Times New Roman"/>
                <w:sz w:val="22"/>
                <w:szCs w:val="22"/>
              </w:rPr>
              <w:t>;</w:t>
            </w:r>
          </w:p>
        </w:tc>
        <w:tc>
          <w:tcPr>
            <w:tcW w:w="1154" w:type="pct"/>
            <w:shd w:val="clear" w:color="auto" w:fill="auto"/>
          </w:tcPr>
          <w:p w:rsidR="00EE169C" w:rsidRDefault="00EE169C" w:rsidP="004A6173">
            <w:pPr>
              <w:pStyle w:val="a3"/>
              <w:spacing w:before="0" w:beforeAutospacing="0" w:after="0" w:afterAutospacing="0"/>
              <w:jc w:val="both"/>
              <w:rPr>
                <w:rFonts w:cs="Times New Roman"/>
                <w:i/>
                <w:sz w:val="22"/>
                <w:szCs w:val="22"/>
              </w:rPr>
            </w:pPr>
          </w:p>
          <w:p w:rsidR="006233E0" w:rsidRPr="004A6173" w:rsidRDefault="00744E16" w:rsidP="004A6173">
            <w:pPr>
              <w:pStyle w:val="a3"/>
              <w:spacing w:before="0" w:beforeAutospacing="0" w:after="0" w:afterAutospacing="0"/>
              <w:jc w:val="both"/>
              <w:rPr>
                <w:rFonts w:cs="Times New Roman"/>
                <w:i/>
                <w:sz w:val="22"/>
                <w:szCs w:val="22"/>
              </w:rPr>
            </w:pPr>
            <w:r w:rsidRPr="004A6173">
              <w:rPr>
                <w:rFonts w:cs="Times New Roman"/>
                <w:i/>
                <w:sz w:val="22"/>
                <w:szCs w:val="22"/>
              </w:rPr>
              <w:t>АТ «ДТЕК ДНІПРОВСЬКІ ЕЛЕКТРОМЕРЕЖІ»</w:t>
            </w:r>
          </w:p>
          <w:p w:rsidR="00744E16" w:rsidRPr="004A6173" w:rsidRDefault="00744E16" w:rsidP="004A6173">
            <w:pPr>
              <w:pStyle w:val="a3"/>
              <w:spacing w:before="0" w:beforeAutospacing="0" w:after="0" w:afterAutospacing="0"/>
              <w:jc w:val="both"/>
              <w:rPr>
                <w:rFonts w:cs="Times New Roman"/>
                <w:bCs/>
                <w:i/>
                <w:iCs/>
                <w:sz w:val="22"/>
                <w:szCs w:val="22"/>
                <w:lang w:eastAsia="ru-RU"/>
              </w:rPr>
            </w:pPr>
          </w:p>
          <w:p w:rsidR="00744E16" w:rsidRPr="004A6173" w:rsidRDefault="00901B90" w:rsidP="004A6173">
            <w:pPr>
              <w:pStyle w:val="a3"/>
              <w:spacing w:before="0" w:beforeAutospacing="0" w:after="0" w:afterAutospacing="0"/>
              <w:jc w:val="both"/>
              <w:rPr>
                <w:rFonts w:cs="Times New Roman"/>
                <w:bCs/>
                <w:i/>
                <w:iCs/>
                <w:sz w:val="22"/>
                <w:szCs w:val="22"/>
                <w:lang w:eastAsia="ru-RU"/>
              </w:rPr>
            </w:pPr>
            <w:r w:rsidRPr="004A6173">
              <w:rPr>
                <w:rFonts w:cs="Times New Roman"/>
                <w:color w:val="000000" w:themeColor="text1"/>
                <w:sz w:val="22"/>
                <w:szCs w:val="22"/>
              </w:rPr>
              <w:lastRenderedPageBreak/>
              <w:t>Пропонуємо передбачити можливість проведення позапланових невиїзних перевірок за зверненням ліцензіату, якщо планова виїзна перевірка неможлива.</w:t>
            </w:r>
          </w:p>
        </w:tc>
        <w:tc>
          <w:tcPr>
            <w:tcW w:w="1117" w:type="pct"/>
            <w:shd w:val="clear" w:color="auto" w:fill="auto"/>
          </w:tcPr>
          <w:p w:rsidR="006233E0" w:rsidRDefault="006233E0" w:rsidP="004A6173">
            <w:pPr>
              <w:pStyle w:val="a8"/>
              <w:spacing w:after="0"/>
              <w:ind w:left="0"/>
              <w:jc w:val="both"/>
              <w:rPr>
                <w:rFonts w:ascii="Times New Roman" w:hAnsi="Times New Roman" w:cs="Times New Roman"/>
                <w:b/>
                <w:lang w:val="uk-UA"/>
              </w:rPr>
            </w:pPr>
          </w:p>
          <w:p w:rsidR="00EE169C" w:rsidRDefault="00EE169C" w:rsidP="00EE169C">
            <w:pPr>
              <w:pStyle w:val="a8"/>
              <w:spacing w:after="0"/>
              <w:ind w:left="0"/>
              <w:jc w:val="both"/>
              <w:rPr>
                <w:rFonts w:ascii="Times New Roman" w:hAnsi="Times New Roman" w:cs="Times New Roman"/>
                <w:b/>
                <w:lang w:val="uk-UA"/>
              </w:rPr>
            </w:pPr>
            <w:r>
              <w:rPr>
                <w:rFonts w:ascii="Times New Roman" w:hAnsi="Times New Roman" w:cs="Times New Roman"/>
                <w:b/>
                <w:lang w:val="uk-UA"/>
              </w:rPr>
              <w:t>Не враховано</w:t>
            </w:r>
          </w:p>
          <w:p w:rsidR="00EE169C" w:rsidRDefault="00EE169C" w:rsidP="00EE169C">
            <w:pPr>
              <w:pStyle w:val="a8"/>
              <w:spacing w:after="0"/>
              <w:ind w:left="0"/>
              <w:jc w:val="both"/>
              <w:rPr>
                <w:rFonts w:ascii="Times New Roman" w:hAnsi="Times New Roman" w:cs="Times New Roman"/>
                <w:b/>
                <w:lang w:val="uk-UA"/>
              </w:rPr>
            </w:pPr>
          </w:p>
          <w:p w:rsidR="00EE169C" w:rsidRPr="004A6173" w:rsidRDefault="00EE169C" w:rsidP="00EE169C">
            <w:pPr>
              <w:pStyle w:val="a8"/>
              <w:spacing w:after="0"/>
              <w:ind w:left="0"/>
              <w:jc w:val="both"/>
              <w:rPr>
                <w:rFonts w:ascii="Times New Roman" w:hAnsi="Times New Roman" w:cs="Times New Roman"/>
                <w:b/>
                <w:lang w:val="uk-UA"/>
              </w:rPr>
            </w:pPr>
            <w:r>
              <w:rPr>
                <w:rFonts w:ascii="Times New Roman" w:hAnsi="Times New Roman" w:cs="Times New Roman"/>
                <w:lang w:val="uk-UA"/>
              </w:rPr>
              <w:t>Оскільки така підстава відсутня в Законі України «</w:t>
            </w:r>
            <w:r w:rsidRPr="00EE169C">
              <w:rPr>
                <w:rFonts w:ascii="Times New Roman" w:hAnsi="Times New Roman" w:cs="Times New Roman"/>
                <w:lang w:val="uk-UA"/>
              </w:rPr>
              <w:t xml:space="preserve">Про Національну </w:t>
            </w:r>
            <w:r w:rsidRPr="00EE169C">
              <w:rPr>
                <w:rFonts w:ascii="Times New Roman" w:hAnsi="Times New Roman" w:cs="Times New Roman"/>
                <w:lang w:val="uk-UA"/>
              </w:rPr>
              <w:lastRenderedPageBreak/>
              <w:t>комісію, що здійснює державне регулювання у сферах енергетики та комунальних послуг</w:t>
            </w:r>
            <w:r>
              <w:rPr>
                <w:rFonts w:ascii="Times New Roman" w:hAnsi="Times New Roman" w:cs="Times New Roman"/>
                <w:lang w:val="uk-UA"/>
              </w:rPr>
              <w:t>»</w:t>
            </w:r>
          </w:p>
        </w:tc>
      </w:tr>
      <w:tr w:rsidR="009D4D7D" w:rsidRPr="004A6173" w:rsidTr="00B36E31">
        <w:tc>
          <w:tcPr>
            <w:tcW w:w="420" w:type="pct"/>
          </w:tcPr>
          <w:p w:rsidR="009D4D7D" w:rsidRPr="004A6173" w:rsidRDefault="009D4D7D" w:rsidP="004A6173">
            <w:pPr>
              <w:spacing w:after="0"/>
              <w:contextualSpacing/>
              <w:jc w:val="center"/>
              <w:rPr>
                <w:rFonts w:ascii="Times New Roman" w:hAnsi="Times New Roman" w:cs="Times New Roman"/>
              </w:rPr>
            </w:pPr>
            <w:r w:rsidRPr="004A6173">
              <w:rPr>
                <w:rFonts w:ascii="Times New Roman" w:hAnsi="Times New Roman" w:cs="Times New Roman"/>
              </w:rPr>
              <w:lastRenderedPageBreak/>
              <w:t>7.1</w:t>
            </w:r>
          </w:p>
        </w:tc>
        <w:tc>
          <w:tcPr>
            <w:tcW w:w="1154" w:type="pct"/>
            <w:shd w:val="clear" w:color="auto" w:fill="auto"/>
          </w:tcPr>
          <w:p w:rsidR="006233E0" w:rsidRPr="004A6173" w:rsidRDefault="006233E0" w:rsidP="004A6173">
            <w:pPr>
              <w:pStyle w:val="a3"/>
              <w:spacing w:before="0" w:beforeAutospacing="0" w:after="0" w:afterAutospacing="0"/>
              <w:rPr>
                <w:rFonts w:cs="Times New Roman"/>
                <w:sz w:val="22"/>
                <w:szCs w:val="22"/>
              </w:rPr>
            </w:pP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 xml:space="preserve">7.1. За результатами проведених планових та позапланових перевірок складається акт перевірки за формою, наведеною в додатку </w:t>
            </w:r>
            <w:r w:rsidRPr="004A6173">
              <w:rPr>
                <w:rFonts w:cs="Times New Roman"/>
                <w:b/>
                <w:sz w:val="22"/>
                <w:szCs w:val="22"/>
                <w:u w:val="single"/>
              </w:rPr>
              <w:t>21</w:t>
            </w:r>
            <w:r w:rsidRPr="004A6173">
              <w:rPr>
                <w:rFonts w:cs="Times New Roman"/>
                <w:sz w:val="22"/>
                <w:szCs w:val="22"/>
              </w:rPr>
              <w:t xml:space="preserve"> до цього Порядку, у двох примірниках.</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 xml:space="preserve">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w:t>
            </w:r>
            <w:r w:rsidRPr="004A6173">
              <w:rPr>
                <w:rFonts w:cs="Times New Roman"/>
                <w:b/>
                <w:sz w:val="22"/>
                <w:szCs w:val="22"/>
                <w:u w:val="single"/>
              </w:rPr>
              <w:t>20</w:t>
            </w:r>
            <w:r w:rsidRPr="004A6173">
              <w:rPr>
                <w:rFonts w:cs="Times New Roman"/>
                <w:sz w:val="22"/>
                <w:szCs w:val="22"/>
              </w:rPr>
              <w:t>), а в разі виявлення порушення - його детальний опис з посиланням на відповідну норму законодавства та/або ліцензійних умов.</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В акті позапланової перевірки відображається інформація за результатами перевірки питань, необхідність перевірки яких стала 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rsidR="009D4D7D" w:rsidRPr="004A6173" w:rsidRDefault="009D4D7D" w:rsidP="004A6173">
            <w:pPr>
              <w:pStyle w:val="a3"/>
              <w:spacing w:before="0" w:beforeAutospacing="0" w:after="0" w:afterAutospacing="0"/>
              <w:rPr>
                <w:rFonts w:cs="Times New Roman"/>
                <w:b/>
                <w:sz w:val="22"/>
                <w:szCs w:val="22"/>
                <w:u w:val="single"/>
              </w:rPr>
            </w:pPr>
            <w:r w:rsidRPr="004A6173">
              <w:rPr>
                <w:rFonts w:cs="Times New Roman"/>
                <w:b/>
                <w:sz w:val="22"/>
                <w:szCs w:val="22"/>
                <w:u w:val="single"/>
              </w:rPr>
              <w:t xml:space="preserve">Отримані від уповноважених осіб суб’єкта господарювання, щодо якого здійснюється перевірка, в ході перевірки належним чином завірені копії документів та/або документи в електронній формі на </w:t>
            </w:r>
            <w:r w:rsidRPr="004A6173">
              <w:rPr>
                <w:rFonts w:cs="Times New Roman"/>
                <w:b/>
                <w:sz w:val="22"/>
                <w:szCs w:val="22"/>
                <w:u w:val="single"/>
              </w:rPr>
              <w:lastRenderedPageBreak/>
              <w:t xml:space="preserve">електронному носії з питань, що підтверджують та/або спростовують вчинення ним порушень вимог законодавства та/або ліцензійних умов, долучаються до </w:t>
            </w:r>
            <w:proofErr w:type="spellStart"/>
            <w:r w:rsidRPr="004A6173">
              <w:rPr>
                <w:rFonts w:cs="Times New Roman"/>
                <w:b/>
                <w:sz w:val="22"/>
                <w:szCs w:val="22"/>
                <w:u w:val="single"/>
              </w:rPr>
              <w:t>акта</w:t>
            </w:r>
            <w:proofErr w:type="spellEnd"/>
            <w:r w:rsidRPr="004A6173">
              <w:rPr>
                <w:rFonts w:cs="Times New Roman"/>
                <w:b/>
                <w:sz w:val="22"/>
                <w:szCs w:val="22"/>
                <w:u w:val="single"/>
              </w:rPr>
              <w:t xml:space="preserve"> перевірки у вигляді додатків. У разі надання документів в електронній формі, до </w:t>
            </w:r>
            <w:proofErr w:type="spellStart"/>
            <w:r w:rsidRPr="004A6173">
              <w:rPr>
                <w:rFonts w:cs="Times New Roman"/>
                <w:b/>
                <w:sz w:val="22"/>
                <w:szCs w:val="22"/>
                <w:u w:val="single"/>
              </w:rPr>
              <w:t>акта</w:t>
            </w:r>
            <w:proofErr w:type="spellEnd"/>
            <w:r w:rsidRPr="004A6173">
              <w:rPr>
                <w:rFonts w:cs="Times New Roman"/>
                <w:b/>
                <w:sz w:val="22"/>
                <w:szCs w:val="22"/>
                <w:u w:val="single"/>
              </w:rPr>
              <w:t xml:space="preserve"> перевірки у вигляді додатків долучається відповідний електронний носій.</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 xml:space="preserve">Ліцензіат, діяльність якого перевірялася, має право надати до НКРЕКП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4A6173">
              <w:rPr>
                <w:rFonts w:cs="Times New Roman"/>
                <w:sz w:val="22"/>
                <w:szCs w:val="22"/>
              </w:rPr>
              <w:t>акта</w:t>
            </w:r>
            <w:proofErr w:type="spellEnd"/>
            <w:r w:rsidRPr="004A6173">
              <w:rPr>
                <w:rFonts w:cs="Times New Roman"/>
                <w:sz w:val="22"/>
                <w:szCs w:val="22"/>
              </w:rPr>
              <w:t xml:space="preserve"> про результати перевірки.</w:t>
            </w:r>
          </w:p>
          <w:p w:rsidR="009D4D7D" w:rsidRPr="004A6173" w:rsidRDefault="009D4D7D" w:rsidP="004A6173">
            <w:pPr>
              <w:pStyle w:val="a3"/>
              <w:spacing w:before="0" w:beforeAutospacing="0" w:after="0" w:afterAutospacing="0"/>
              <w:rPr>
                <w:rFonts w:cs="Times New Roman"/>
                <w:b/>
                <w:sz w:val="22"/>
                <w:szCs w:val="22"/>
              </w:rPr>
            </w:pPr>
            <w:r w:rsidRPr="004A6173">
              <w:rPr>
                <w:rFonts w:cs="Times New Roman"/>
                <w:b/>
                <w:sz w:val="22"/>
                <w:szCs w:val="22"/>
              </w:rPr>
              <w:t xml:space="preserve">Письмові пояснення та обґрунтування ліцензіата є невід'ємною частиною </w:t>
            </w:r>
            <w:proofErr w:type="spellStart"/>
            <w:r w:rsidRPr="004A6173">
              <w:rPr>
                <w:rFonts w:cs="Times New Roman"/>
                <w:b/>
                <w:sz w:val="22"/>
                <w:szCs w:val="22"/>
              </w:rPr>
              <w:t>акта</w:t>
            </w:r>
            <w:proofErr w:type="spellEnd"/>
            <w:r w:rsidRPr="004A6173">
              <w:rPr>
                <w:rFonts w:cs="Times New Roman"/>
                <w:b/>
                <w:sz w:val="22"/>
                <w:szCs w:val="22"/>
              </w:rPr>
              <w:t xml:space="preserve"> перевірки.</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 xml:space="preserve">У випадку якщо отримані від уповноважених осіб ліцензіата в ході перевірки або разом з поясненнями до </w:t>
            </w:r>
            <w:proofErr w:type="spellStart"/>
            <w:r w:rsidRPr="004A6173">
              <w:rPr>
                <w:rFonts w:cs="Times New Roman"/>
                <w:sz w:val="22"/>
                <w:szCs w:val="22"/>
              </w:rPr>
              <w:t>акта</w:t>
            </w:r>
            <w:proofErr w:type="spellEnd"/>
            <w:r w:rsidRPr="004A6173">
              <w:rPr>
                <w:rFonts w:cs="Times New Roman"/>
                <w:sz w:val="22"/>
                <w:szCs w:val="22"/>
              </w:rPr>
              <w:t xml:space="preserve"> перевірки копії документів, письмові пояснення та обґрунтування містять інформацію та/або дані конфіденційного характеру, які становлять комерційну таємницю, ліцензіат не пізніше останнього дня перевірки надає комісії з перевірки чіткий перелік такої інформації з урахуванням положень законів України "Про інформацію", "Про доступ до публічної інформації" та інших актів законодавства, який долучається до </w:t>
            </w:r>
            <w:proofErr w:type="spellStart"/>
            <w:r w:rsidRPr="004A6173">
              <w:rPr>
                <w:rFonts w:cs="Times New Roman"/>
                <w:sz w:val="22"/>
                <w:szCs w:val="22"/>
              </w:rPr>
              <w:t>акта</w:t>
            </w:r>
            <w:proofErr w:type="spellEnd"/>
            <w:r w:rsidRPr="004A6173">
              <w:rPr>
                <w:rFonts w:cs="Times New Roman"/>
                <w:sz w:val="22"/>
                <w:szCs w:val="22"/>
              </w:rPr>
              <w:t xml:space="preserve"> перевірки.</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lastRenderedPageBreak/>
              <w:t>Обмеженню доступу підлягає інформація, визначена ліцензіатом як конфіденційна, а також конфіденційна інформація зазначена в копіях документів, письмові пояснення, обґрунтування та акти перевірки, а не копії документів, письмові пояснення, обґрунтування чи акт перевірки у цілому.</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 xml:space="preserve">ліцензіат не надав під час перевірки або разом з поясненнями до </w:t>
            </w:r>
            <w:proofErr w:type="spellStart"/>
            <w:r w:rsidRPr="004A6173">
              <w:rPr>
                <w:rFonts w:cs="Times New Roman"/>
                <w:sz w:val="22"/>
                <w:szCs w:val="22"/>
              </w:rPr>
              <w:t>акта</w:t>
            </w:r>
            <w:proofErr w:type="spellEnd"/>
            <w:r w:rsidRPr="004A6173">
              <w:rPr>
                <w:rFonts w:cs="Times New Roman"/>
                <w:sz w:val="22"/>
                <w:szCs w:val="22"/>
              </w:rPr>
              <w:t xml:space="preserve"> перевірки перелік інформації та/або даних, що мають конфіденційний характер та/або становлять комерційну таємницю;</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відповідно до внутрішніх положень ліцензіата наданий перелік інформації та/або даних не віднесений до інформації, що має конфіденційний характер та/або становлять комерційну таємницю;</w:t>
            </w:r>
          </w:p>
          <w:p w:rsidR="009D4D7D" w:rsidRPr="004A6173" w:rsidRDefault="009D4D7D" w:rsidP="004A6173">
            <w:pPr>
              <w:pStyle w:val="a3"/>
              <w:spacing w:before="0" w:beforeAutospacing="0" w:after="0" w:afterAutospacing="0"/>
              <w:rPr>
                <w:rFonts w:cs="Times New Roman"/>
                <w:sz w:val="22"/>
                <w:szCs w:val="22"/>
              </w:rPr>
            </w:pPr>
            <w:r w:rsidRPr="004A6173">
              <w:rPr>
                <w:rFonts w:cs="Times New Roman"/>
                <w:sz w:val="22"/>
                <w:szCs w:val="22"/>
              </w:rPr>
              <w:t>віднесення інформації та/або даних до конфіденційної суперечить чинному законодавству.</w:t>
            </w:r>
          </w:p>
          <w:p w:rsidR="009D4D7D" w:rsidRPr="004A6173" w:rsidRDefault="009D4D7D"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 наведеною в додатку </w:t>
            </w:r>
            <w:r w:rsidRPr="004A6173">
              <w:rPr>
                <w:rFonts w:cs="Times New Roman"/>
                <w:b/>
                <w:sz w:val="22"/>
                <w:szCs w:val="22"/>
                <w:u w:val="single"/>
              </w:rPr>
              <w:t>22</w:t>
            </w:r>
            <w:r w:rsidRPr="004A6173">
              <w:rPr>
                <w:rFonts w:cs="Times New Roman"/>
                <w:sz w:val="22"/>
                <w:szCs w:val="22"/>
              </w:rPr>
              <w:t xml:space="preserve"> до цього Порядку, сторінки якої мають бути пронумеровані.</w:t>
            </w:r>
          </w:p>
        </w:tc>
        <w:tc>
          <w:tcPr>
            <w:tcW w:w="1154" w:type="pct"/>
            <w:shd w:val="clear" w:color="auto" w:fill="auto"/>
          </w:tcPr>
          <w:p w:rsidR="00347899" w:rsidRDefault="00347899" w:rsidP="004A6173">
            <w:pPr>
              <w:pStyle w:val="a3"/>
              <w:spacing w:before="0" w:beforeAutospacing="0" w:after="0" w:afterAutospacing="0"/>
              <w:jc w:val="both"/>
              <w:rPr>
                <w:rFonts w:cs="Times New Roman"/>
                <w:bCs/>
                <w:i/>
                <w:iCs/>
                <w:sz w:val="22"/>
                <w:szCs w:val="22"/>
                <w:lang w:eastAsia="ru-RU"/>
              </w:rPr>
            </w:pPr>
          </w:p>
          <w:p w:rsidR="009D4D7D" w:rsidRPr="004A6173" w:rsidRDefault="006233E0"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ТОВ «Д.ТРЕЙДІНГ»</w:t>
            </w:r>
          </w:p>
          <w:p w:rsidR="006233E0" w:rsidRPr="004A6173" w:rsidRDefault="006233E0" w:rsidP="004A6173">
            <w:pPr>
              <w:pStyle w:val="a3"/>
              <w:spacing w:before="0" w:beforeAutospacing="0" w:after="0" w:afterAutospacing="0"/>
              <w:jc w:val="both"/>
              <w:rPr>
                <w:rFonts w:cs="Times New Roman"/>
                <w:bCs/>
                <w:i/>
                <w:iCs/>
                <w:sz w:val="22"/>
                <w:szCs w:val="22"/>
                <w:lang w:eastAsia="ru-RU"/>
              </w:rPr>
            </w:pPr>
          </w:p>
          <w:p w:rsidR="006233E0" w:rsidRPr="004A6173" w:rsidRDefault="00901B90" w:rsidP="004A6173">
            <w:pPr>
              <w:pStyle w:val="a3"/>
              <w:spacing w:before="0" w:beforeAutospacing="0" w:after="0" w:afterAutospacing="0"/>
              <w:jc w:val="both"/>
              <w:rPr>
                <w:rFonts w:cs="Times New Roman"/>
                <w:sz w:val="22"/>
                <w:szCs w:val="22"/>
              </w:rPr>
            </w:pPr>
            <w:r w:rsidRPr="004A6173">
              <w:rPr>
                <w:rFonts w:cs="Times New Roman"/>
                <w:sz w:val="22"/>
                <w:szCs w:val="22"/>
              </w:rPr>
              <w:t>…</w:t>
            </w:r>
          </w:p>
          <w:p w:rsidR="00901B90" w:rsidRPr="004A6173" w:rsidRDefault="00901B90" w:rsidP="004A6173">
            <w:pPr>
              <w:pStyle w:val="a3"/>
              <w:spacing w:before="0" w:beforeAutospacing="0" w:after="0" w:afterAutospacing="0"/>
              <w:jc w:val="both"/>
              <w:rPr>
                <w:rFonts w:cs="Times New Roman"/>
                <w:sz w:val="22"/>
                <w:szCs w:val="22"/>
              </w:rPr>
            </w:pPr>
          </w:p>
          <w:p w:rsidR="006233E0" w:rsidRPr="004A6173" w:rsidRDefault="006233E0" w:rsidP="004A6173">
            <w:pPr>
              <w:pStyle w:val="a3"/>
              <w:spacing w:before="0" w:beforeAutospacing="0" w:after="0" w:afterAutospacing="0"/>
              <w:jc w:val="both"/>
              <w:rPr>
                <w:rFonts w:cs="Times New Roman"/>
                <w:b/>
                <w:sz w:val="22"/>
                <w:szCs w:val="22"/>
              </w:rPr>
            </w:pPr>
            <w:r w:rsidRPr="004A6173">
              <w:rPr>
                <w:rFonts w:cs="Times New Roman"/>
                <w:b/>
                <w:sz w:val="22"/>
                <w:szCs w:val="22"/>
              </w:rPr>
              <w:t xml:space="preserve">Письмові пояснення та обґрунтування ліцензіата є невід'ємною частиною </w:t>
            </w:r>
            <w:proofErr w:type="spellStart"/>
            <w:r w:rsidRPr="004A6173">
              <w:rPr>
                <w:rFonts w:cs="Times New Roman"/>
                <w:b/>
                <w:sz w:val="22"/>
                <w:szCs w:val="22"/>
              </w:rPr>
              <w:t>акта</w:t>
            </w:r>
            <w:proofErr w:type="spellEnd"/>
            <w:r w:rsidRPr="004A6173">
              <w:rPr>
                <w:rFonts w:cs="Times New Roman"/>
                <w:b/>
                <w:sz w:val="22"/>
                <w:szCs w:val="22"/>
              </w:rPr>
              <w:t xml:space="preserve"> перевірки.</w:t>
            </w:r>
          </w:p>
          <w:p w:rsidR="00901B90" w:rsidRPr="004A6173" w:rsidRDefault="00901B90" w:rsidP="004A6173">
            <w:pPr>
              <w:pStyle w:val="a3"/>
              <w:spacing w:before="0" w:beforeAutospacing="0" w:after="0" w:afterAutospacing="0"/>
              <w:jc w:val="both"/>
              <w:rPr>
                <w:rFonts w:cs="Times New Roman"/>
                <w:b/>
                <w:sz w:val="22"/>
                <w:szCs w:val="22"/>
              </w:rPr>
            </w:pPr>
          </w:p>
          <w:p w:rsidR="006233E0" w:rsidRPr="004A6173" w:rsidRDefault="00901B90" w:rsidP="004A6173">
            <w:pPr>
              <w:pStyle w:val="a3"/>
              <w:spacing w:before="0" w:beforeAutospacing="0" w:after="0" w:afterAutospacing="0"/>
              <w:jc w:val="both"/>
              <w:rPr>
                <w:rFonts w:cs="Times New Roman"/>
                <w:sz w:val="22"/>
                <w:szCs w:val="22"/>
              </w:rPr>
            </w:pPr>
            <w:r w:rsidRPr="004A6173">
              <w:rPr>
                <w:rFonts w:cs="Times New Roman"/>
                <w:sz w:val="22"/>
                <w:szCs w:val="22"/>
              </w:rPr>
              <w:t>…</w:t>
            </w: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bCs/>
                <w:i/>
                <w:iCs/>
                <w:sz w:val="22"/>
                <w:szCs w:val="22"/>
                <w:lang w:eastAsia="ru-RU"/>
              </w:rPr>
            </w:pPr>
            <w:r w:rsidRPr="004A6173">
              <w:rPr>
                <w:rFonts w:cs="Times New Roman"/>
                <w:i/>
                <w:sz w:val="22"/>
                <w:szCs w:val="22"/>
              </w:rPr>
              <w:t>АТ «ДТЕК ДНІПРОВСЬКІ ЕЛЕКТРОМЕРЕЖІ»</w:t>
            </w: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 xml:space="preserve">7.1. За результатами проведених планових та позапланових перевірок складається акт перевірки за формою, наведеною в додатку </w:t>
            </w:r>
            <w:r w:rsidRPr="004A6173">
              <w:rPr>
                <w:rFonts w:cs="Times New Roman"/>
                <w:b/>
                <w:sz w:val="22"/>
                <w:szCs w:val="22"/>
                <w:u w:val="single"/>
              </w:rPr>
              <w:t>21</w:t>
            </w:r>
            <w:r w:rsidRPr="004A6173">
              <w:rPr>
                <w:rFonts w:cs="Times New Roman"/>
                <w:sz w:val="22"/>
                <w:szCs w:val="22"/>
              </w:rPr>
              <w:t xml:space="preserve"> до цього Порядку, у двох примірниках.</w:t>
            </w:r>
          </w:p>
          <w:p w:rsidR="00901B90" w:rsidRPr="004A6173" w:rsidRDefault="00901B90" w:rsidP="004A6173">
            <w:pPr>
              <w:pStyle w:val="a3"/>
              <w:spacing w:before="0" w:beforeAutospacing="0" w:after="0" w:afterAutospacing="0"/>
              <w:ind w:firstLine="100"/>
              <w:contextualSpacing/>
              <w:jc w:val="both"/>
              <w:rPr>
                <w:rFonts w:cs="Times New Roman"/>
                <w:sz w:val="22"/>
                <w:szCs w:val="22"/>
              </w:rPr>
            </w:pPr>
            <w:r w:rsidRPr="004A6173">
              <w:rPr>
                <w:rFonts w:cs="Times New Roman"/>
                <w:sz w:val="22"/>
                <w:szCs w:val="22"/>
              </w:rPr>
              <w:t>….</w:t>
            </w:r>
          </w:p>
          <w:p w:rsidR="00901B90" w:rsidRPr="004A6173" w:rsidRDefault="00901B90" w:rsidP="004A6173">
            <w:pPr>
              <w:pStyle w:val="a3"/>
              <w:spacing w:before="0" w:beforeAutospacing="0" w:after="0" w:afterAutospacing="0"/>
              <w:jc w:val="both"/>
              <w:rPr>
                <w:rFonts w:cs="Times New Roman"/>
                <w:bCs/>
                <w:i/>
                <w:iCs/>
                <w:sz w:val="22"/>
                <w:szCs w:val="22"/>
                <w:lang w:eastAsia="ru-RU"/>
              </w:rPr>
            </w:pPr>
            <w:r w:rsidRPr="004A6173">
              <w:rPr>
                <w:rFonts w:cs="Times New Roman"/>
                <w:b/>
                <w:bCs/>
                <w:sz w:val="22"/>
                <w:szCs w:val="22"/>
              </w:rPr>
              <w:lastRenderedPageBreak/>
              <w:t xml:space="preserve">Письмові пояснення та обґрунтування ліцензіата є невід'ємною частиною </w:t>
            </w:r>
            <w:proofErr w:type="spellStart"/>
            <w:r w:rsidRPr="004A6173">
              <w:rPr>
                <w:rFonts w:cs="Times New Roman"/>
                <w:b/>
                <w:bCs/>
                <w:sz w:val="22"/>
                <w:szCs w:val="22"/>
              </w:rPr>
              <w:t>акта</w:t>
            </w:r>
            <w:proofErr w:type="spellEnd"/>
            <w:r w:rsidRPr="004A6173">
              <w:rPr>
                <w:rFonts w:cs="Times New Roman"/>
                <w:b/>
                <w:bCs/>
                <w:sz w:val="22"/>
                <w:szCs w:val="22"/>
              </w:rPr>
              <w:t xml:space="preserve"> перевірки (у разі, якщо відповідні пояснення та обґрунтування надавались ліцензіатом під час перевірки).</w:t>
            </w: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141929"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ГС «УВЕА»</w:t>
            </w:r>
          </w:p>
          <w:p w:rsidR="000355B8" w:rsidRPr="004A6173" w:rsidRDefault="000355B8" w:rsidP="004A6173">
            <w:pPr>
              <w:pStyle w:val="a3"/>
              <w:spacing w:before="0" w:beforeAutospacing="0" w:after="0" w:afterAutospacing="0"/>
              <w:jc w:val="both"/>
              <w:rPr>
                <w:rFonts w:cs="Times New Roman"/>
                <w:bCs/>
                <w:i/>
                <w:iCs/>
                <w:sz w:val="22"/>
                <w:szCs w:val="22"/>
                <w:lang w:eastAsia="ru-RU"/>
              </w:rPr>
            </w:pPr>
          </w:p>
          <w:p w:rsidR="000355B8" w:rsidRPr="004A6173" w:rsidRDefault="000355B8" w:rsidP="004A6173">
            <w:pPr>
              <w:spacing w:after="0"/>
              <w:rPr>
                <w:rFonts w:ascii="Times New Roman" w:hAnsi="Times New Roman" w:cs="Times New Roman"/>
              </w:rPr>
            </w:pPr>
            <w:r w:rsidRPr="004A6173">
              <w:rPr>
                <w:rFonts w:ascii="Times New Roman" w:hAnsi="Times New Roman" w:cs="Times New Roman"/>
              </w:rPr>
              <w:t>7.1. (…)</w:t>
            </w:r>
          </w:p>
          <w:p w:rsidR="000355B8" w:rsidRPr="004A6173" w:rsidRDefault="000355B8" w:rsidP="004A6173">
            <w:pPr>
              <w:spacing w:after="0"/>
              <w:rPr>
                <w:rFonts w:ascii="Times New Roman" w:hAnsi="Times New Roman" w:cs="Times New Roman"/>
              </w:rPr>
            </w:pPr>
          </w:p>
          <w:p w:rsidR="000355B8" w:rsidRPr="004A6173" w:rsidRDefault="000355B8" w:rsidP="004A6173">
            <w:pPr>
              <w:pStyle w:val="a3"/>
              <w:spacing w:before="0" w:beforeAutospacing="0" w:after="0" w:afterAutospacing="0"/>
              <w:jc w:val="both"/>
              <w:rPr>
                <w:rFonts w:cs="Times New Roman"/>
                <w:bCs/>
                <w:i/>
                <w:iCs/>
                <w:sz w:val="22"/>
                <w:szCs w:val="22"/>
                <w:lang w:eastAsia="ru-RU"/>
              </w:rPr>
            </w:pPr>
            <w:r w:rsidRPr="004A6173">
              <w:rPr>
                <w:rFonts w:cs="Times New Roman"/>
                <w:sz w:val="22"/>
                <w:szCs w:val="22"/>
              </w:rPr>
              <w:t xml:space="preserve">Отримані від </w:t>
            </w:r>
            <w:r w:rsidRPr="004A6173">
              <w:rPr>
                <w:rFonts w:cs="Times New Roman"/>
                <w:b/>
                <w:bCs/>
                <w:strike/>
                <w:sz w:val="22"/>
                <w:szCs w:val="22"/>
              </w:rPr>
              <w:t>уповноважених осіб</w:t>
            </w:r>
            <w:r w:rsidRPr="004A6173">
              <w:rPr>
                <w:rFonts w:cs="Times New Roman"/>
                <w:sz w:val="22"/>
                <w:szCs w:val="22"/>
              </w:rPr>
              <w:t xml:space="preserve"> суб’єкта господарювання, щодо якого здійснюється перевірка, в ході перевірки </w:t>
            </w:r>
            <w:r w:rsidRPr="004A6173">
              <w:rPr>
                <w:rFonts w:cs="Times New Roman"/>
                <w:b/>
                <w:bCs/>
                <w:strike/>
                <w:sz w:val="22"/>
                <w:szCs w:val="22"/>
              </w:rPr>
              <w:t>належним чином завірені копії документів та/або документи в електронній формі на електронному носії з питань, що підтверджують та/або спростовують</w:t>
            </w:r>
            <w:r w:rsidRPr="004A6173">
              <w:rPr>
                <w:rFonts w:cs="Times New Roman"/>
                <w:b/>
                <w:bCs/>
                <w:sz w:val="22"/>
                <w:szCs w:val="22"/>
              </w:rPr>
              <w:t xml:space="preserve"> пояснення з питань</w:t>
            </w:r>
            <w:r w:rsidRPr="004A6173">
              <w:rPr>
                <w:rFonts w:cs="Times New Roman"/>
                <w:sz w:val="22"/>
                <w:szCs w:val="22"/>
              </w:rPr>
              <w:t xml:space="preserve"> вчинення ним порушень вимог законодавства та/або ліцензійних умов, долучаються до </w:t>
            </w:r>
            <w:proofErr w:type="spellStart"/>
            <w:r w:rsidRPr="004A6173">
              <w:rPr>
                <w:rFonts w:cs="Times New Roman"/>
                <w:sz w:val="22"/>
                <w:szCs w:val="22"/>
              </w:rPr>
              <w:t>акта</w:t>
            </w:r>
            <w:proofErr w:type="spellEnd"/>
            <w:r w:rsidRPr="004A6173">
              <w:rPr>
                <w:rFonts w:cs="Times New Roman"/>
                <w:sz w:val="22"/>
                <w:szCs w:val="22"/>
              </w:rPr>
              <w:t xml:space="preserve"> перевірки у вигляді додатків. </w:t>
            </w:r>
            <w:r w:rsidRPr="004A6173">
              <w:rPr>
                <w:rFonts w:cs="Times New Roman"/>
                <w:b/>
                <w:bCs/>
                <w:strike/>
                <w:sz w:val="22"/>
                <w:szCs w:val="22"/>
              </w:rPr>
              <w:t xml:space="preserve">У разі надання документів в електронній формі, до </w:t>
            </w:r>
            <w:proofErr w:type="spellStart"/>
            <w:r w:rsidRPr="004A6173">
              <w:rPr>
                <w:rFonts w:cs="Times New Roman"/>
                <w:b/>
                <w:bCs/>
                <w:strike/>
                <w:sz w:val="22"/>
                <w:szCs w:val="22"/>
              </w:rPr>
              <w:t>акта</w:t>
            </w:r>
            <w:proofErr w:type="spellEnd"/>
            <w:r w:rsidRPr="004A6173">
              <w:rPr>
                <w:rFonts w:cs="Times New Roman"/>
                <w:b/>
                <w:bCs/>
                <w:strike/>
                <w:sz w:val="22"/>
                <w:szCs w:val="22"/>
              </w:rPr>
              <w:t xml:space="preserve"> перевірки у вигляді додатків долучається відповідний електронний носій.</w:t>
            </w:r>
          </w:p>
        </w:tc>
        <w:tc>
          <w:tcPr>
            <w:tcW w:w="1154" w:type="pct"/>
            <w:shd w:val="clear" w:color="auto" w:fill="auto"/>
          </w:tcPr>
          <w:p w:rsidR="00347899" w:rsidRDefault="00347899" w:rsidP="004A6173">
            <w:pPr>
              <w:pStyle w:val="a3"/>
              <w:spacing w:before="0" w:beforeAutospacing="0" w:after="0" w:afterAutospacing="0"/>
              <w:jc w:val="both"/>
              <w:rPr>
                <w:rFonts w:cs="Times New Roman"/>
                <w:bCs/>
                <w:i/>
                <w:iCs/>
                <w:sz w:val="22"/>
                <w:szCs w:val="22"/>
                <w:lang w:eastAsia="ru-RU"/>
              </w:rPr>
            </w:pPr>
          </w:p>
          <w:p w:rsidR="009D4D7D" w:rsidRPr="004A6173" w:rsidRDefault="006233E0"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ТОВ «Д.ТРЕЙДІНГ»</w:t>
            </w:r>
          </w:p>
          <w:p w:rsidR="006233E0" w:rsidRPr="004A6173" w:rsidRDefault="006233E0" w:rsidP="004A6173">
            <w:pPr>
              <w:pStyle w:val="a3"/>
              <w:spacing w:before="0" w:beforeAutospacing="0" w:after="0" w:afterAutospacing="0"/>
              <w:jc w:val="both"/>
              <w:rPr>
                <w:rFonts w:cs="Times New Roman"/>
                <w:bCs/>
                <w:i/>
                <w:iCs/>
                <w:sz w:val="22"/>
                <w:szCs w:val="22"/>
                <w:lang w:eastAsia="ru-RU"/>
              </w:rPr>
            </w:pP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Пропонуємо залишити положення Порядку контролю, які передбачають, що письмові пояснення та обґрунтування ліцензіата є невід'ємною частиною </w:t>
            </w:r>
            <w:proofErr w:type="spellStart"/>
            <w:r w:rsidRPr="004A6173">
              <w:rPr>
                <w:rFonts w:cs="Times New Roman"/>
                <w:sz w:val="22"/>
                <w:szCs w:val="22"/>
              </w:rPr>
              <w:t>акта</w:t>
            </w:r>
            <w:proofErr w:type="spellEnd"/>
            <w:r w:rsidRPr="004A6173">
              <w:rPr>
                <w:rFonts w:cs="Times New Roman"/>
                <w:sz w:val="22"/>
                <w:szCs w:val="22"/>
              </w:rPr>
              <w:t xml:space="preserve"> перевірки.</w:t>
            </w:r>
          </w:p>
          <w:p w:rsidR="006233E0" w:rsidRPr="004A6173" w:rsidRDefault="006233E0" w:rsidP="004A6173">
            <w:pPr>
              <w:pStyle w:val="a3"/>
              <w:spacing w:before="0" w:beforeAutospacing="0" w:after="0" w:afterAutospacing="0"/>
              <w:jc w:val="both"/>
              <w:rPr>
                <w:rFonts w:cs="Times New Roman"/>
                <w:sz w:val="22"/>
                <w:szCs w:val="22"/>
              </w:rPr>
            </w:pPr>
            <w:r w:rsidRPr="004A6173">
              <w:rPr>
                <w:rFonts w:cs="Times New Roman"/>
                <w:sz w:val="22"/>
                <w:szCs w:val="22"/>
              </w:rPr>
              <w:t xml:space="preserve">Оскільки отримані від ліцензіата копії документів з питань, що підтверджують та/або спростовують вчинення ним порушень вимог законодавства та/або ліцензійних умов, долучаються до </w:t>
            </w:r>
            <w:proofErr w:type="spellStart"/>
            <w:r w:rsidRPr="004A6173">
              <w:rPr>
                <w:rFonts w:cs="Times New Roman"/>
                <w:sz w:val="22"/>
                <w:szCs w:val="22"/>
              </w:rPr>
              <w:t>акта</w:t>
            </w:r>
            <w:proofErr w:type="spellEnd"/>
            <w:r w:rsidRPr="004A6173">
              <w:rPr>
                <w:rFonts w:cs="Times New Roman"/>
                <w:sz w:val="22"/>
                <w:szCs w:val="22"/>
              </w:rPr>
              <w:t xml:space="preserve"> перевірки у вигляді додатків  та є його невід’ємною частиною, то і пояснення та обґрунтування до </w:t>
            </w:r>
            <w:proofErr w:type="spellStart"/>
            <w:r w:rsidRPr="004A6173">
              <w:rPr>
                <w:rFonts w:cs="Times New Roman"/>
                <w:sz w:val="22"/>
                <w:szCs w:val="22"/>
              </w:rPr>
              <w:t>акта</w:t>
            </w:r>
            <w:proofErr w:type="spellEnd"/>
            <w:r w:rsidRPr="004A6173">
              <w:rPr>
                <w:rFonts w:cs="Times New Roman"/>
                <w:sz w:val="22"/>
                <w:szCs w:val="22"/>
              </w:rPr>
              <w:t xml:space="preserve"> перевірки також повинні бути невід'ємною частиною </w:t>
            </w:r>
            <w:proofErr w:type="spellStart"/>
            <w:r w:rsidRPr="004A6173">
              <w:rPr>
                <w:rFonts w:cs="Times New Roman"/>
                <w:sz w:val="22"/>
                <w:szCs w:val="22"/>
              </w:rPr>
              <w:t>акта</w:t>
            </w:r>
            <w:proofErr w:type="spellEnd"/>
            <w:r w:rsidRPr="004A6173">
              <w:rPr>
                <w:rFonts w:cs="Times New Roman"/>
                <w:sz w:val="22"/>
                <w:szCs w:val="22"/>
              </w:rPr>
              <w:t xml:space="preserve"> перевірки</w:t>
            </w: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i/>
                <w:sz w:val="22"/>
                <w:szCs w:val="22"/>
              </w:rPr>
            </w:pPr>
            <w:r w:rsidRPr="004A6173">
              <w:rPr>
                <w:rFonts w:cs="Times New Roman"/>
                <w:i/>
                <w:sz w:val="22"/>
                <w:szCs w:val="22"/>
              </w:rPr>
              <w:t>АТ «ДТЕК ДНІПРОВСЬКІ ЕЛЕКТРОМЕРЕЖІ»</w:t>
            </w:r>
          </w:p>
          <w:p w:rsidR="00901B90" w:rsidRPr="004A6173" w:rsidRDefault="00901B90" w:rsidP="004A6173">
            <w:pPr>
              <w:pStyle w:val="a3"/>
              <w:spacing w:before="0" w:beforeAutospacing="0" w:after="0" w:afterAutospacing="0"/>
              <w:jc w:val="both"/>
              <w:rPr>
                <w:rFonts w:cs="Times New Roman"/>
                <w:bCs/>
                <w:i/>
                <w:iCs/>
                <w:sz w:val="22"/>
                <w:szCs w:val="22"/>
                <w:lang w:eastAsia="ru-RU"/>
              </w:rPr>
            </w:pPr>
          </w:p>
          <w:p w:rsidR="00901B90" w:rsidRPr="004A6173" w:rsidRDefault="00901B90" w:rsidP="004A6173">
            <w:pPr>
              <w:pStyle w:val="a3"/>
              <w:spacing w:before="0" w:beforeAutospacing="0" w:after="0" w:afterAutospacing="0"/>
              <w:jc w:val="both"/>
              <w:rPr>
                <w:rFonts w:cs="Times New Roman"/>
                <w:sz w:val="22"/>
                <w:szCs w:val="22"/>
              </w:rPr>
            </w:pPr>
            <w:r w:rsidRPr="004A6173">
              <w:rPr>
                <w:rFonts w:cs="Times New Roman"/>
                <w:sz w:val="22"/>
                <w:szCs w:val="22"/>
              </w:rPr>
              <w:t>Пропонуємо передбачити включення до акту перевірки відповідні письмові пояснення та обґрунтування ліцензіата</w:t>
            </w: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p>
          <w:p w:rsidR="00141929" w:rsidRPr="004A6173" w:rsidRDefault="00141929"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ГС «УВЕА»</w:t>
            </w:r>
          </w:p>
          <w:p w:rsidR="000355B8" w:rsidRPr="004A6173" w:rsidRDefault="000355B8" w:rsidP="004A6173">
            <w:pPr>
              <w:pStyle w:val="a3"/>
              <w:spacing w:before="0" w:beforeAutospacing="0" w:after="0" w:afterAutospacing="0"/>
              <w:jc w:val="both"/>
              <w:rPr>
                <w:rFonts w:cs="Times New Roman"/>
                <w:bCs/>
                <w:i/>
                <w:iCs/>
                <w:sz w:val="22"/>
                <w:szCs w:val="22"/>
                <w:lang w:eastAsia="ru-RU"/>
              </w:rPr>
            </w:pPr>
          </w:p>
          <w:p w:rsidR="000355B8" w:rsidRPr="004A6173" w:rsidRDefault="000355B8" w:rsidP="004A6173">
            <w:pPr>
              <w:spacing w:after="0"/>
              <w:rPr>
                <w:rFonts w:ascii="Times New Roman" w:hAnsi="Times New Roman" w:cs="Times New Roman"/>
              </w:rPr>
            </w:pPr>
            <w:r w:rsidRPr="004A6173">
              <w:rPr>
                <w:rFonts w:ascii="Times New Roman" w:hAnsi="Times New Roman" w:cs="Times New Roman"/>
              </w:rPr>
              <w:t xml:space="preserve">1. Документи передаються не уповноваженою особою, а самим суб’єктом, просто в особі уповноваженого представника.  </w:t>
            </w:r>
          </w:p>
          <w:p w:rsidR="000355B8" w:rsidRPr="004A6173" w:rsidRDefault="000355B8" w:rsidP="004A6173">
            <w:pPr>
              <w:spacing w:after="0"/>
              <w:rPr>
                <w:rFonts w:ascii="Times New Roman" w:hAnsi="Times New Roman" w:cs="Times New Roman"/>
              </w:rPr>
            </w:pPr>
            <w:r w:rsidRPr="004A6173">
              <w:rPr>
                <w:rFonts w:ascii="Times New Roman" w:hAnsi="Times New Roman" w:cs="Times New Roman"/>
              </w:rPr>
              <w:t>2. Пропонуємо повернути підхід, що пояснення є невід’ємною часиною акту. Це є звичним підходом щодо будь-яких інших перевірок, та забезпечує права суб’єкта господарювання, щодо якого здійснюється перевірка, на висловлення та долучення заперечень до позиції контролюючого органу.</w:t>
            </w:r>
          </w:p>
          <w:p w:rsidR="000355B8" w:rsidRPr="004A6173" w:rsidRDefault="000355B8" w:rsidP="004A6173">
            <w:pPr>
              <w:spacing w:after="0"/>
              <w:rPr>
                <w:rFonts w:ascii="Times New Roman" w:hAnsi="Times New Roman" w:cs="Times New Roman"/>
              </w:rPr>
            </w:pPr>
            <w:r w:rsidRPr="004A6173">
              <w:rPr>
                <w:rFonts w:ascii="Times New Roman" w:hAnsi="Times New Roman" w:cs="Times New Roman"/>
              </w:rPr>
              <w:t xml:space="preserve">3. Пропонуємо не передбачати необхідність додавати усі отримані документи до </w:t>
            </w:r>
            <w:proofErr w:type="spellStart"/>
            <w:r w:rsidRPr="004A6173">
              <w:rPr>
                <w:rFonts w:ascii="Times New Roman" w:hAnsi="Times New Roman" w:cs="Times New Roman"/>
              </w:rPr>
              <w:t>акта</w:t>
            </w:r>
            <w:proofErr w:type="spellEnd"/>
            <w:r w:rsidRPr="004A6173">
              <w:rPr>
                <w:rFonts w:ascii="Times New Roman" w:hAnsi="Times New Roman" w:cs="Times New Roman"/>
              </w:rPr>
              <w:t xml:space="preserve"> перевірки як додатки, оскільки: </w:t>
            </w:r>
          </w:p>
          <w:p w:rsidR="000355B8" w:rsidRPr="004A6173" w:rsidRDefault="000355B8" w:rsidP="004A6173">
            <w:pPr>
              <w:spacing w:after="0"/>
              <w:rPr>
                <w:rFonts w:ascii="Times New Roman" w:hAnsi="Times New Roman" w:cs="Times New Roman"/>
              </w:rPr>
            </w:pPr>
            <w:r w:rsidRPr="004A6173">
              <w:rPr>
                <w:rFonts w:ascii="Times New Roman" w:hAnsi="Times New Roman" w:cs="Times New Roman"/>
              </w:rPr>
              <w:t>3.1. Це великий обсяг документів, який може збільшити обсяг акту до декількох сотень сторінок;</w:t>
            </w:r>
          </w:p>
          <w:p w:rsidR="000355B8" w:rsidRPr="004A6173" w:rsidRDefault="000355B8" w:rsidP="004A6173">
            <w:pPr>
              <w:pStyle w:val="a3"/>
              <w:spacing w:before="0" w:beforeAutospacing="0" w:after="0" w:afterAutospacing="0"/>
              <w:jc w:val="both"/>
              <w:rPr>
                <w:rFonts w:cs="Times New Roman"/>
                <w:bCs/>
                <w:i/>
                <w:iCs/>
                <w:sz w:val="22"/>
                <w:szCs w:val="22"/>
                <w:lang w:eastAsia="ru-RU"/>
              </w:rPr>
            </w:pPr>
            <w:r w:rsidRPr="004A6173">
              <w:rPr>
                <w:rFonts w:cs="Times New Roman"/>
                <w:sz w:val="22"/>
                <w:szCs w:val="22"/>
              </w:rPr>
              <w:t>3.2. Публікація цих документів на сайті разом з актом все одно буде обмежена через застереження про конфіденційність, з огляду на чутливу природу, наприклад, умов договорів, персональних даних представників тощо.</w:t>
            </w:r>
          </w:p>
        </w:tc>
        <w:tc>
          <w:tcPr>
            <w:tcW w:w="1117" w:type="pct"/>
            <w:shd w:val="clear" w:color="auto" w:fill="auto"/>
          </w:tcPr>
          <w:p w:rsidR="00347899" w:rsidRDefault="00347899" w:rsidP="00AB290D">
            <w:pPr>
              <w:pStyle w:val="a8"/>
              <w:spacing w:after="0"/>
              <w:ind w:left="0"/>
              <w:jc w:val="both"/>
              <w:rPr>
                <w:rFonts w:ascii="Times New Roman" w:hAnsi="Times New Roman" w:cs="Times New Roman"/>
                <w:b/>
                <w:lang w:val="uk-UA"/>
              </w:rPr>
            </w:pPr>
          </w:p>
          <w:p w:rsidR="00AB290D" w:rsidRDefault="00FC518E" w:rsidP="00AB290D">
            <w:pPr>
              <w:pStyle w:val="a8"/>
              <w:spacing w:after="0"/>
              <w:ind w:left="0"/>
              <w:jc w:val="both"/>
              <w:rPr>
                <w:rFonts w:ascii="Times New Roman" w:hAnsi="Times New Roman" w:cs="Times New Roman"/>
                <w:b/>
                <w:lang w:val="uk-UA"/>
              </w:rPr>
            </w:pPr>
            <w:r>
              <w:rPr>
                <w:rFonts w:ascii="Times New Roman" w:hAnsi="Times New Roman" w:cs="Times New Roman"/>
                <w:b/>
                <w:lang w:val="uk-UA"/>
              </w:rPr>
              <w:t>Враховано частково</w:t>
            </w:r>
          </w:p>
          <w:p w:rsidR="00AB290D" w:rsidRDefault="00AB290D" w:rsidP="00AB290D">
            <w:pPr>
              <w:pStyle w:val="a8"/>
              <w:spacing w:after="0"/>
              <w:ind w:left="0"/>
              <w:jc w:val="both"/>
              <w:rPr>
                <w:rFonts w:ascii="Times New Roman" w:hAnsi="Times New Roman" w:cs="Times New Roman"/>
                <w:b/>
                <w:lang w:val="uk-UA"/>
              </w:rPr>
            </w:pPr>
          </w:p>
          <w:p w:rsidR="009D4D7D" w:rsidRPr="00AB290D" w:rsidRDefault="00AB290D" w:rsidP="00AB290D">
            <w:pPr>
              <w:pStyle w:val="a8"/>
              <w:spacing w:after="0"/>
              <w:ind w:left="0"/>
              <w:jc w:val="both"/>
              <w:rPr>
                <w:rFonts w:ascii="Times New Roman" w:hAnsi="Times New Roman" w:cs="Times New Roman"/>
                <w:lang w:val="uk-UA"/>
              </w:rPr>
            </w:pPr>
            <w:r>
              <w:rPr>
                <w:rFonts w:ascii="Times New Roman" w:hAnsi="Times New Roman" w:cs="Times New Roman"/>
                <w:lang w:val="uk-UA"/>
              </w:rPr>
              <w:t xml:space="preserve">Оскільки в даному формулюванні можливо зробити висновок, що </w:t>
            </w:r>
            <w:r w:rsidRPr="00AB290D">
              <w:rPr>
                <w:rFonts w:ascii="Times New Roman" w:hAnsi="Times New Roman" w:cs="Times New Roman"/>
                <w:lang w:val="uk-UA"/>
              </w:rPr>
              <w:t>письмові пояснення та обґрунтування щодо проведеної перевірки та/або виявлених порушень</w:t>
            </w:r>
            <w:r>
              <w:rPr>
                <w:rFonts w:ascii="Times New Roman" w:hAnsi="Times New Roman" w:cs="Times New Roman"/>
                <w:lang w:val="uk-UA"/>
              </w:rPr>
              <w:t xml:space="preserve">, надані ліцензіатом </w:t>
            </w:r>
            <w:r w:rsidRPr="00AB290D">
              <w:rPr>
                <w:rFonts w:ascii="Times New Roman" w:hAnsi="Times New Roman" w:cs="Times New Roman"/>
                <w:lang w:val="uk-UA"/>
              </w:rPr>
              <w:t xml:space="preserve">у строк до п'яти робочих днів з дня отримання </w:t>
            </w:r>
            <w:proofErr w:type="spellStart"/>
            <w:r w:rsidRPr="00AB290D">
              <w:rPr>
                <w:rFonts w:ascii="Times New Roman" w:hAnsi="Times New Roman" w:cs="Times New Roman"/>
                <w:lang w:val="uk-UA"/>
              </w:rPr>
              <w:t>акта</w:t>
            </w:r>
            <w:proofErr w:type="spellEnd"/>
            <w:r w:rsidRPr="00AB290D">
              <w:rPr>
                <w:rFonts w:ascii="Times New Roman" w:hAnsi="Times New Roman" w:cs="Times New Roman"/>
                <w:lang w:val="uk-UA"/>
              </w:rPr>
              <w:t xml:space="preserve"> про результати перевірки</w:t>
            </w:r>
            <w:r>
              <w:rPr>
                <w:rFonts w:ascii="Times New Roman" w:hAnsi="Times New Roman" w:cs="Times New Roman"/>
                <w:lang w:val="uk-UA"/>
              </w:rPr>
              <w:t xml:space="preserve">, є </w:t>
            </w:r>
            <w:r w:rsidRPr="00AB290D">
              <w:rPr>
                <w:rFonts w:ascii="Times New Roman" w:hAnsi="Times New Roman" w:cs="Times New Roman"/>
                <w:lang w:val="uk-UA"/>
              </w:rPr>
              <w:t>невід</w:t>
            </w:r>
            <w:r w:rsidRPr="00AB290D">
              <w:rPr>
                <w:rFonts w:ascii="Times New Roman" w:hAnsi="Times New Roman" w:cs="Times New Roman"/>
                <w:lang w:val="en-US"/>
              </w:rPr>
              <w:t>’</w:t>
            </w:r>
            <w:r w:rsidRPr="00AB290D">
              <w:rPr>
                <w:rFonts w:ascii="Times New Roman" w:hAnsi="Times New Roman" w:cs="Times New Roman"/>
                <w:lang w:val="uk-UA"/>
              </w:rPr>
              <w:t xml:space="preserve">ємною частиною </w:t>
            </w:r>
            <w:proofErr w:type="spellStart"/>
            <w:r w:rsidRPr="00AB290D">
              <w:rPr>
                <w:rFonts w:ascii="Times New Roman" w:hAnsi="Times New Roman" w:cs="Times New Roman"/>
                <w:lang w:val="uk-UA"/>
              </w:rPr>
              <w:t>акта</w:t>
            </w:r>
            <w:proofErr w:type="spellEnd"/>
            <w:r w:rsidRPr="00AB290D">
              <w:rPr>
                <w:rFonts w:ascii="Times New Roman" w:hAnsi="Times New Roman" w:cs="Times New Roman"/>
                <w:lang w:val="uk-UA"/>
              </w:rPr>
              <w:t>.</w:t>
            </w:r>
          </w:p>
          <w:p w:rsidR="00AB290D" w:rsidRPr="00AB290D" w:rsidRDefault="00AB290D" w:rsidP="00AB290D">
            <w:pPr>
              <w:pStyle w:val="a8"/>
              <w:spacing w:after="0"/>
              <w:ind w:left="0"/>
              <w:jc w:val="both"/>
              <w:rPr>
                <w:rFonts w:ascii="Times New Roman" w:hAnsi="Times New Roman" w:cs="Times New Roman"/>
                <w:lang w:val="uk-UA"/>
              </w:rPr>
            </w:pPr>
          </w:p>
          <w:p w:rsidR="00AB290D" w:rsidRDefault="00AB290D" w:rsidP="00AB290D">
            <w:pPr>
              <w:pStyle w:val="a8"/>
              <w:spacing w:after="0"/>
              <w:ind w:left="0"/>
              <w:jc w:val="both"/>
              <w:rPr>
                <w:rFonts w:ascii="Times New Roman" w:hAnsi="Times New Roman" w:cs="Times New Roman"/>
                <w:lang w:val="uk-UA"/>
              </w:rPr>
            </w:pPr>
            <w:r w:rsidRPr="00AB290D">
              <w:rPr>
                <w:rFonts w:ascii="Times New Roman" w:hAnsi="Times New Roman" w:cs="Times New Roman"/>
                <w:lang w:val="uk-UA"/>
              </w:rPr>
              <w:t xml:space="preserve">При цьому </w:t>
            </w:r>
            <w:r w:rsidRPr="00D1304F">
              <w:rPr>
                <w:rFonts w:ascii="Times New Roman" w:hAnsi="Times New Roman" w:cs="Times New Roman"/>
                <w:lang w:val="uk-UA"/>
              </w:rPr>
              <w:t>положення</w:t>
            </w:r>
            <w:r w:rsidR="00D1304F">
              <w:rPr>
                <w:rFonts w:ascii="Times New Roman" w:hAnsi="Times New Roman" w:cs="Times New Roman"/>
                <w:lang w:val="uk-UA"/>
              </w:rPr>
              <w:t>,</w:t>
            </w:r>
            <w:r w:rsidRPr="00D1304F">
              <w:rPr>
                <w:rFonts w:ascii="Times New Roman" w:hAnsi="Times New Roman" w:cs="Times New Roman"/>
                <w:lang w:val="uk-UA"/>
              </w:rPr>
              <w:t xml:space="preserve"> </w:t>
            </w:r>
            <w:r w:rsidR="00D1304F" w:rsidRPr="00D1304F">
              <w:rPr>
                <w:rFonts w:ascii="Times New Roman" w:hAnsi="Times New Roman" w:cs="Times New Roman"/>
                <w:lang w:val="uk-UA"/>
              </w:rPr>
              <w:t>що</w:t>
            </w:r>
            <w:r w:rsidR="00D1304F">
              <w:rPr>
                <w:rFonts w:ascii="Times New Roman" w:hAnsi="Times New Roman" w:cs="Times New Roman"/>
                <w:lang w:val="uk-UA"/>
              </w:rPr>
              <w:t xml:space="preserve"> додатки до </w:t>
            </w:r>
            <w:proofErr w:type="spellStart"/>
            <w:r w:rsidR="00D1304F">
              <w:rPr>
                <w:rFonts w:ascii="Times New Roman" w:hAnsi="Times New Roman" w:cs="Times New Roman"/>
                <w:lang w:val="uk-UA"/>
              </w:rPr>
              <w:t>акта</w:t>
            </w:r>
            <w:proofErr w:type="spellEnd"/>
            <w:r w:rsidR="00D1304F">
              <w:rPr>
                <w:rFonts w:ascii="Times New Roman" w:hAnsi="Times New Roman" w:cs="Times New Roman"/>
                <w:lang w:val="uk-UA"/>
              </w:rPr>
              <w:t xml:space="preserve"> є його невід</w:t>
            </w:r>
            <w:r w:rsidR="00D1304F">
              <w:rPr>
                <w:rFonts w:ascii="Times New Roman" w:hAnsi="Times New Roman" w:cs="Times New Roman"/>
                <w:lang w:val="en-US"/>
              </w:rPr>
              <w:t>’</w:t>
            </w:r>
            <w:r w:rsidR="00D1304F">
              <w:rPr>
                <w:rFonts w:ascii="Times New Roman" w:hAnsi="Times New Roman" w:cs="Times New Roman"/>
                <w:lang w:val="uk-UA"/>
              </w:rPr>
              <w:t>ємною частиною залишається (додатки 21 та 23)</w:t>
            </w:r>
            <w:r w:rsidR="00FC518E">
              <w:rPr>
                <w:rFonts w:ascii="Times New Roman" w:hAnsi="Times New Roman" w:cs="Times New Roman"/>
                <w:lang w:val="uk-UA"/>
              </w:rPr>
              <w:t>.</w:t>
            </w:r>
          </w:p>
          <w:p w:rsidR="00FC518E" w:rsidRDefault="00FC518E" w:rsidP="00AB290D">
            <w:pPr>
              <w:pStyle w:val="a8"/>
              <w:spacing w:after="0"/>
              <w:ind w:left="0"/>
              <w:jc w:val="both"/>
              <w:rPr>
                <w:rFonts w:ascii="Times New Roman" w:hAnsi="Times New Roman" w:cs="Times New Roman"/>
                <w:lang w:val="uk-UA"/>
              </w:rPr>
            </w:pPr>
          </w:p>
          <w:p w:rsidR="00FC518E" w:rsidRPr="00FC518E" w:rsidRDefault="00FC518E" w:rsidP="00AB290D">
            <w:pPr>
              <w:pStyle w:val="a8"/>
              <w:spacing w:after="0"/>
              <w:ind w:left="0"/>
              <w:jc w:val="both"/>
              <w:rPr>
                <w:rFonts w:ascii="Times New Roman" w:hAnsi="Times New Roman" w:cs="Times New Roman"/>
                <w:b/>
                <w:lang w:val="uk-UA"/>
              </w:rPr>
            </w:pPr>
            <w:r w:rsidRPr="00FC518E">
              <w:rPr>
                <w:rFonts w:ascii="Times New Roman" w:hAnsi="Times New Roman" w:cs="Times New Roman"/>
                <w:b/>
                <w:lang w:val="uk-UA"/>
              </w:rPr>
              <w:t>Абзац четвертий пропонується викласти в такій редакції:</w:t>
            </w:r>
          </w:p>
          <w:p w:rsidR="00FC518E" w:rsidRDefault="00FC518E" w:rsidP="00AB290D">
            <w:pPr>
              <w:pStyle w:val="a8"/>
              <w:spacing w:after="0"/>
              <w:ind w:left="0"/>
              <w:jc w:val="both"/>
              <w:rPr>
                <w:rFonts w:ascii="Times New Roman" w:hAnsi="Times New Roman" w:cs="Times New Roman"/>
                <w:lang w:val="uk-UA"/>
              </w:rPr>
            </w:pPr>
            <w:r>
              <w:rPr>
                <w:rFonts w:ascii="Times New Roman" w:hAnsi="Times New Roman" w:cs="Times New Roman"/>
                <w:lang w:val="uk-UA"/>
              </w:rPr>
              <w:t>«</w:t>
            </w:r>
            <w:r w:rsidRPr="00FC518E">
              <w:rPr>
                <w:rFonts w:ascii="Times New Roman" w:hAnsi="Times New Roman" w:cs="Times New Roman"/>
                <w:lang w:val="uk-UA"/>
              </w:rPr>
              <w:t xml:space="preserve">Отримані від уповноважених осіб суб’єкта господарювання, щодо якого здійснюється перевірка, в ході перевірки належним чином завірені копії документів та/або документи в електронній формі на електронному носії з питань, що підтверджують </w:t>
            </w:r>
            <w:r w:rsidRPr="00FC518E">
              <w:rPr>
                <w:rFonts w:ascii="Times New Roman" w:hAnsi="Times New Roman" w:cs="Times New Roman"/>
                <w:b/>
                <w:strike/>
                <w:lang w:val="uk-UA"/>
              </w:rPr>
              <w:t>та/або спростовують</w:t>
            </w:r>
            <w:r w:rsidRPr="00FC518E">
              <w:rPr>
                <w:rFonts w:ascii="Times New Roman" w:hAnsi="Times New Roman" w:cs="Times New Roman"/>
                <w:lang w:val="uk-UA"/>
              </w:rPr>
              <w:t xml:space="preserve"> вчинення ним </w:t>
            </w:r>
            <w:r w:rsidRPr="00FC518E">
              <w:rPr>
                <w:rFonts w:ascii="Times New Roman" w:hAnsi="Times New Roman" w:cs="Times New Roman"/>
                <w:lang w:val="uk-UA"/>
              </w:rPr>
              <w:lastRenderedPageBreak/>
              <w:t xml:space="preserve">порушень вимог законодавства та/або ліцензійних умов, долучаються до </w:t>
            </w:r>
            <w:proofErr w:type="spellStart"/>
            <w:r w:rsidRPr="00FC518E">
              <w:rPr>
                <w:rFonts w:ascii="Times New Roman" w:hAnsi="Times New Roman" w:cs="Times New Roman"/>
                <w:lang w:val="uk-UA"/>
              </w:rPr>
              <w:t>акта</w:t>
            </w:r>
            <w:proofErr w:type="spellEnd"/>
            <w:r w:rsidRPr="00FC518E">
              <w:rPr>
                <w:rFonts w:ascii="Times New Roman" w:hAnsi="Times New Roman" w:cs="Times New Roman"/>
                <w:lang w:val="uk-UA"/>
              </w:rPr>
              <w:t xml:space="preserve"> перевірки у вигляді додатків. У разі надання документів в електронній формі, до </w:t>
            </w:r>
            <w:proofErr w:type="spellStart"/>
            <w:r w:rsidRPr="00FC518E">
              <w:rPr>
                <w:rFonts w:ascii="Times New Roman" w:hAnsi="Times New Roman" w:cs="Times New Roman"/>
                <w:lang w:val="uk-UA"/>
              </w:rPr>
              <w:t>акта</w:t>
            </w:r>
            <w:proofErr w:type="spellEnd"/>
            <w:r w:rsidRPr="00FC518E">
              <w:rPr>
                <w:rFonts w:ascii="Times New Roman" w:hAnsi="Times New Roman" w:cs="Times New Roman"/>
                <w:lang w:val="uk-UA"/>
              </w:rPr>
              <w:t xml:space="preserve"> перевірки у вигляді додатків долучається відповідний електронний носій.</w:t>
            </w:r>
            <w:r>
              <w:rPr>
                <w:rFonts w:ascii="Times New Roman" w:hAnsi="Times New Roman" w:cs="Times New Roman"/>
                <w:lang w:val="uk-UA"/>
              </w:rPr>
              <w:t>».</w:t>
            </w:r>
          </w:p>
          <w:p w:rsidR="00FC518E" w:rsidRDefault="00FC518E" w:rsidP="00AB290D">
            <w:pPr>
              <w:pStyle w:val="a8"/>
              <w:spacing w:after="0"/>
              <w:ind w:left="0"/>
              <w:jc w:val="both"/>
              <w:rPr>
                <w:rFonts w:ascii="Times New Roman" w:hAnsi="Times New Roman" w:cs="Times New Roman"/>
                <w:lang w:val="uk-UA"/>
              </w:rPr>
            </w:pPr>
          </w:p>
          <w:p w:rsidR="00FC518E" w:rsidRPr="00D1304F" w:rsidRDefault="00FC518E" w:rsidP="00AB290D">
            <w:pPr>
              <w:pStyle w:val="a8"/>
              <w:spacing w:after="0"/>
              <w:ind w:left="0"/>
              <w:jc w:val="both"/>
              <w:rPr>
                <w:rFonts w:ascii="Times New Roman" w:hAnsi="Times New Roman" w:cs="Times New Roman"/>
                <w:lang w:val="uk-UA"/>
              </w:rPr>
            </w:pPr>
            <w:r>
              <w:rPr>
                <w:rFonts w:ascii="Times New Roman" w:hAnsi="Times New Roman" w:cs="Times New Roman"/>
                <w:lang w:val="uk-UA"/>
              </w:rPr>
              <w:t xml:space="preserve">Зазначена редакція дозволить зменшити обсяг документів, що долучаються до </w:t>
            </w:r>
            <w:proofErr w:type="spellStart"/>
            <w:r>
              <w:rPr>
                <w:rFonts w:ascii="Times New Roman" w:hAnsi="Times New Roman" w:cs="Times New Roman"/>
                <w:lang w:val="uk-UA"/>
              </w:rPr>
              <w:t>акта</w:t>
            </w:r>
            <w:proofErr w:type="spellEnd"/>
            <w:r>
              <w:rPr>
                <w:rFonts w:ascii="Times New Roman" w:hAnsi="Times New Roman" w:cs="Times New Roman"/>
                <w:lang w:val="uk-UA"/>
              </w:rPr>
              <w:t xml:space="preserve"> перевірки, як пропонується </w:t>
            </w:r>
            <w:r w:rsidRPr="00FC518E">
              <w:rPr>
                <w:rFonts w:ascii="Times New Roman" w:hAnsi="Times New Roman" w:cs="Times New Roman"/>
                <w:lang w:val="uk-UA"/>
              </w:rPr>
              <w:t>ГС «УВЕА»</w:t>
            </w:r>
          </w:p>
        </w:tc>
      </w:tr>
      <w:tr w:rsidR="009D4D7D" w:rsidRPr="004A6173" w:rsidTr="00B36E31">
        <w:tc>
          <w:tcPr>
            <w:tcW w:w="420" w:type="pct"/>
          </w:tcPr>
          <w:p w:rsidR="00347899" w:rsidRDefault="00347899" w:rsidP="004A6173">
            <w:pPr>
              <w:spacing w:after="0"/>
              <w:contextualSpacing/>
              <w:jc w:val="center"/>
              <w:rPr>
                <w:rFonts w:ascii="Times New Roman" w:hAnsi="Times New Roman" w:cs="Times New Roman"/>
              </w:rPr>
            </w:pPr>
          </w:p>
          <w:p w:rsidR="009D4D7D" w:rsidRPr="004A6173" w:rsidRDefault="00DD4B64" w:rsidP="004A6173">
            <w:pPr>
              <w:spacing w:after="0"/>
              <w:contextualSpacing/>
              <w:jc w:val="center"/>
              <w:rPr>
                <w:rFonts w:ascii="Times New Roman" w:hAnsi="Times New Roman" w:cs="Times New Roman"/>
              </w:rPr>
            </w:pPr>
            <w:r w:rsidRPr="004A6173">
              <w:rPr>
                <w:rFonts w:ascii="Times New Roman" w:hAnsi="Times New Roman" w:cs="Times New Roman"/>
              </w:rPr>
              <w:lastRenderedPageBreak/>
              <w:t>Підпункти 11–13 пункту 4, підпункт 3 пункту 5 додатка 25</w:t>
            </w:r>
          </w:p>
        </w:tc>
        <w:tc>
          <w:tcPr>
            <w:tcW w:w="1154" w:type="pct"/>
            <w:shd w:val="clear" w:color="auto" w:fill="auto"/>
          </w:tcPr>
          <w:p w:rsidR="00347899" w:rsidRDefault="00347899" w:rsidP="004A6173">
            <w:pPr>
              <w:pStyle w:val="a3"/>
              <w:spacing w:before="0" w:beforeAutospacing="0" w:after="0" w:afterAutospacing="0"/>
              <w:jc w:val="both"/>
              <w:rPr>
                <w:rFonts w:cs="Times New Roman"/>
                <w:b/>
                <w:sz w:val="22"/>
                <w:szCs w:val="22"/>
              </w:rPr>
            </w:pPr>
          </w:p>
          <w:p w:rsidR="009D4D7D" w:rsidRPr="004A6173" w:rsidRDefault="005356F0" w:rsidP="004A6173">
            <w:pPr>
              <w:pStyle w:val="a3"/>
              <w:spacing w:before="0" w:beforeAutospacing="0" w:after="0" w:afterAutospacing="0"/>
              <w:jc w:val="both"/>
              <w:rPr>
                <w:rFonts w:cs="Times New Roman"/>
                <w:b/>
                <w:sz w:val="22"/>
                <w:szCs w:val="22"/>
              </w:rPr>
            </w:pPr>
            <w:r w:rsidRPr="004A6173">
              <w:rPr>
                <w:rFonts w:cs="Times New Roman"/>
                <w:b/>
                <w:sz w:val="22"/>
                <w:szCs w:val="22"/>
              </w:rPr>
              <w:t>Зміни не пропонувались</w:t>
            </w:r>
          </w:p>
          <w:p w:rsidR="005356F0" w:rsidRPr="004A6173" w:rsidRDefault="005356F0" w:rsidP="004A6173">
            <w:pPr>
              <w:pStyle w:val="a3"/>
              <w:spacing w:before="0" w:beforeAutospacing="0" w:after="0" w:afterAutospacing="0"/>
              <w:jc w:val="both"/>
              <w:rPr>
                <w:rFonts w:cs="Times New Roman"/>
                <w:b/>
                <w:sz w:val="22"/>
                <w:szCs w:val="22"/>
              </w:rPr>
            </w:pPr>
          </w:p>
          <w:p w:rsidR="005356F0" w:rsidRPr="004A6173" w:rsidRDefault="005356F0" w:rsidP="004A6173">
            <w:pPr>
              <w:pStyle w:val="a3"/>
              <w:spacing w:before="0" w:beforeAutospacing="0" w:after="0" w:afterAutospacing="0"/>
              <w:jc w:val="both"/>
              <w:rPr>
                <w:rFonts w:cs="Times New Roman"/>
                <w:b/>
                <w:sz w:val="22"/>
                <w:szCs w:val="22"/>
              </w:rPr>
            </w:pPr>
            <w:r w:rsidRPr="004A6173">
              <w:rPr>
                <w:rFonts w:cs="Times New Roman"/>
                <w:b/>
                <w:sz w:val="22"/>
                <w:szCs w:val="22"/>
              </w:rPr>
              <w:t>Пункти відсутні</w:t>
            </w:r>
          </w:p>
        </w:tc>
        <w:tc>
          <w:tcPr>
            <w:tcW w:w="1154" w:type="pct"/>
            <w:shd w:val="clear" w:color="auto" w:fill="auto"/>
          </w:tcPr>
          <w:p w:rsidR="00347899" w:rsidRDefault="00347899" w:rsidP="004A6173">
            <w:pPr>
              <w:pStyle w:val="a3"/>
              <w:spacing w:before="0" w:beforeAutospacing="0" w:after="0" w:afterAutospacing="0"/>
              <w:jc w:val="both"/>
              <w:rPr>
                <w:rFonts w:cs="Times New Roman"/>
                <w:bCs/>
                <w:i/>
                <w:iCs/>
                <w:sz w:val="22"/>
                <w:szCs w:val="22"/>
                <w:lang w:eastAsia="ru-RU"/>
              </w:rPr>
            </w:pPr>
          </w:p>
          <w:p w:rsidR="009D4D7D" w:rsidRPr="004A6173" w:rsidRDefault="00DD4B64"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ТОВ «ЗАКАРПАТТЯЕНЕРГОЗБУТ»</w:t>
            </w:r>
          </w:p>
          <w:p w:rsidR="005356F0" w:rsidRPr="004A6173" w:rsidRDefault="005356F0" w:rsidP="004A6173">
            <w:pPr>
              <w:pStyle w:val="a3"/>
              <w:spacing w:before="0" w:beforeAutospacing="0" w:after="0" w:afterAutospacing="0"/>
              <w:jc w:val="both"/>
              <w:rPr>
                <w:rFonts w:cs="Times New Roman"/>
                <w:bCs/>
                <w:i/>
                <w:iCs/>
                <w:sz w:val="22"/>
                <w:szCs w:val="22"/>
                <w:lang w:eastAsia="ru-RU"/>
              </w:rPr>
            </w:pP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13. У додатку 25:</w:t>
            </w: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 xml:space="preserve"> 1) п.4 доповнити новим підпунктами 11-13 такого змісту:</w:t>
            </w: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«11) обсяги купівлі електричної енергії за «зеленим» тарифом постачальником універсальних послуг у споживачів-приватних домогосподарств;</w:t>
            </w: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 xml:space="preserve">12) ціна, яка застосована у розрахунках вартості наданої оператору системи передачі послуги із забезпечення збільшення частки виробництва електричної енергії з альтернативних джерел, розрахованої </w:t>
            </w:r>
            <w:r w:rsidRPr="004A6173">
              <w:rPr>
                <w:rFonts w:ascii="Times New Roman" w:hAnsi="Times New Roman" w:cs="Times New Roman"/>
                <w:b/>
                <w:bCs/>
                <w:u w:val="single"/>
              </w:rPr>
              <w:t>до внесення змін у Постанову НКРЕКП від 26.04.2019 №641</w:t>
            </w:r>
            <w:r w:rsidRPr="004A6173">
              <w:rPr>
                <w:rFonts w:ascii="Times New Roman" w:hAnsi="Times New Roman" w:cs="Times New Roman"/>
              </w:rPr>
              <w:t xml:space="preserve"> </w:t>
            </w:r>
            <w:r w:rsidRPr="004A6173">
              <w:rPr>
                <w:rFonts w:ascii="Times New Roman" w:hAnsi="Times New Roman" w:cs="Times New Roman"/>
                <w:i/>
                <w:iCs/>
              </w:rPr>
              <w:t>(за обсягами фактичної купівлі електричної енергії ПУП на всіх сегментах ринку);</w:t>
            </w: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 xml:space="preserve"> 13) ціна, яка застосована у розрахунках вартості наданої оператору системи передачі послуги із забезпечення збільшення частки виробництва електричної енергії з альтернативних джерел, розрахованої </w:t>
            </w:r>
            <w:r w:rsidRPr="004A6173">
              <w:rPr>
                <w:rFonts w:ascii="Times New Roman" w:hAnsi="Times New Roman" w:cs="Times New Roman"/>
                <w:b/>
                <w:bCs/>
                <w:u w:val="single"/>
              </w:rPr>
              <w:t>після внесення змін у Постанову НКРЕКП від 26.04.2019 №641</w:t>
            </w:r>
            <w:r w:rsidRPr="004A6173">
              <w:rPr>
                <w:rFonts w:ascii="Times New Roman" w:hAnsi="Times New Roman" w:cs="Times New Roman"/>
              </w:rPr>
              <w:t xml:space="preserve"> </w:t>
            </w:r>
            <w:r w:rsidRPr="004A6173">
              <w:rPr>
                <w:rFonts w:ascii="Times New Roman" w:hAnsi="Times New Roman" w:cs="Times New Roman"/>
                <w:i/>
                <w:iCs/>
              </w:rPr>
              <w:t>(за обсягами фактичної купівлі електричної енергії ПУП у споживачів-приватних домогосподарств)</w:t>
            </w:r>
            <w:r w:rsidRPr="004A6173">
              <w:rPr>
                <w:rFonts w:ascii="Times New Roman" w:hAnsi="Times New Roman" w:cs="Times New Roman"/>
              </w:rPr>
              <w:t>»;</w:t>
            </w:r>
          </w:p>
          <w:p w:rsidR="005356F0" w:rsidRPr="004A6173" w:rsidRDefault="005356F0" w:rsidP="004A6173">
            <w:pPr>
              <w:spacing w:after="0"/>
              <w:jc w:val="both"/>
              <w:rPr>
                <w:rFonts w:ascii="Times New Roman" w:hAnsi="Times New Roman" w:cs="Times New Roman"/>
              </w:rPr>
            </w:pP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t>2) п.5 доповнити новим підпунктом 3 такого змісту:</w:t>
            </w:r>
          </w:p>
          <w:p w:rsidR="005356F0" w:rsidRPr="004A6173" w:rsidRDefault="005356F0" w:rsidP="004A6173">
            <w:pPr>
              <w:spacing w:after="0"/>
              <w:jc w:val="both"/>
              <w:rPr>
                <w:rFonts w:ascii="Times New Roman" w:hAnsi="Times New Roman" w:cs="Times New Roman"/>
              </w:rPr>
            </w:pPr>
            <w:r w:rsidRPr="004A6173">
              <w:rPr>
                <w:rFonts w:ascii="Times New Roman" w:hAnsi="Times New Roman" w:cs="Times New Roman"/>
              </w:rPr>
              <w:lastRenderedPageBreak/>
              <w:t xml:space="preserve">«3) недоотриманий дохід (понесені збитки) від надання оператору системи передачі послуги із забезпечення збільшення частки виробництва електричної енергії з альтернативних джерел енергії у звітному році. </w:t>
            </w:r>
          </w:p>
          <w:p w:rsidR="005356F0" w:rsidRDefault="005356F0" w:rsidP="004A6173">
            <w:pPr>
              <w:spacing w:after="0"/>
              <w:ind w:firstLine="331"/>
              <w:jc w:val="both"/>
              <w:rPr>
                <w:rFonts w:ascii="Times New Roman" w:hAnsi="Times New Roman" w:cs="Times New Roman"/>
              </w:rPr>
            </w:pPr>
            <w:r w:rsidRPr="004A6173">
              <w:rPr>
                <w:rFonts w:ascii="Times New Roman" w:hAnsi="Times New Roman" w:cs="Times New Roman"/>
                <w:i/>
                <w:iCs/>
              </w:rPr>
              <w:t>Ч</w:t>
            </w:r>
            <w:r w:rsidRPr="004A6173">
              <w:rPr>
                <w:rFonts w:ascii="Times New Roman" w:hAnsi="Times New Roman" w:cs="Times New Roman"/>
                <w:i/>
                <w:iCs/>
                <w:color w:val="000000"/>
              </w:rPr>
              <w:t>ерез застосування ціни, розрахованої до внесення змін у Постанову НКРЕКП від 26.04.2019 № 641 – за обсягами фактичної купівлі електричної енергії ПУП на всіх сегментах ринку порівняно із ціною, розрахованою після внесення змін у Постанову НКРЕКП від 26.04.2019 №641 – за обсягами фактичної купівлі електричної енергії ПУП у споживачів-приватних домогосподарств</w:t>
            </w:r>
            <w:r w:rsidRPr="004A6173">
              <w:rPr>
                <w:rFonts w:ascii="Times New Roman" w:hAnsi="Times New Roman" w:cs="Times New Roman"/>
              </w:rPr>
              <w:t>».</w:t>
            </w:r>
          </w:p>
          <w:p w:rsidR="00347899" w:rsidRPr="004A6173" w:rsidRDefault="00347899" w:rsidP="004A6173">
            <w:pPr>
              <w:spacing w:after="0"/>
              <w:ind w:firstLine="331"/>
              <w:jc w:val="both"/>
              <w:rPr>
                <w:rFonts w:ascii="Times New Roman" w:hAnsi="Times New Roman" w:cs="Times New Roman"/>
                <w:bCs/>
                <w:i/>
                <w:iCs/>
                <w:lang w:eastAsia="ru-RU"/>
              </w:rPr>
            </w:pPr>
            <w:bookmarkStart w:id="0" w:name="_GoBack"/>
            <w:bookmarkEnd w:id="0"/>
          </w:p>
        </w:tc>
        <w:tc>
          <w:tcPr>
            <w:tcW w:w="1154" w:type="pct"/>
            <w:shd w:val="clear" w:color="auto" w:fill="auto"/>
          </w:tcPr>
          <w:p w:rsidR="00347899" w:rsidRDefault="00347899" w:rsidP="004A6173">
            <w:pPr>
              <w:pStyle w:val="a3"/>
              <w:spacing w:before="0" w:beforeAutospacing="0" w:after="0" w:afterAutospacing="0"/>
              <w:jc w:val="both"/>
              <w:rPr>
                <w:rFonts w:cs="Times New Roman"/>
                <w:bCs/>
                <w:i/>
                <w:iCs/>
                <w:sz w:val="22"/>
                <w:szCs w:val="22"/>
                <w:lang w:eastAsia="ru-RU"/>
              </w:rPr>
            </w:pPr>
          </w:p>
          <w:p w:rsidR="009D4D7D" w:rsidRPr="004A6173" w:rsidRDefault="00DD4B64" w:rsidP="004A6173">
            <w:pPr>
              <w:pStyle w:val="a3"/>
              <w:spacing w:before="0" w:beforeAutospacing="0" w:after="0" w:afterAutospacing="0"/>
              <w:jc w:val="both"/>
              <w:rPr>
                <w:rFonts w:cs="Times New Roman"/>
                <w:bCs/>
                <w:i/>
                <w:iCs/>
                <w:sz w:val="22"/>
                <w:szCs w:val="22"/>
                <w:lang w:eastAsia="ru-RU"/>
              </w:rPr>
            </w:pPr>
            <w:r w:rsidRPr="004A6173">
              <w:rPr>
                <w:rFonts w:cs="Times New Roman"/>
                <w:bCs/>
                <w:i/>
                <w:iCs/>
                <w:sz w:val="22"/>
                <w:szCs w:val="22"/>
                <w:lang w:eastAsia="ru-RU"/>
              </w:rPr>
              <w:t>ТОВ «ЗАКАРПАТТЯЕНЕРГОЗБУТ»</w:t>
            </w:r>
          </w:p>
          <w:p w:rsidR="005356F0" w:rsidRPr="004A6173" w:rsidRDefault="005356F0" w:rsidP="004A6173">
            <w:pPr>
              <w:pStyle w:val="a3"/>
              <w:spacing w:before="0" w:beforeAutospacing="0" w:after="0" w:afterAutospacing="0"/>
              <w:jc w:val="both"/>
              <w:rPr>
                <w:rFonts w:cs="Times New Roman"/>
                <w:bCs/>
                <w:i/>
                <w:iCs/>
                <w:sz w:val="22"/>
                <w:szCs w:val="22"/>
                <w:lang w:eastAsia="ru-RU"/>
              </w:rPr>
            </w:pPr>
          </w:p>
          <w:p w:rsidR="005356F0" w:rsidRPr="004A6173" w:rsidRDefault="005356F0" w:rsidP="004A6173">
            <w:pPr>
              <w:pStyle w:val="afa"/>
              <w:rPr>
                <w:rFonts w:ascii="Times New Roman" w:hAnsi="Times New Roman" w:cs="Times New Roman"/>
                <w:sz w:val="22"/>
                <w:szCs w:val="22"/>
              </w:rPr>
            </w:pPr>
          </w:p>
          <w:p w:rsidR="005356F0" w:rsidRPr="004A6173" w:rsidRDefault="005356F0" w:rsidP="004A6173">
            <w:pPr>
              <w:pStyle w:val="afa"/>
              <w:jc w:val="both"/>
              <w:rPr>
                <w:rFonts w:ascii="Times New Roman" w:hAnsi="Times New Roman" w:cs="Times New Roman"/>
                <w:sz w:val="22"/>
                <w:szCs w:val="22"/>
              </w:rPr>
            </w:pPr>
            <w:r w:rsidRPr="004A6173">
              <w:rPr>
                <w:rFonts w:ascii="Times New Roman" w:hAnsi="Times New Roman" w:cs="Times New Roman"/>
                <w:sz w:val="22"/>
                <w:szCs w:val="22"/>
              </w:rPr>
              <w:t xml:space="preserve">Оскільки графік купівлі електричної енергії ПУП на всіх сегментах ринку суттєво відрізняється від графіку купівлі електроенергії ПУП за «зеленим» тарифом, то розрахована таким чином вартість не може вважатися вартістю купівлі електричної енергії у приватних домогосподарств, розрахованою за цінами «ринку на добу наперед». </w:t>
            </w:r>
          </w:p>
          <w:p w:rsidR="005356F0" w:rsidRPr="004A6173" w:rsidRDefault="005356F0" w:rsidP="004A6173">
            <w:pPr>
              <w:pStyle w:val="afa"/>
              <w:jc w:val="both"/>
              <w:rPr>
                <w:rFonts w:ascii="Times New Roman" w:hAnsi="Times New Roman" w:cs="Times New Roman"/>
                <w:sz w:val="22"/>
                <w:szCs w:val="22"/>
              </w:rPr>
            </w:pPr>
            <w:r w:rsidRPr="004A6173">
              <w:rPr>
                <w:rFonts w:ascii="Times New Roman" w:hAnsi="Times New Roman" w:cs="Times New Roman"/>
                <w:sz w:val="22"/>
                <w:szCs w:val="22"/>
              </w:rPr>
              <w:t>Вважаємо за доцільне при розрахунку вартості послуги із забезпечення збільшення частки виробництва електричної енергії з альтернативних джерел застосовувати ціну, визначену за обсягами фактичної купівлі електричної енергії ПУП у споживачів-приватних домогосподарств.</w:t>
            </w:r>
          </w:p>
          <w:p w:rsidR="005356F0" w:rsidRPr="004A6173" w:rsidRDefault="005356F0" w:rsidP="004A6173">
            <w:pPr>
              <w:pStyle w:val="afa"/>
              <w:jc w:val="both"/>
              <w:rPr>
                <w:rFonts w:ascii="Times New Roman" w:hAnsi="Times New Roman" w:cs="Times New Roman"/>
                <w:sz w:val="22"/>
                <w:szCs w:val="22"/>
              </w:rPr>
            </w:pPr>
            <w:r w:rsidRPr="004A6173">
              <w:rPr>
                <w:rFonts w:ascii="Times New Roman" w:hAnsi="Times New Roman" w:cs="Times New Roman"/>
                <w:sz w:val="22"/>
                <w:szCs w:val="22"/>
              </w:rPr>
              <w:t xml:space="preserve">Відповідні пропозиції було надано Товариством до </w:t>
            </w:r>
            <w:proofErr w:type="spellStart"/>
            <w:r w:rsidRPr="004A6173">
              <w:rPr>
                <w:rFonts w:ascii="Times New Roman" w:hAnsi="Times New Roman" w:cs="Times New Roman"/>
                <w:sz w:val="22"/>
                <w:szCs w:val="22"/>
              </w:rPr>
              <w:t>проєкту</w:t>
            </w:r>
            <w:proofErr w:type="spellEnd"/>
            <w:r w:rsidRPr="004A6173">
              <w:rPr>
                <w:rFonts w:ascii="Times New Roman" w:hAnsi="Times New Roman" w:cs="Times New Roman"/>
                <w:sz w:val="22"/>
                <w:szCs w:val="22"/>
              </w:rPr>
              <w:t xml:space="preserve"> Змін до Постанови НКРЕКП від 26.04.2019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 (далі – Постанова № 641).  </w:t>
            </w:r>
          </w:p>
          <w:p w:rsidR="005356F0" w:rsidRPr="004A6173" w:rsidRDefault="005356F0" w:rsidP="004A6173">
            <w:pPr>
              <w:spacing w:after="0"/>
              <w:ind w:firstLine="6"/>
              <w:jc w:val="both"/>
              <w:rPr>
                <w:rFonts w:ascii="Times New Roman" w:hAnsi="Times New Roman" w:cs="Times New Roman"/>
              </w:rPr>
            </w:pPr>
            <w:r w:rsidRPr="004A6173">
              <w:rPr>
                <w:rFonts w:ascii="Times New Roman" w:hAnsi="Times New Roman" w:cs="Times New Roman"/>
              </w:rPr>
              <w:t xml:space="preserve">Внаслідок застосування при розрахунку середньозваженої ціни купівлі електричної енергії  ПУП на ринку «на добу наперед» обсягів фактичної купівлі електричної енергії ПУП на всіх сегментах ринку замість обсягів купівлі електричної енергії ПУП у споживачів-приватних  </w:t>
            </w:r>
            <w:r w:rsidRPr="004A6173">
              <w:rPr>
                <w:rFonts w:ascii="Times New Roman" w:hAnsi="Times New Roman" w:cs="Times New Roman"/>
              </w:rPr>
              <w:lastRenderedPageBreak/>
              <w:t>домогосподарств, ПУП несуть значні збитки.</w:t>
            </w:r>
          </w:p>
          <w:p w:rsidR="005356F0" w:rsidRPr="004A6173" w:rsidRDefault="005356F0" w:rsidP="004A6173">
            <w:pPr>
              <w:spacing w:after="0"/>
              <w:ind w:firstLine="6"/>
              <w:jc w:val="both"/>
              <w:rPr>
                <w:rFonts w:ascii="Times New Roman" w:hAnsi="Times New Roman" w:cs="Times New Roman"/>
              </w:rPr>
            </w:pPr>
            <w:r w:rsidRPr="004A6173">
              <w:rPr>
                <w:rFonts w:ascii="Times New Roman" w:hAnsi="Times New Roman" w:cs="Times New Roman"/>
              </w:rPr>
              <w:t>Таким чином, до прийняття відповідних змін до постанови № 641 та з метою визначення об’єктивної суми коштів, отриманої для фінансування ліцензованої діяльності ПУП,  пропонуємо включити додатково отриманий (недоотриманий) дохід від надання оператору системи передачі послуги із забезпечення збільшення частки виробництва електричної енергії з альтернативних джерел енергії до складу  загальної суми додатково отриманого (недоотриманого) доходу ПУП.</w:t>
            </w:r>
          </w:p>
          <w:p w:rsidR="005356F0" w:rsidRPr="004A6173" w:rsidRDefault="005356F0" w:rsidP="004A6173">
            <w:pPr>
              <w:pStyle w:val="a3"/>
              <w:spacing w:before="0" w:beforeAutospacing="0" w:after="0" w:afterAutospacing="0"/>
              <w:jc w:val="both"/>
              <w:rPr>
                <w:rFonts w:cs="Times New Roman"/>
                <w:bCs/>
                <w:i/>
                <w:iCs/>
                <w:sz w:val="22"/>
                <w:szCs w:val="22"/>
                <w:lang w:eastAsia="ru-RU"/>
              </w:rPr>
            </w:pPr>
          </w:p>
        </w:tc>
        <w:tc>
          <w:tcPr>
            <w:tcW w:w="1117" w:type="pct"/>
            <w:shd w:val="clear" w:color="auto" w:fill="auto"/>
          </w:tcPr>
          <w:p w:rsidR="00347899" w:rsidRDefault="00347899" w:rsidP="00FC518E">
            <w:pPr>
              <w:pStyle w:val="a8"/>
              <w:spacing w:after="0"/>
              <w:ind w:left="0"/>
              <w:jc w:val="both"/>
              <w:rPr>
                <w:rFonts w:ascii="Times New Roman" w:hAnsi="Times New Roman" w:cs="Times New Roman"/>
                <w:b/>
                <w:lang w:val="uk-UA"/>
              </w:rPr>
            </w:pPr>
          </w:p>
          <w:p w:rsidR="00FC518E" w:rsidRDefault="00FC518E" w:rsidP="00FC518E">
            <w:pPr>
              <w:pStyle w:val="a8"/>
              <w:spacing w:after="0"/>
              <w:ind w:left="0"/>
              <w:jc w:val="both"/>
              <w:rPr>
                <w:rFonts w:ascii="Times New Roman" w:hAnsi="Times New Roman" w:cs="Times New Roman"/>
                <w:b/>
                <w:lang w:val="uk-UA"/>
              </w:rPr>
            </w:pPr>
            <w:r>
              <w:rPr>
                <w:rFonts w:ascii="Times New Roman" w:hAnsi="Times New Roman" w:cs="Times New Roman"/>
                <w:b/>
                <w:lang w:val="uk-UA"/>
              </w:rPr>
              <w:t>Не враховано</w:t>
            </w:r>
          </w:p>
          <w:p w:rsidR="00FC518E" w:rsidRDefault="00FC518E" w:rsidP="00FC518E">
            <w:pPr>
              <w:pStyle w:val="a8"/>
              <w:spacing w:after="0"/>
              <w:ind w:left="0"/>
              <w:jc w:val="both"/>
              <w:rPr>
                <w:rFonts w:ascii="Times New Roman" w:hAnsi="Times New Roman" w:cs="Times New Roman"/>
                <w:b/>
                <w:lang w:val="uk-UA"/>
              </w:rPr>
            </w:pPr>
          </w:p>
          <w:p w:rsidR="009D4D7D" w:rsidRPr="00FC518E" w:rsidRDefault="00FC518E" w:rsidP="00FC518E">
            <w:pPr>
              <w:pStyle w:val="a8"/>
              <w:spacing w:after="0"/>
              <w:ind w:left="0"/>
              <w:jc w:val="both"/>
              <w:rPr>
                <w:rFonts w:ascii="Times New Roman" w:hAnsi="Times New Roman" w:cs="Times New Roman"/>
                <w:lang w:val="uk-UA"/>
              </w:rPr>
            </w:pPr>
            <w:r>
              <w:rPr>
                <w:rFonts w:ascii="Times New Roman" w:hAnsi="Times New Roman" w:cs="Times New Roman"/>
                <w:lang w:val="uk-UA"/>
              </w:rPr>
              <w:t xml:space="preserve">Оскільки питання щодо внесення змін в додаток 25 потребує опрацювання з іншими структурними підрозділами </w:t>
            </w:r>
            <w:r w:rsidRPr="00FC518E">
              <w:rPr>
                <w:rFonts w:ascii="Times New Roman" w:hAnsi="Times New Roman" w:cs="Times New Roman"/>
                <w:lang w:val="uk-UA"/>
              </w:rPr>
              <w:t>НКРЕКП та такі зміни доцільно вносити комплексно.</w:t>
            </w:r>
          </w:p>
          <w:p w:rsidR="00FC518E" w:rsidRPr="00FC518E" w:rsidRDefault="00FC518E" w:rsidP="00FC518E">
            <w:pPr>
              <w:pStyle w:val="a8"/>
              <w:spacing w:after="0"/>
              <w:ind w:left="0"/>
              <w:jc w:val="both"/>
              <w:rPr>
                <w:rFonts w:ascii="Times New Roman" w:hAnsi="Times New Roman" w:cs="Times New Roman"/>
                <w:lang w:val="uk-UA"/>
              </w:rPr>
            </w:pPr>
          </w:p>
          <w:p w:rsidR="00FC518E" w:rsidRPr="004A6173" w:rsidRDefault="00FC518E" w:rsidP="00FC518E">
            <w:pPr>
              <w:pStyle w:val="a8"/>
              <w:spacing w:after="0"/>
              <w:ind w:left="0"/>
              <w:jc w:val="both"/>
              <w:rPr>
                <w:rFonts w:ascii="Times New Roman" w:hAnsi="Times New Roman" w:cs="Times New Roman"/>
                <w:b/>
                <w:lang w:val="uk-UA"/>
              </w:rPr>
            </w:pPr>
            <w:r w:rsidRPr="00FC518E">
              <w:rPr>
                <w:rFonts w:ascii="Times New Roman" w:hAnsi="Times New Roman" w:cs="Times New Roman"/>
                <w:lang w:val="uk-UA"/>
              </w:rPr>
              <w:t xml:space="preserve">Вказані пропозиції будуть розглянуті додатково під час внесення змін до відповідних </w:t>
            </w:r>
            <w:proofErr w:type="spellStart"/>
            <w:r w:rsidRPr="00FC518E">
              <w:rPr>
                <w:rFonts w:ascii="Times New Roman" w:hAnsi="Times New Roman" w:cs="Times New Roman"/>
                <w:lang w:val="uk-UA"/>
              </w:rPr>
              <w:t>Методик</w:t>
            </w:r>
            <w:proofErr w:type="spellEnd"/>
          </w:p>
        </w:tc>
      </w:tr>
    </w:tbl>
    <w:p w:rsidR="00BE2449" w:rsidRDefault="00BE2449" w:rsidP="009D4D7D">
      <w:pPr>
        <w:shd w:val="clear" w:color="auto" w:fill="FFFFFF"/>
        <w:spacing w:after="0" w:line="240" w:lineRule="auto"/>
        <w:jc w:val="both"/>
        <w:rPr>
          <w:rFonts w:ascii="Times New Roman" w:eastAsia="Times New Roman" w:hAnsi="Times New Roman"/>
          <w:sz w:val="24"/>
          <w:szCs w:val="24"/>
          <w:lang w:eastAsia="uk-UA"/>
        </w:rPr>
      </w:pPr>
    </w:p>
    <w:sectPr w:rsidR="00BE2449" w:rsidSect="009541B0">
      <w:headerReference w:type="default" r:id="rId8"/>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C0D" w:rsidRDefault="00C82C0D" w:rsidP="0035327B">
      <w:pPr>
        <w:spacing w:after="0" w:line="240" w:lineRule="auto"/>
      </w:pPr>
      <w:r>
        <w:separator/>
      </w:r>
    </w:p>
  </w:endnote>
  <w:endnote w:type="continuationSeparator" w:id="0">
    <w:p w:rsidR="00C82C0D" w:rsidRDefault="00C82C0D"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C0D" w:rsidRDefault="00C82C0D" w:rsidP="0035327B">
      <w:pPr>
        <w:spacing w:after="0" w:line="240" w:lineRule="auto"/>
      </w:pPr>
      <w:r>
        <w:separator/>
      </w:r>
    </w:p>
  </w:footnote>
  <w:footnote w:type="continuationSeparator" w:id="0">
    <w:p w:rsidR="00C82C0D" w:rsidRDefault="00C82C0D" w:rsidP="0035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6C" w:rsidRDefault="00271B6C" w:rsidP="0023386A">
    <w:pPr>
      <w:pStyle w:val="ab"/>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00E30B9E">
      <w:rPr>
        <w:rFonts w:ascii="Times New Roman" w:hAnsi="Times New Roman"/>
        <w:noProof/>
        <w:sz w:val="20"/>
        <w:szCs w:val="20"/>
      </w:rPr>
      <w:t>30</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4C"/>
    <w:rsid w:val="00002AB6"/>
    <w:rsid w:val="00012D47"/>
    <w:rsid w:val="00014DC6"/>
    <w:rsid w:val="00016DEE"/>
    <w:rsid w:val="00022D0F"/>
    <w:rsid w:val="00023897"/>
    <w:rsid w:val="00026EB2"/>
    <w:rsid w:val="000316CD"/>
    <w:rsid w:val="00031A5A"/>
    <w:rsid w:val="000339C1"/>
    <w:rsid w:val="000352CF"/>
    <w:rsid w:val="000353BC"/>
    <w:rsid w:val="000355B8"/>
    <w:rsid w:val="00037F39"/>
    <w:rsid w:val="00046E2C"/>
    <w:rsid w:val="00051262"/>
    <w:rsid w:val="00053EA0"/>
    <w:rsid w:val="0006062E"/>
    <w:rsid w:val="00061560"/>
    <w:rsid w:val="00061E4B"/>
    <w:rsid w:val="00062B52"/>
    <w:rsid w:val="0006584E"/>
    <w:rsid w:val="0006637E"/>
    <w:rsid w:val="00073DF0"/>
    <w:rsid w:val="0007450E"/>
    <w:rsid w:val="0007775D"/>
    <w:rsid w:val="00080C6C"/>
    <w:rsid w:val="00080F94"/>
    <w:rsid w:val="00081903"/>
    <w:rsid w:val="00085DB5"/>
    <w:rsid w:val="00087CFB"/>
    <w:rsid w:val="00090E9F"/>
    <w:rsid w:val="00095390"/>
    <w:rsid w:val="000A046A"/>
    <w:rsid w:val="000A09F1"/>
    <w:rsid w:val="000A0A15"/>
    <w:rsid w:val="000A16AB"/>
    <w:rsid w:val="000A514C"/>
    <w:rsid w:val="000A5712"/>
    <w:rsid w:val="000A58EC"/>
    <w:rsid w:val="000A65CF"/>
    <w:rsid w:val="000A751E"/>
    <w:rsid w:val="000A7C0C"/>
    <w:rsid w:val="000A7DAC"/>
    <w:rsid w:val="000B023B"/>
    <w:rsid w:val="000B2958"/>
    <w:rsid w:val="000B2D1C"/>
    <w:rsid w:val="000B4FAC"/>
    <w:rsid w:val="000B5360"/>
    <w:rsid w:val="000B74B1"/>
    <w:rsid w:val="000C056A"/>
    <w:rsid w:val="000C4440"/>
    <w:rsid w:val="000C7812"/>
    <w:rsid w:val="000C7A95"/>
    <w:rsid w:val="000C7EF4"/>
    <w:rsid w:val="000D443C"/>
    <w:rsid w:val="000D58C0"/>
    <w:rsid w:val="000E253E"/>
    <w:rsid w:val="000E525B"/>
    <w:rsid w:val="000F0F76"/>
    <w:rsid w:val="000F21B9"/>
    <w:rsid w:val="000F6500"/>
    <w:rsid w:val="00101F66"/>
    <w:rsid w:val="001036ED"/>
    <w:rsid w:val="00104696"/>
    <w:rsid w:val="001060E3"/>
    <w:rsid w:val="0011065C"/>
    <w:rsid w:val="001138FB"/>
    <w:rsid w:val="00116242"/>
    <w:rsid w:val="001164A7"/>
    <w:rsid w:val="00120BD4"/>
    <w:rsid w:val="001248E2"/>
    <w:rsid w:val="00126415"/>
    <w:rsid w:val="00126D8E"/>
    <w:rsid w:val="00130A3C"/>
    <w:rsid w:val="0013622F"/>
    <w:rsid w:val="00136B1E"/>
    <w:rsid w:val="001375C2"/>
    <w:rsid w:val="001378F6"/>
    <w:rsid w:val="00140665"/>
    <w:rsid w:val="00141929"/>
    <w:rsid w:val="0014573E"/>
    <w:rsid w:val="00161364"/>
    <w:rsid w:val="00161DD0"/>
    <w:rsid w:val="00174727"/>
    <w:rsid w:val="00185100"/>
    <w:rsid w:val="00194789"/>
    <w:rsid w:val="001961F9"/>
    <w:rsid w:val="00197C69"/>
    <w:rsid w:val="001A368D"/>
    <w:rsid w:val="001B0F72"/>
    <w:rsid w:val="001B68F1"/>
    <w:rsid w:val="001C0768"/>
    <w:rsid w:val="001D1B33"/>
    <w:rsid w:val="001D4DA4"/>
    <w:rsid w:val="001E00AA"/>
    <w:rsid w:val="001E096C"/>
    <w:rsid w:val="001E0FBC"/>
    <w:rsid w:val="001E2446"/>
    <w:rsid w:val="001F28E8"/>
    <w:rsid w:val="001F40BC"/>
    <w:rsid w:val="001F5297"/>
    <w:rsid w:val="002030C6"/>
    <w:rsid w:val="00204CBB"/>
    <w:rsid w:val="00204CC2"/>
    <w:rsid w:val="00205A0D"/>
    <w:rsid w:val="00206498"/>
    <w:rsid w:val="0021006A"/>
    <w:rsid w:val="00212CC0"/>
    <w:rsid w:val="00212FFE"/>
    <w:rsid w:val="002148CD"/>
    <w:rsid w:val="00215EFD"/>
    <w:rsid w:val="00221FA7"/>
    <w:rsid w:val="00222496"/>
    <w:rsid w:val="0022264F"/>
    <w:rsid w:val="00222AFD"/>
    <w:rsid w:val="00226330"/>
    <w:rsid w:val="002277DB"/>
    <w:rsid w:val="002300D9"/>
    <w:rsid w:val="00230AAB"/>
    <w:rsid w:val="0023386A"/>
    <w:rsid w:val="0024197C"/>
    <w:rsid w:val="00242941"/>
    <w:rsid w:val="00243B4F"/>
    <w:rsid w:val="0024428B"/>
    <w:rsid w:val="0024754E"/>
    <w:rsid w:val="00256AC8"/>
    <w:rsid w:val="002579C8"/>
    <w:rsid w:val="00260DC8"/>
    <w:rsid w:val="00261661"/>
    <w:rsid w:val="00262D27"/>
    <w:rsid w:val="002647DD"/>
    <w:rsid w:val="00266DA0"/>
    <w:rsid w:val="00267C9D"/>
    <w:rsid w:val="00270AC0"/>
    <w:rsid w:val="002718C8"/>
    <w:rsid w:val="00271B6C"/>
    <w:rsid w:val="00272867"/>
    <w:rsid w:val="00282E0B"/>
    <w:rsid w:val="00283293"/>
    <w:rsid w:val="002832AF"/>
    <w:rsid w:val="00283671"/>
    <w:rsid w:val="002840D3"/>
    <w:rsid w:val="00291D3E"/>
    <w:rsid w:val="002951DC"/>
    <w:rsid w:val="002963ED"/>
    <w:rsid w:val="002A7412"/>
    <w:rsid w:val="002A75E9"/>
    <w:rsid w:val="002B378B"/>
    <w:rsid w:val="002B43E6"/>
    <w:rsid w:val="002B7F49"/>
    <w:rsid w:val="002C12F2"/>
    <w:rsid w:val="002C1F2D"/>
    <w:rsid w:val="002C369E"/>
    <w:rsid w:val="002C605A"/>
    <w:rsid w:val="002C7BE1"/>
    <w:rsid w:val="002D26D0"/>
    <w:rsid w:val="002D7E84"/>
    <w:rsid w:val="002E5682"/>
    <w:rsid w:val="002F042E"/>
    <w:rsid w:val="002F2EC0"/>
    <w:rsid w:val="0030027A"/>
    <w:rsid w:val="00302410"/>
    <w:rsid w:val="00303701"/>
    <w:rsid w:val="00305035"/>
    <w:rsid w:val="00310252"/>
    <w:rsid w:val="00310E71"/>
    <w:rsid w:val="0031101B"/>
    <w:rsid w:val="0031173B"/>
    <w:rsid w:val="00312036"/>
    <w:rsid w:val="00325329"/>
    <w:rsid w:val="00331128"/>
    <w:rsid w:val="003313C7"/>
    <w:rsid w:val="00331756"/>
    <w:rsid w:val="003329CB"/>
    <w:rsid w:val="003335B4"/>
    <w:rsid w:val="003342F7"/>
    <w:rsid w:val="00337CDA"/>
    <w:rsid w:val="0034216B"/>
    <w:rsid w:val="003433EE"/>
    <w:rsid w:val="00347899"/>
    <w:rsid w:val="00353176"/>
    <w:rsid w:val="0035327B"/>
    <w:rsid w:val="00355797"/>
    <w:rsid w:val="0035743F"/>
    <w:rsid w:val="00357E04"/>
    <w:rsid w:val="003603A7"/>
    <w:rsid w:val="0036113D"/>
    <w:rsid w:val="0036191A"/>
    <w:rsid w:val="003624E4"/>
    <w:rsid w:val="003626FB"/>
    <w:rsid w:val="00364586"/>
    <w:rsid w:val="00364C20"/>
    <w:rsid w:val="003663CF"/>
    <w:rsid w:val="00374494"/>
    <w:rsid w:val="00380A38"/>
    <w:rsid w:val="00380DA5"/>
    <w:rsid w:val="003818E9"/>
    <w:rsid w:val="00386374"/>
    <w:rsid w:val="003905B1"/>
    <w:rsid w:val="00392886"/>
    <w:rsid w:val="003A0D2B"/>
    <w:rsid w:val="003A4380"/>
    <w:rsid w:val="003A48DF"/>
    <w:rsid w:val="003A6DC3"/>
    <w:rsid w:val="003A79C0"/>
    <w:rsid w:val="003B1095"/>
    <w:rsid w:val="003B1FD4"/>
    <w:rsid w:val="003B3E51"/>
    <w:rsid w:val="003B5690"/>
    <w:rsid w:val="003C0122"/>
    <w:rsid w:val="003C34AA"/>
    <w:rsid w:val="003C3EEE"/>
    <w:rsid w:val="003C618F"/>
    <w:rsid w:val="003D0332"/>
    <w:rsid w:val="003D1131"/>
    <w:rsid w:val="003D3452"/>
    <w:rsid w:val="003D471E"/>
    <w:rsid w:val="003E0241"/>
    <w:rsid w:val="003E3A32"/>
    <w:rsid w:val="003E622A"/>
    <w:rsid w:val="003E6914"/>
    <w:rsid w:val="003F3D68"/>
    <w:rsid w:val="00405EF5"/>
    <w:rsid w:val="0041473E"/>
    <w:rsid w:val="00414EFD"/>
    <w:rsid w:val="00415209"/>
    <w:rsid w:val="00415730"/>
    <w:rsid w:val="00431621"/>
    <w:rsid w:val="004364C7"/>
    <w:rsid w:val="004406D6"/>
    <w:rsid w:val="00443BEC"/>
    <w:rsid w:val="0044787B"/>
    <w:rsid w:val="00447964"/>
    <w:rsid w:val="00456340"/>
    <w:rsid w:val="00467306"/>
    <w:rsid w:val="00467A54"/>
    <w:rsid w:val="00471039"/>
    <w:rsid w:val="004765A9"/>
    <w:rsid w:val="00476994"/>
    <w:rsid w:val="00476CB4"/>
    <w:rsid w:val="004835BB"/>
    <w:rsid w:val="0049591B"/>
    <w:rsid w:val="004A3A0B"/>
    <w:rsid w:val="004A5470"/>
    <w:rsid w:val="004A6173"/>
    <w:rsid w:val="004A67BE"/>
    <w:rsid w:val="004B218B"/>
    <w:rsid w:val="004B7339"/>
    <w:rsid w:val="004C050B"/>
    <w:rsid w:val="004C1CA4"/>
    <w:rsid w:val="004C2327"/>
    <w:rsid w:val="004C4678"/>
    <w:rsid w:val="004C68AD"/>
    <w:rsid w:val="004C7A8F"/>
    <w:rsid w:val="004D0499"/>
    <w:rsid w:val="004D2250"/>
    <w:rsid w:val="004D530F"/>
    <w:rsid w:val="004E24D0"/>
    <w:rsid w:val="004E2FF9"/>
    <w:rsid w:val="004E38AD"/>
    <w:rsid w:val="004E6E91"/>
    <w:rsid w:val="004E7F2A"/>
    <w:rsid w:val="004F33DF"/>
    <w:rsid w:val="004F5E9C"/>
    <w:rsid w:val="004F7E37"/>
    <w:rsid w:val="005026AE"/>
    <w:rsid w:val="00505267"/>
    <w:rsid w:val="00507450"/>
    <w:rsid w:val="005119AC"/>
    <w:rsid w:val="00511E76"/>
    <w:rsid w:val="005142BA"/>
    <w:rsid w:val="00515B63"/>
    <w:rsid w:val="00520A6D"/>
    <w:rsid w:val="00521DE9"/>
    <w:rsid w:val="00522DDA"/>
    <w:rsid w:val="005233F8"/>
    <w:rsid w:val="00524610"/>
    <w:rsid w:val="0052609F"/>
    <w:rsid w:val="005275F0"/>
    <w:rsid w:val="005318CC"/>
    <w:rsid w:val="005337DD"/>
    <w:rsid w:val="00534128"/>
    <w:rsid w:val="005356F0"/>
    <w:rsid w:val="005405AF"/>
    <w:rsid w:val="00543BE0"/>
    <w:rsid w:val="00547955"/>
    <w:rsid w:val="00551ADB"/>
    <w:rsid w:val="00554424"/>
    <w:rsid w:val="00562C80"/>
    <w:rsid w:val="005644AB"/>
    <w:rsid w:val="0057032B"/>
    <w:rsid w:val="005704EA"/>
    <w:rsid w:val="00570DEF"/>
    <w:rsid w:val="0057354E"/>
    <w:rsid w:val="00575C89"/>
    <w:rsid w:val="00586EFE"/>
    <w:rsid w:val="00593596"/>
    <w:rsid w:val="00593DC1"/>
    <w:rsid w:val="005A49D4"/>
    <w:rsid w:val="005A7D83"/>
    <w:rsid w:val="005B0870"/>
    <w:rsid w:val="005B4FD5"/>
    <w:rsid w:val="005B6A3E"/>
    <w:rsid w:val="005D2A68"/>
    <w:rsid w:val="005E4E72"/>
    <w:rsid w:val="005E76BB"/>
    <w:rsid w:val="005F2C1C"/>
    <w:rsid w:val="005F6EBA"/>
    <w:rsid w:val="00600AC1"/>
    <w:rsid w:val="00601E2A"/>
    <w:rsid w:val="00603536"/>
    <w:rsid w:val="00604589"/>
    <w:rsid w:val="006054C0"/>
    <w:rsid w:val="006102A8"/>
    <w:rsid w:val="006133F0"/>
    <w:rsid w:val="00615071"/>
    <w:rsid w:val="00620434"/>
    <w:rsid w:val="0062072B"/>
    <w:rsid w:val="006233E0"/>
    <w:rsid w:val="0063254A"/>
    <w:rsid w:val="00633D6F"/>
    <w:rsid w:val="006362B1"/>
    <w:rsid w:val="00636609"/>
    <w:rsid w:val="00642FA4"/>
    <w:rsid w:val="006431E0"/>
    <w:rsid w:val="0064503F"/>
    <w:rsid w:val="006464CD"/>
    <w:rsid w:val="006568FB"/>
    <w:rsid w:val="006620E2"/>
    <w:rsid w:val="00662516"/>
    <w:rsid w:val="00662BF6"/>
    <w:rsid w:val="00666419"/>
    <w:rsid w:val="006708FB"/>
    <w:rsid w:val="0067182B"/>
    <w:rsid w:val="00673D69"/>
    <w:rsid w:val="00681148"/>
    <w:rsid w:val="00681157"/>
    <w:rsid w:val="006857F5"/>
    <w:rsid w:val="00687055"/>
    <w:rsid w:val="0068712D"/>
    <w:rsid w:val="00690879"/>
    <w:rsid w:val="00695DA7"/>
    <w:rsid w:val="00697E4F"/>
    <w:rsid w:val="006A1E67"/>
    <w:rsid w:val="006A1EFB"/>
    <w:rsid w:val="006A3A27"/>
    <w:rsid w:val="006A45CA"/>
    <w:rsid w:val="006A481E"/>
    <w:rsid w:val="006A667C"/>
    <w:rsid w:val="006A68C0"/>
    <w:rsid w:val="006A6D5A"/>
    <w:rsid w:val="006B0101"/>
    <w:rsid w:val="006B373A"/>
    <w:rsid w:val="006B4C53"/>
    <w:rsid w:val="006C1B2D"/>
    <w:rsid w:val="006C28E2"/>
    <w:rsid w:val="006C37D9"/>
    <w:rsid w:val="006C5ADD"/>
    <w:rsid w:val="006C6F91"/>
    <w:rsid w:val="006D3CDE"/>
    <w:rsid w:val="006D492C"/>
    <w:rsid w:val="006D55D4"/>
    <w:rsid w:val="006D5D5C"/>
    <w:rsid w:val="006E2EC0"/>
    <w:rsid w:val="006E6153"/>
    <w:rsid w:val="006E6F03"/>
    <w:rsid w:val="006E7FED"/>
    <w:rsid w:val="006F16C9"/>
    <w:rsid w:val="00704265"/>
    <w:rsid w:val="007066A0"/>
    <w:rsid w:val="007156FA"/>
    <w:rsid w:val="007157CE"/>
    <w:rsid w:val="00725A4F"/>
    <w:rsid w:val="007310B7"/>
    <w:rsid w:val="00734660"/>
    <w:rsid w:val="00742AC2"/>
    <w:rsid w:val="00743F55"/>
    <w:rsid w:val="00744E16"/>
    <w:rsid w:val="0075068C"/>
    <w:rsid w:val="00754960"/>
    <w:rsid w:val="0075572B"/>
    <w:rsid w:val="00756AC4"/>
    <w:rsid w:val="007610B0"/>
    <w:rsid w:val="00763DE5"/>
    <w:rsid w:val="00765989"/>
    <w:rsid w:val="0076731C"/>
    <w:rsid w:val="00770252"/>
    <w:rsid w:val="00772750"/>
    <w:rsid w:val="007825CC"/>
    <w:rsid w:val="007839F3"/>
    <w:rsid w:val="0078570B"/>
    <w:rsid w:val="00787C7B"/>
    <w:rsid w:val="0079214A"/>
    <w:rsid w:val="00792F69"/>
    <w:rsid w:val="00794089"/>
    <w:rsid w:val="00794488"/>
    <w:rsid w:val="007A0D0C"/>
    <w:rsid w:val="007A6B0B"/>
    <w:rsid w:val="007B3677"/>
    <w:rsid w:val="007B704B"/>
    <w:rsid w:val="007C0A31"/>
    <w:rsid w:val="007C0F51"/>
    <w:rsid w:val="007C670A"/>
    <w:rsid w:val="007C769A"/>
    <w:rsid w:val="007C7D2D"/>
    <w:rsid w:val="007D7404"/>
    <w:rsid w:val="007E22E3"/>
    <w:rsid w:val="007E70F7"/>
    <w:rsid w:val="007F3BE5"/>
    <w:rsid w:val="00803014"/>
    <w:rsid w:val="00807552"/>
    <w:rsid w:val="00810197"/>
    <w:rsid w:val="00810B3E"/>
    <w:rsid w:val="00815283"/>
    <w:rsid w:val="00816F56"/>
    <w:rsid w:val="008213F7"/>
    <w:rsid w:val="00827DE5"/>
    <w:rsid w:val="00831AF8"/>
    <w:rsid w:val="00832846"/>
    <w:rsid w:val="00832CA2"/>
    <w:rsid w:val="0084440B"/>
    <w:rsid w:val="0084617E"/>
    <w:rsid w:val="00846C9D"/>
    <w:rsid w:val="008524B3"/>
    <w:rsid w:val="008556CE"/>
    <w:rsid w:val="008564E9"/>
    <w:rsid w:val="00856811"/>
    <w:rsid w:val="00856857"/>
    <w:rsid w:val="00857570"/>
    <w:rsid w:val="00862F73"/>
    <w:rsid w:val="00862F82"/>
    <w:rsid w:val="00880172"/>
    <w:rsid w:val="00885084"/>
    <w:rsid w:val="0088638A"/>
    <w:rsid w:val="00887D28"/>
    <w:rsid w:val="008926AD"/>
    <w:rsid w:val="0089465F"/>
    <w:rsid w:val="00895154"/>
    <w:rsid w:val="0089729C"/>
    <w:rsid w:val="008A0BF4"/>
    <w:rsid w:val="008A6208"/>
    <w:rsid w:val="008B0FD0"/>
    <w:rsid w:val="008B3E4F"/>
    <w:rsid w:val="008B72EC"/>
    <w:rsid w:val="008B7E98"/>
    <w:rsid w:val="008C337A"/>
    <w:rsid w:val="008C684A"/>
    <w:rsid w:val="008C6C45"/>
    <w:rsid w:val="008C74D8"/>
    <w:rsid w:val="008D0BCD"/>
    <w:rsid w:val="008D107D"/>
    <w:rsid w:val="008D355A"/>
    <w:rsid w:val="008D4C99"/>
    <w:rsid w:val="008E4612"/>
    <w:rsid w:val="008F2C12"/>
    <w:rsid w:val="008F76FD"/>
    <w:rsid w:val="0090121C"/>
    <w:rsid w:val="00901B90"/>
    <w:rsid w:val="009035F8"/>
    <w:rsid w:val="0090550F"/>
    <w:rsid w:val="00906C5A"/>
    <w:rsid w:val="00913EAB"/>
    <w:rsid w:val="00913F99"/>
    <w:rsid w:val="00916672"/>
    <w:rsid w:val="00917013"/>
    <w:rsid w:val="00921590"/>
    <w:rsid w:val="00924287"/>
    <w:rsid w:val="00924610"/>
    <w:rsid w:val="0092671E"/>
    <w:rsid w:val="00931D06"/>
    <w:rsid w:val="00933287"/>
    <w:rsid w:val="00940736"/>
    <w:rsid w:val="0094578B"/>
    <w:rsid w:val="00950BB7"/>
    <w:rsid w:val="009541B0"/>
    <w:rsid w:val="009609AA"/>
    <w:rsid w:val="009633D2"/>
    <w:rsid w:val="00965770"/>
    <w:rsid w:val="009660C8"/>
    <w:rsid w:val="00967C3C"/>
    <w:rsid w:val="00971FFB"/>
    <w:rsid w:val="00972448"/>
    <w:rsid w:val="00975E0C"/>
    <w:rsid w:val="00986487"/>
    <w:rsid w:val="00986F27"/>
    <w:rsid w:val="009875AE"/>
    <w:rsid w:val="0099005C"/>
    <w:rsid w:val="0099162D"/>
    <w:rsid w:val="00993440"/>
    <w:rsid w:val="00996F04"/>
    <w:rsid w:val="009A1104"/>
    <w:rsid w:val="009A32DF"/>
    <w:rsid w:val="009A3526"/>
    <w:rsid w:val="009A44BD"/>
    <w:rsid w:val="009A4C6A"/>
    <w:rsid w:val="009A5441"/>
    <w:rsid w:val="009A70AD"/>
    <w:rsid w:val="009A774C"/>
    <w:rsid w:val="009B0664"/>
    <w:rsid w:val="009B2EF9"/>
    <w:rsid w:val="009C11FD"/>
    <w:rsid w:val="009C177B"/>
    <w:rsid w:val="009C1A71"/>
    <w:rsid w:val="009C273A"/>
    <w:rsid w:val="009C2F62"/>
    <w:rsid w:val="009C35CC"/>
    <w:rsid w:val="009C5BD4"/>
    <w:rsid w:val="009C7931"/>
    <w:rsid w:val="009D13CE"/>
    <w:rsid w:val="009D17F6"/>
    <w:rsid w:val="009D1969"/>
    <w:rsid w:val="009D3822"/>
    <w:rsid w:val="009D4D7D"/>
    <w:rsid w:val="009D5AF6"/>
    <w:rsid w:val="009E24DA"/>
    <w:rsid w:val="009F0938"/>
    <w:rsid w:val="009F0EDD"/>
    <w:rsid w:val="009F3BFD"/>
    <w:rsid w:val="009F48D4"/>
    <w:rsid w:val="00A016BA"/>
    <w:rsid w:val="00A03306"/>
    <w:rsid w:val="00A05C62"/>
    <w:rsid w:val="00A067DB"/>
    <w:rsid w:val="00A10313"/>
    <w:rsid w:val="00A12AC9"/>
    <w:rsid w:val="00A13C39"/>
    <w:rsid w:val="00A2105C"/>
    <w:rsid w:val="00A22C8B"/>
    <w:rsid w:val="00A24466"/>
    <w:rsid w:val="00A251C1"/>
    <w:rsid w:val="00A25292"/>
    <w:rsid w:val="00A27663"/>
    <w:rsid w:val="00A32202"/>
    <w:rsid w:val="00A3365D"/>
    <w:rsid w:val="00A34687"/>
    <w:rsid w:val="00A41566"/>
    <w:rsid w:val="00A429C8"/>
    <w:rsid w:val="00A42C4F"/>
    <w:rsid w:val="00A473CC"/>
    <w:rsid w:val="00A550D3"/>
    <w:rsid w:val="00A57963"/>
    <w:rsid w:val="00A7026A"/>
    <w:rsid w:val="00A75B8F"/>
    <w:rsid w:val="00A76827"/>
    <w:rsid w:val="00A80D98"/>
    <w:rsid w:val="00A835E4"/>
    <w:rsid w:val="00A849FC"/>
    <w:rsid w:val="00A855C8"/>
    <w:rsid w:val="00A87071"/>
    <w:rsid w:val="00A90536"/>
    <w:rsid w:val="00A90AF4"/>
    <w:rsid w:val="00A90D71"/>
    <w:rsid w:val="00A92153"/>
    <w:rsid w:val="00A93B41"/>
    <w:rsid w:val="00A9764A"/>
    <w:rsid w:val="00A97C82"/>
    <w:rsid w:val="00AA2262"/>
    <w:rsid w:val="00AA5C0B"/>
    <w:rsid w:val="00AA6A72"/>
    <w:rsid w:val="00AA7A7F"/>
    <w:rsid w:val="00AB10DF"/>
    <w:rsid w:val="00AB290D"/>
    <w:rsid w:val="00AB2B2E"/>
    <w:rsid w:val="00AC0C8B"/>
    <w:rsid w:val="00AC0F20"/>
    <w:rsid w:val="00AC2D45"/>
    <w:rsid w:val="00AC3EDF"/>
    <w:rsid w:val="00AC5A51"/>
    <w:rsid w:val="00AC5AE2"/>
    <w:rsid w:val="00AD0703"/>
    <w:rsid w:val="00AD0B68"/>
    <w:rsid w:val="00AD3C4E"/>
    <w:rsid w:val="00AD736C"/>
    <w:rsid w:val="00AD7DAC"/>
    <w:rsid w:val="00AE0445"/>
    <w:rsid w:val="00AE298E"/>
    <w:rsid w:val="00AE3771"/>
    <w:rsid w:val="00AE720D"/>
    <w:rsid w:val="00AF0473"/>
    <w:rsid w:val="00AF0C65"/>
    <w:rsid w:val="00AF0E7C"/>
    <w:rsid w:val="00AF289A"/>
    <w:rsid w:val="00AF3ED7"/>
    <w:rsid w:val="00AF4B21"/>
    <w:rsid w:val="00AF4C04"/>
    <w:rsid w:val="00AF68E6"/>
    <w:rsid w:val="00B0046E"/>
    <w:rsid w:val="00B03115"/>
    <w:rsid w:val="00B04999"/>
    <w:rsid w:val="00B063FC"/>
    <w:rsid w:val="00B06D0C"/>
    <w:rsid w:val="00B07564"/>
    <w:rsid w:val="00B11DE8"/>
    <w:rsid w:val="00B15A1E"/>
    <w:rsid w:val="00B15B18"/>
    <w:rsid w:val="00B176E1"/>
    <w:rsid w:val="00B3039D"/>
    <w:rsid w:val="00B36336"/>
    <w:rsid w:val="00B36E31"/>
    <w:rsid w:val="00B475D7"/>
    <w:rsid w:val="00B52D05"/>
    <w:rsid w:val="00B535DC"/>
    <w:rsid w:val="00B6198F"/>
    <w:rsid w:val="00B659F3"/>
    <w:rsid w:val="00B71332"/>
    <w:rsid w:val="00B71711"/>
    <w:rsid w:val="00B71ADF"/>
    <w:rsid w:val="00B72819"/>
    <w:rsid w:val="00B73891"/>
    <w:rsid w:val="00B75547"/>
    <w:rsid w:val="00B80A6D"/>
    <w:rsid w:val="00B84259"/>
    <w:rsid w:val="00B86D89"/>
    <w:rsid w:val="00B9062C"/>
    <w:rsid w:val="00B92C21"/>
    <w:rsid w:val="00B96F2E"/>
    <w:rsid w:val="00BA0705"/>
    <w:rsid w:val="00BA2112"/>
    <w:rsid w:val="00BA25AC"/>
    <w:rsid w:val="00BA2A89"/>
    <w:rsid w:val="00BA6B8C"/>
    <w:rsid w:val="00BA702F"/>
    <w:rsid w:val="00BA776C"/>
    <w:rsid w:val="00BB48F4"/>
    <w:rsid w:val="00BB4EAA"/>
    <w:rsid w:val="00BC2BD9"/>
    <w:rsid w:val="00BD0442"/>
    <w:rsid w:val="00BD2177"/>
    <w:rsid w:val="00BD3458"/>
    <w:rsid w:val="00BD38C7"/>
    <w:rsid w:val="00BD51AC"/>
    <w:rsid w:val="00BD7023"/>
    <w:rsid w:val="00BE2449"/>
    <w:rsid w:val="00BE35FC"/>
    <w:rsid w:val="00BF1287"/>
    <w:rsid w:val="00BF4127"/>
    <w:rsid w:val="00BF49BA"/>
    <w:rsid w:val="00BF6096"/>
    <w:rsid w:val="00C10D82"/>
    <w:rsid w:val="00C3108E"/>
    <w:rsid w:val="00C31B55"/>
    <w:rsid w:val="00C37771"/>
    <w:rsid w:val="00C42C4C"/>
    <w:rsid w:val="00C43FAF"/>
    <w:rsid w:val="00C44B3F"/>
    <w:rsid w:val="00C5007F"/>
    <w:rsid w:val="00C502AB"/>
    <w:rsid w:val="00C51B69"/>
    <w:rsid w:val="00C52958"/>
    <w:rsid w:val="00C53EE9"/>
    <w:rsid w:val="00C66BF4"/>
    <w:rsid w:val="00C71970"/>
    <w:rsid w:val="00C80BCA"/>
    <w:rsid w:val="00C82C0D"/>
    <w:rsid w:val="00C83503"/>
    <w:rsid w:val="00C84D3B"/>
    <w:rsid w:val="00C918C8"/>
    <w:rsid w:val="00C91951"/>
    <w:rsid w:val="00C93EDE"/>
    <w:rsid w:val="00C972EF"/>
    <w:rsid w:val="00C9750C"/>
    <w:rsid w:val="00CA514A"/>
    <w:rsid w:val="00CA7CCC"/>
    <w:rsid w:val="00CB6766"/>
    <w:rsid w:val="00CC1C5F"/>
    <w:rsid w:val="00CC1CE3"/>
    <w:rsid w:val="00CD0943"/>
    <w:rsid w:val="00CD1509"/>
    <w:rsid w:val="00CD65D0"/>
    <w:rsid w:val="00CD7230"/>
    <w:rsid w:val="00CE0A7B"/>
    <w:rsid w:val="00CE33B0"/>
    <w:rsid w:val="00CE57A8"/>
    <w:rsid w:val="00CF2CF6"/>
    <w:rsid w:val="00CF5AB1"/>
    <w:rsid w:val="00CF5FAA"/>
    <w:rsid w:val="00D0013B"/>
    <w:rsid w:val="00D01CEE"/>
    <w:rsid w:val="00D049DE"/>
    <w:rsid w:val="00D06BD7"/>
    <w:rsid w:val="00D128B4"/>
    <w:rsid w:val="00D12E44"/>
    <w:rsid w:val="00D1304F"/>
    <w:rsid w:val="00D136BD"/>
    <w:rsid w:val="00D25ED3"/>
    <w:rsid w:val="00D2606E"/>
    <w:rsid w:val="00D4352B"/>
    <w:rsid w:val="00D43DD8"/>
    <w:rsid w:val="00D53A8E"/>
    <w:rsid w:val="00D55D46"/>
    <w:rsid w:val="00D56F5F"/>
    <w:rsid w:val="00D57FCD"/>
    <w:rsid w:val="00D650C8"/>
    <w:rsid w:val="00D657F7"/>
    <w:rsid w:val="00D66B0D"/>
    <w:rsid w:val="00D7315D"/>
    <w:rsid w:val="00D83184"/>
    <w:rsid w:val="00D83D04"/>
    <w:rsid w:val="00D83E74"/>
    <w:rsid w:val="00D8646C"/>
    <w:rsid w:val="00D9408C"/>
    <w:rsid w:val="00D94B5B"/>
    <w:rsid w:val="00D95AE0"/>
    <w:rsid w:val="00DA360F"/>
    <w:rsid w:val="00DA530A"/>
    <w:rsid w:val="00DC153A"/>
    <w:rsid w:val="00DC3A90"/>
    <w:rsid w:val="00DC41EC"/>
    <w:rsid w:val="00DD0679"/>
    <w:rsid w:val="00DD4B64"/>
    <w:rsid w:val="00DD4ECE"/>
    <w:rsid w:val="00DD6EBD"/>
    <w:rsid w:val="00DE2015"/>
    <w:rsid w:val="00DE2414"/>
    <w:rsid w:val="00DE6556"/>
    <w:rsid w:val="00DE6EA6"/>
    <w:rsid w:val="00DE78A2"/>
    <w:rsid w:val="00DF0685"/>
    <w:rsid w:val="00DF16DA"/>
    <w:rsid w:val="00DF2C87"/>
    <w:rsid w:val="00DF51F6"/>
    <w:rsid w:val="00E073F9"/>
    <w:rsid w:val="00E11392"/>
    <w:rsid w:val="00E14748"/>
    <w:rsid w:val="00E14864"/>
    <w:rsid w:val="00E14B5F"/>
    <w:rsid w:val="00E15226"/>
    <w:rsid w:val="00E17D0F"/>
    <w:rsid w:val="00E20097"/>
    <w:rsid w:val="00E21DDF"/>
    <w:rsid w:val="00E25190"/>
    <w:rsid w:val="00E30B9E"/>
    <w:rsid w:val="00E3148F"/>
    <w:rsid w:val="00E3360C"/>
    <w:rsid w:val="00E33B6F"/>
    <w:rsid w:val="00E34C88"/>
    <w:rsid w:val="00E35193"/>
    <w:rsid w:val="00E36125"/>
    <w:rsid w:val="00E46207"/>
    <w:rsid w:val="00E52023"/>
    <w:rsid w:val="00E52281"/>
    <w:rsid w:val="00E533CA"/>
    <w:rsid w:val="00E5349B"/>
    <w:rsid w:val="00E60271"/>
    <w:rsid w:val="00E60E69"/>
    <w:rsid w:val="00E61407"/>
    <w:rsid w:val="00E62814"/>
    <w:rsid w:val="00E75CEA"/>
    <w:rsid w:val="00E76AE1"/>
    <w:rsid w:val="00E76B7A"/>
    <w:rsid w:val="00E76D80"/>
    <w:rsid w:val="00E77588"/>
    <w:rsid w:val="00E775DC"/>
    <w:rsid w:val="00E81F89"/>
    <w:rsid w:val="00E82C80"/>
    <w:rsid w:val="00E8349C"/>
    <w:rsid w:val="00E83CB8"/>
    <w:rsid w:val="00E849D6"/>
    <w:rsid w:val="00E84C60"/>
    <w:rsid w:val="00E87BFE"/>
    <w:rsid w:val="00E92F9B"/>
    <w:rsid w:val="00E96835"/>
    <w:rsid w:val="00EA075C"/>
    <w:rsid w:val="00EA08A4"/>
    <w:rsid w:val="00EA3253"/>
    <w:rsid w:val="00EA4EF9"/>
    <w:rsid w:val="00EA565E"/>
    <w:rsid w:val="00EA7F2C"/>
    <w:rsid w:val="00EB17E5"/>
    <w:rsid w:val="00EB2A1A"/>
    <w:rsid w:val="00EB610D"/>
    <w:rsid w:val="00EB7D9E"/>
    <w:rsid w:val="00EC107C"/>
    <w:rsid w:val="00EC3361"/>
    <w:rsid w:val="00EC66F9"/>
    <w:rsid w:val="00ED2CCF"/>
    <w:rsid w:val="00ED63FE"/>
    <w:rsid w:val="00ED7109"/>
    <w:rsid w:val="00EE056D"/>
    <w:rsid w:val="00EE169C"/>
    <w:rsid w:val="00EE20C0"/>
    <w:rsid w:val="00EE3C71"/>
    <w:rsid w:val="00EE44A4"/>
    <w:rsid w:val="00EF03C4"/>
    <w:rsid w:val="00F07500"/>
    <w:rsid w:val="00F07878"/>
    <w:rsid w:val="00F13510"/>
    <w:rsid w:val="00F1528E"/>
    <w:rsid w:val="00F168D7"/>
    <w:rsid w:val="00F169C2"/>
    <w:rsid w:val="00F201FD"/>
    <w:rsid w:val="00F22D2F"/>
    <w:rsid w:val="00F23B1E"/>
    <w:rsid w:val="00F240A2"/>
    <w:rsid w:val="00F27AAF"/>
    <w:rsid w:val="00F36294"/>
    <w:rsid w:val="00F469E6"/>
    <w:rsid w:val="00F47979"/>
    <w:rsid w:val="00F501F8"/>
    <w:rsid w:val="00F53C26"/>
    <w:rsid w:val="00F55866"/>
    <w:rsid w:val="00F57C4F"/>
    <w:rsid w:val="00F57FB0"/>
    <w:rsid w:val="00F65811"/>
    <w:rsid w:val="00F66CE5"/>
    <w:rsid w:val="00F71810"/>
    <w:rsid w:val="00F748E0"/>
    <w:rsid w:val="00F748E6"/>
    <w:rsid w:val="00F81104"/>
    <w:rsid w:val="00F8500E"/>
    <w:rsid w:val="00F87890"/>
    <w:rsid w:val="00F90397"/>
    <w:rsid w:val="00F95457"/>
    <w:rsid w:val="00F95FBE"/>
    <w:rsid w:val="00FA0905"/>
    <w:rsid w:val="00FA1A4C"/>
    <w:rsid w:val="00FA2C53"/>
    <w:rsid w:val="00FA3958"/>
    <w:rsid w:val="00FA4CFA"/>
    <w:rsid w:val="00FA6714"/>
    <w:rsid w:val="00FA7507"/>
    <w:rsid w:val="00FB4C3F"/>
    <w:rsid w:val="00FB5130"/>
    <w:rsid w:val="00FB68DB"/>
    <w:rsid w:val="00FB6A60"/>
    <w:rsid w:val="00FC518E"/>
    <w:rsid w:val="00FD0D0D"/>
    <w:rsid w:val="00FD5DAE"/>
    <w:rsid w:val="00FE6083"/>
    <w:rsid w:val="00FE65DE"/>
    <w:rsid w:val="00FE6A4C"/>
    <w:rsid w:val="00FF2993"/>
    <w:rsid w:val="00FF3395"/>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2B87"/>
  <w15:chartTrackingRefBased/>
  <w15:docId w15:val="{ECC3D6FE-973F-4504-875B-85E93CC8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5D4"/>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link w:val="a7"/>
    <w:uiPriority w:val="1"/>
    <w:qFormat/>
    <w:rsid w:val="00704265"/>
    <w:rPr>
      <w:sz w:val="22"/>
      <w:szCs w:val="22"/>
      <w:lang w:eastAsia="en-US"/>
    </w:rPr>
  </w:style>
  <w:style w:type="paragraph" w:styleId="a8">
    <w:name w:val="List Paragraph"/>
    <w:basedOn w:val="a"/>
    <w:uiPriority w:val="34"/>
    <w:qFormat/>
    <w:rsid w:val="00BA0705"/>
    <w:pPr>
      <w:spacing w:after="160" w:line="259" w:lineRule="auto"/>
      <w:ind w:left="720"/>
      <w:contextualSpacing/>
    </w:pPr>
    <w:rPr>
      <w:lang w:val="ru-RU"/>
    </w:rPr>
  </w:style>
  <w:style w:type="paragraph" w:styleId="a9">
    <w:name w:val="Balloon Text"/>
    <w:basedOn w:val="a"/>
    <w:link w:val="aa"/>
    <w:uiPriority w:val="99"/>
    <w:semiHidden/>
    <w:unhideWhenUsed/>
    <w:rsid w:val="0035327B"/>
    <w:pPr>
      <w:spacing w:after="0" w:line="240" w:lineRule="auto"/>
    </w:pPr>
    <w:rPr>
      <w:rFonts w:ascii="Tahoma" w:hAnsi="Tahoma" w:cs="Tahoma"/>
      <w:sz w:val="16"/>
      <w:szCs w:val="16"/>
    </w:rPr>
  </w:style>
  <w:style w:type="character" w:customStyle="1" w:styleId="aa">
    <w:name w:val="Текст у виносці Знак"/>
    <w:link w:val="a9"/>
    <w:uiPriority w:val="99"/>
    <w:semiHidden/>
    <w:rsid w:val="0035327B"/>
    <w:rPr>
      <w:rFonts w:ascii="Tahoma" w:hAnsi="Tahoma" w:cs="Tahoma"/>
      <w:sz w:val="16"/>
      <w:szCs w:val="16"/>
      <w:lang w:eastAsia="en-US"/>
    </w:rPr>
  </w:style>
  <w:style w:type="paragraph" w:styleId="ab">
    <w:name w:val="header"/>
    <w:basedOn w:val="a"/>
    <w:link w:val="ac"/>
    <w:uiPriority w:val="99"/>
    <w:unhideWhenUsed/>
    <w:rsid w:val="0035327B"/>
    <w:pPr>
      <w:tabs>
        <w:tab w:val="center" w:pos="4677"/>
        <w:tab w:val="right" w:pos="9355"/>
      </w:tabs>
    </w:pPr>
  </w:style>
  <w:style w:type="character" w:customStyle="1" w:styleId="ac">
    <w:name w:val="Верхній колонтитул Знак"/>
    <w:link w:val="ab"/>
    <w:uiPriority w:val="99"/>
    <w:rsid w:val="0035327B"/>
    <w:rPr>
      <w:sz w:val="22"/>
      <w:szCs w:val="22"/>
      <w:lang w:eastAsia="en-US"/>
    </w:rPr>
  </w:style>
  <w:style w:type="paragraph" w:styleId="ad">
    <w:name w:val="footer"/>
    <w:basedOn w:val="a"/>
    <w:link w:val="ae"/>
    <w:uiPriority w:val="99"/>
    <w:unhideWhenUsed/>
    <w:rsid w:val="0035327B"/>
    <w:pPr>
      <w:tabs>
        <w:tab w:val="center" w:pos="4677"/>
        <w:tab w:val="right" w:pos="9355"/>
      </w:tabs>
    </w:pPr>
  </w:style>
  <w:style w:type="character" w:customStyle="1" w:styleId="ae">
    <w:name w:val="Нижній колонтитул Знак"/>
    <w:link w:val="ad"/>
    <w:uiPriority w:val="99"/>
    <w:rsid w:val="0035327B"/>
    <w:rPr>
      <w:sz w:val="22"/>
      <w:szCs w:val="22"/>
      <w:lang w:eastAsia="en-US"/>
    </w:rPr>
  </w:style>
  <w:style w:type="paragraph" w:styleId="af">
    <w:name w:val="Body Text"/>
    <w:basedOn w:val="a"/>
    <w:link w:val="af0"/>
    <w:uiPriority w:val="99"/>
    <w:unhideWhenUsed/>
    <w:rsid w:val="006054C0"/>
    <w:pPr>
      <w:spacing w:after="120" w:line="259" w:lineRule="auto"/>
    </w:pPr>
  </w:style>
  <w:style w:type="character" w:customStyle="1" w:styleId="af0">
    <w:name w:val="Основний текст Знак"/>
    <w:link w:val="af"/>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1">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2">
    <w:name w:val="annotation reference"/>
    <w:basedOn w:val="a0"/>
    <w:uiPriority w:val="99"/>
    <w:semiHidden/>
    <w:unhideWhenUsed/>
    <w:rsid w:val="009A1104"/>
    <w:rPr>
      <w:sz w:val="16"/>
      <w:szCs w:val="16"/>
    </w:rPr>
  </w:style>
  <w:style w:type="paragraph" w:styleId="af3">
    <w:name w:val="annotation text"/>
    <w:basedOn w:val="a"/>
    <w:link w:val="af4"/>
    <w:uiPriority w:val="99"/>
    <w:semiHidden/>
    <w:unhideWhenUsed/>
    <w:rsid w:val="009A1104"/>
    <w:pPr>
      <w:spacing w:line="240" w:lineRule="auto"/>
    </w:pPr>
    <w:rPr>
      <w:sz w:val="20"/>
      <w:szCs w:val="20"/>
    </w:rPr>
  </w:style>
  <w:style w:type="character" w:customStyle="1" w:styleId="af4">
    <w:name w:val="Текст примітки Знак"/>
    <w:basedOn w:val="a0"/>
    <w:link w:val="af3"/>
    <w:uiPriority w:val="99"/>
    <w:semiHidden/>
    <w:rsid w:val="009A1104"/>
    <w:rPr>
      <w:lang w:eastAsia="en-US"/>
    </w:rPr>
  </w:style>
  <w:style w:type="paragraph" w:styleId="af5">
    <w:name w:val="annotation subject"/>
    <w:basedOn w:val="af3"/>
    <w:next w:val="af3"/>
    <w:link w:val="af6"/>
    <w:uiPriority w:val="99"/>
    <w:semiHidden/>
    <w:unhideWhenUsed/>
    <w:rsid w:val="009A1104"/>
    <w:rPr>
      <w:b/>
      <w:bCs/>
    </w:rPr>
  </w:style>
  <w:style w:type="character" w:customStyle="1" w:styleId="af6">
    <w:name w:val="Тема примітки Знак"/>
    <w:basedOn w:val="af4"/>
    <w:link w:val="af5"/>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7">
    <w:name w:val="Strong"/>
    <w:uiPriority w:val="22"/>
    <w:qFormat/>
    <w:rsid w:val="00AC0C8B"/>
    <w:rPr>
      <w:b/>
      <w:bCs/>
    </w:rPr>
  </w:style>
  <w:style w:type="paragraph" w:styleId="af8">
    <w:name w:val="Title"/>
    <w:basedOn w:val="a"/>
    <w:link w:val="af9"/>
    <w:qFormat/>
    <w:rsid w:val="003C618F"/>
    <w:pPr>
      <w:spacing w:after="0" w:line="240" w:lineRule="auto"/>
      <w:jc w:val="center"/>
    </w:pPr>
    <w:rPr>
      <w:rFonts w:ascii="Times New Roman" w:eastAsia="Times New Roman" w:hAnsi="Times New Roman"/>
      <w:b/>
      <w:bCs/>
      <w:sz w:val="28"/>
      <w:szCs w:val="24"/>
      <w:lang w:eastAsia="ru-RU"/>
    </w:rPr>
  </w:style>
  <w:style w:type="character" w:customStyle="1" w:styleId="af9">
    <w:name w:val="Назва Знак"/>
    <w:basedOn w:val="a0"/>
    <w:link w:val="af8"/>
    <w:rsid w:val="003C618F"/>
    <w:rPr>
      <w:rFonts w:ascii="Times New Roman" w:eastAsia="Times New Roman" w:hAnsi="Times New Roman"/>
      <w:b/>
      <w:bCs/>
      <w:sz w:val="28"/>
      <w:szCs w:val="24"/>
      <w:lang w:eastAsia="ru-RU"/>
    </w:rPr>
  </w:style>
  <w:style w:type="paragraph" w:customStyle="1" w:styleId="afa">
    <w:name w:val="Вміст таблиці"/>
    <w:basedOn w:val="a"/>
    <w:qFormat/>
    <w:rsid w:val="005356F0"/>
    <w:pPr>
      <w:suppressLineNumbers/>
      <w:suppressAutoHyphens/>
      <w:spacing w:after="0" w:line="240" w:lineRule="auto"/>
    </w:pPr>
    <w:rPr>
      <w:rFonts w:ascii="Liberation Serif" w:eastAsia="Noto Sans CJK SC" w:hAnsi="Liberation Serif" w:cs="Lohit Devanagari"/>
      <w:kern w:val="2"/>
      <w:sz w:val="24"/>
      <w:szCs w:val="24"/>
      <w:lang w:eastAsia="zh-CN" w:bidi="hi-IN"/>
    </w:rPr>
  </w:style>
  <w:style w:type="character" w:customStyle="1" w:styleId="a7">
    <w:name w:val="Без інтервалів Знак"/>
    <w:link w:val="a6"/>
    <w:uiPriority w:val="1"/>
    <w:locked/>
    <w:rsid w:val="000355B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F5BE-AF19-4CE9-A121-F5C291155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12621</Words>
  <Characters>7195</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19777</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Григорій Туленко</cp:lastModifiedBy>
  <cp:revision>39</cp:revision>
  <cp:lastPrinted>2022-02-23T14:57:00Z</cp:lastPrinted>
  <dcterms:created xsi:type="dcterms:W3CDTF">2022-11-07T07:36:00Z</dcterms:created>
  <dcterms:modified xsi:type="dcterms:W3CDTF">2023-12-05T09:40:00Z</dcterms:modified>
</cp:coreProperties>
</file>