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56F16" w14:textId="77777777" w:rsidR="0086196D" w:rsidRPr="0086196D" w:rsidRDefault="00012E15" w:rsidP="0086196D">
      <w:pPr>
        <w:spacing w:after="0"/>
        <w:jc w:val="center"/>
        <w:rPr>
          <w:rFonts w:ascii="Times New Roman" w:hAnsi="Times New Roman" w:cs="Times New Roman"/>
          <w:b/>
          <w:bCs/>
          <w:sz w:val="28"/>
          <w:szCs w:val="28"/>
        </w:rPr>
      </w:pPr>
      <w:r w:rsidRPr="00012E15">
        <w:rPr>
          <w:rFonts w:ascii="Times New Roman" w:hAnsi="Times New Roman" w:cs="Times New Roman"/>
          <w:b/>
          <w:bCs/>
          <w:sz w:val="28"/>
          <w:szCs w:val="28"/>
        </w:rPr>
        <w:t xml:space="preserve">Узагальнені зауваження та пропозиції </w:t>
      </w:r>
      <w:r w:rsidR="0086196D" w:rsidRPr="0086196D">
        <w:rPr>
          <w:rFonts w:ascii="Times New Roman" w:hAnsi="Times New Roman" w:cs="Times New Roman"/>
          <w:b/>
          <w:bCs/>
          <w:sz w:val="28"/>
          <w:szCs w:val="28"/>
        </w:rPr>
        <w:t xml:space="preserve">до </w:t>
      </w:r>
      <w:proofErr w:type="spellStart"/>
      <w:r w:rsidR="0086196D" w:rsidRPr="0086196D">
        <w:rPr>
          <w:rFonts w:ascii="Times New Roman" w:hAnsi="Times New Roman" w:cs="Times New Roman"/>
          <w:b/>
          <w:bCs/>
          <w:sz w:val="28"/>
          <w:szCs w:val="28"/>
        </w:rPr>
        <w:t>проєкту</w:t>
      </w:r>
      <w:proofErr w:type="spellEnd"/>
      <w:r w:rsidR="0086196D" w:rsidRPr="0086196D">
        <w:rPr>
          <w:rFonts w:ascii="Times New Roman" w:hAnsi="Times New Roman" w:cs="Times New Roman"/>
          <w:b/>
          <w:bCs/>
          <w:sz w:val="28"/>
          <w:szCs w:val="28"/>
        </w:rPr>
        <w:t xml:space="preserve"> рішення НКРЕКП, що має ознаки регуляторного </w:t>
      </w:r>
      <w:proofErr w:type="spellStart"/>
      <w:r w:rsidR="0086196D" w:rsidRPr="0086196D">
        <w:rPr>
          <w:rFonts w:ascii="Times New Roman" w:hAnsi="Times New Roman" w:cs="Times New Roman"/>
          <w:b/>
          <w:bCs/>
          <w:sz w:val="28"/>
          <w:szCs w:val="28"/>
        </w:rPr>
        <w:t>акта</w:t>
      </w:r>
      <w:proofErr w:type="spellEnd"/>
      <w:r w:rsidR="0086196D" w:rsidRPr="0086196D">
        <w:rPr>
          <w:rFonts w:ascii="Times New Roman" w:hAnsi="Times New Roman" w:cs="Times New Roman"/>
          <w:b/>
          <w:bCs/>
          <w:sz w:val="28"/>
          <w:szCs w:val="28"/>
        </w:rPr>
        <w:t>, –</w:t>
      </w:r>
    </w:p>
    <w:p w14:paraId="10F35E4F" w14:textId="77777777" w:rsidR="0093749A" w:rsidRDefault="0086196D" w:rsidP="0086196D">
      <w:pPr>
        <w:spacing w:after="0"/>
        <w:jc w:val="center"/>
        <w:rPr>
          <w:rFonts w:ascii="Times New Roman" w:hAnsi="Times New Roman" w:cs="Times New Roman"/>
          <w:b/>
          <w:bCs/>
          <w:sz w:val="28"/>
          <w:szCs w:val="28"/>
        </w:rPr>
      </w:pPr>
      <w:proofErr w:type="spellStart"/>
      <w:r w:rsidRPr="0086196D">
        <w:rPr>
          <w:rFonts w:ascii="Times New Roman" w:hAnsi="Times New Roman" w:cs="Times New Roman"/>
          <w:b/>
          <w:bCs/>
          <w:sz w:val="28"/>
          <w:szCs w:val="28"/>
        </w:rPr>
        <w:t>проєкту</w:t>
      </w:r>
      <w:proofErr w:type="spellEnd"/>
      <w:r w:rsidRPr="0086196D">
        <w:rPr>
          <w:rFonts w:ascii="Times New Roman" w:hAnsi="Times New Roman" w:cs="Times New Roman"/>
          <w:b/>
          <w:bCs/>
          <w:sz w:val="28"/>
          <w:szCs w:val="28"/>
        </w:rPr>
        <w:t xml:space="preserve"> постанови НКРЕКП «Про затвердження Змін до деяких постанов НКРЕ та НКРЕКП»</w:t>
      </w:r>
    </w:p>
    <w:p w14:paraId="6375C2D5" w14:textId="77777777" w:rsidR="0086196D" w:rsidRPr="00CB70B0" w:rsidRDefault="0086196D" w:rsidP="0086196D">
      <w:pPr>
        <w:spacing w:after="0"/>
        <w:jc w:val="center"/>
        <w:rPr>
          <w:rFonts w:ascii="Times New Roman" w:hAnsi="Times New Roman" w:cs="Times New Roman"/>
          <w:b/>
          <w:bCs/>
          <w:sz w:val="28"/>
          <w:szCs w:val="28"/>
        </w:rPr>
      </w:pPr>
    </w:p>
    <w:tbl>
      <w:tblPr>
        <w:tblStyle w:val="a3"/>
        <w:tblW w:w="15168" w:type="dxa"/>
        <w:tblInd w:w="-147" w:type="dxa"/>
        <w:tblLayout w:type="fixed"/>
        <w:tblLook w:val="04A0" w:firstRow="1" w:lastRow="0" w:firstColumn="1" w:lastColumn="0" w:noHBand="0" w:noVBand="1"/>
      </w:tblPr>
      <w:tblGrid>
        <w:gridCol w:w="5387"/>
        <w:gridCol w:w="5387"/>
        <w:gridCol w:w="4394"/>
      </w:tblGrid>
      <w:tr w:rsidR="00012E15" w:rsidRPr="00836BEA" w14:paraId="75BE2E5E" w14:textId="77777777" w:rsidTr="00853FA0">
        <w:tc>
          <w:tcPr>
            <w:tcW w:w="5387" w:type="dxa"/>
          </w:tcPr>
          <w:p w14:paraId="37C03FD1" w14:textId="77777777" w:rsidR="00012E15" w:rsidRPr="00836BEA" w:rsidRDefault="00012E15" w:rsidP="0086196D">
            <w:pPr>
              <w:jc w:val="center"/>
              <w:rPr>
                <w:rFonts w:ascii="Times New Roman" w:hAnsi="Times New Roman" w:cs="Times New Roman"/>
                <w:b/>
                <w:bCs/>
                <w:sz w:val="24"/>
                <w:szCs w:val="24"/>
              </w:rPr>
            </w:pPr>
            <w:bookmarkStart w:id="0" w:name="_Hlk146882108"/>
            <w:r w:rsidRPr="00836BEA">
              <w:rPr>
                <w:rFonts w:ascii="Times New Roman" w:hAnsi="Times New Roman" w:cs="Times New Roman"/>
                <w:b/>
                <w:sz w:val="24"/>
                <w:szCs w:val="24"/>
              </w:rPr>
              <w:t xml:space="preserve">Редакція </w:t>
            </w:r>
            <w:proofErr w:type="spellStart"/>
            <w:r w:rsidRPr="00836BEA">
              <w:rPr>
                <w:rFonts w:ascii="Times New Roman" w:hAnsi="Times New Roman" w:cs="Times New Roman"/>
                <w:b/>
                <w:sz w:val="24"/>
                <w:szCs w:val="24"/>
              </w:rPr>
              <w:t>проєкту</w:t>
            </w:r>
            <w:proofErr w:type="spellEnd"/>
            <w:r w:rsidRPr="00836BEA">
              <w:rPr>
                <w:rFonts w:ascii="Times New Roman" w:hAnsi="Times New Roman" w:cs="Times New Roman"/>
                <w:b/>
                <w:sz w:val="24"/>
                <w:szCs w:val="24"/>
              </w:rPr>
              <w:t xml:space="preserve"> рішення НКРЕКП</w:t>
            </w:r>
          </w:p>
        </w:tc>
        <w:tc>
          <w:tcPr>
            <w:tcW w:w="5387" w:type="dxa"/>
          </w:tcPr>
          <w:p w14:paraId="655D17FB" w14:textId="77777777" w:rsidR="00012E15" w:rsidRPr="00836BEA" w:rsidRDefault="00012E15" w:rsidP="00012E15">
            <w:pPr>
              <w:jc w:val="center"/>
              <w:rPr>
                <w:rFonts w:ascii="Times New Roman" w:eastAsia="Times New Roman" w:hAnsi="Times New Roman" w:cs="Times New Roman"/>
                <w:b/>
                <w:sz w:val="24"/>
                <w:szCs w:val="24"/>
              </w:rPr>
            </w:pPr>
            <w:r w:rsidRPr="00836BEA">
              <w:rPr>
                <w:rFonts w:ascii="Times New Roman" w:eastAsia="Times New Roman" w:hAnsi="Times New Roman" w:cs="Times New Roman"/>
                <w:b/>
                <w:sz w:val="24"/>
                <w:szCs w:val="24"/>
              </w:rPr>
              <w:t>Зауваження та пропозиції</w:t>
            </w:r>
          </w:p>
          <w:p w14:paraId="3F6DD6F8" w14:textId="77777777" w:rsidR="00012E15" w:rsidRPr="00836BEA" w:rsidRDefault="00012E15" w:rsidP="00012E15">
            <w:pPr>
              <w:jc w:val="center"/>
              <w:rPr>
                <w:rFonts w:ascii="Times New Roman" w:hAnsi="Times New Roman" w:cs="Times New Roman"/>
                <w:b/>
                <w:sz w:val="24"/>
                <w:szCs w:val="24"/>
              </w:rPr>
            </w:pPr>
            <w:r w:rsidRPr="00836BEA">
              <w:rPr>
                <w:rFonts w:ascii="Times New Roman" w:eastAsia="Times New Roman" w:hAnsi="Times New Roman" w:cs="Times New Roman"/>
                <w:b/>
                <w:sz w:val="24"/>
                <w:szCs w:val="24"/>
                <w:lang w:eastAsia="ru-RU"/>
              </w:rPr>
              <w:t xml:space="preserve">до </w:t>
            </w:r>
            <w:proofErr w:type="spellStart"/>
            <w:r w:rsidRPr="00836BEA">
              <w:rPr>
                <w:rFonts w:ascii="Times New Roman" w:eastAsia="Times New Roman" w:hAnsi="Times New Roman" w:cs="Times New Roman"/>
                <w:b/>
                <w:sz w:val="24"/>
                <w:szCs w:val="24"/>
                <w:lang w:eastAsia="ru-RU"/>
              </w:rPr>
              <w:t>проєкту</w:t>
            </w:r>
            <w:proofErr w:type="spellEnd"/>
            <w:r w:rsidRPr="00836BEA">
              <w:rPr>
                <w:rFonts w:ascii="Times New Roman" w:eastAsia="Times New Roman" w:hAnsi="Times New Roman" w:cs="Times New Roman"/>
                <w:b/>
                <w:sz w:val="24"/>
                <w:szCs w:val="24"/>
                <w:lang w:eastAsia="ru-RU"/>
              </w:rPr>
              <w:t xml:space="preserve"> рішення НКРЕКП</w:t>
            </w:r>
          </w:p>
        </w:tc>
        <w:tc>
          <w:tcPr>
            <w:tcW w:w="4394" w:type="dxa"/>
          </w:tcPr>
          <w:p w14:paraId="73DCB950" w14:textId="77777777" w:rsidR="00012E15" w:rsidRPr="00836BEA" w:rsidRDefault="00012E15" w:rsidP="0086196D">
            <w:pPr>
              <w:jc w:val="center"/>
              <w:rPr>
                <w:rFonts w:ascii="Times New Roman" w:hAnsi="Times New Roman" w:cs="Times New Roman"/>
                <w:b/>
                <w:sz w:val="24"/>
                <w:szCs w:val="24"/>
              </w:rPr>
            </w:pPr>
            <w:r w:rsidRPr="00836BEA">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bookmarkEnd w:id="0"/>
      <w:tr w:rsidR="00012E15" w:rsidRPr="00836BEA" w14:paraId="21B795E6" w14:textId="77777777" w:rsidTr="00300237">
        <w:tc>
          <w:tcPr>
            <w:tcW w:w="15168" w:type="dxa"/>
            <w:gridSpan w:val="3"/>
          </w:tcPr>
          <w:p w14:paraId="1C05B32D" w14:textId="77777777" w:rsidR="00012E15" w:rsidRPr="00836BEA" w:rsidRDefault="00012E15" w:rsidP="0086196D">
            <w:pPr>
              <w:jc w:val="center"/>
              <w:rPr>
                <w:rFonts w:ascii="Times New Roman" w:hAnsi="Times New Roman" w:cs="Times New Roman"/>
                <w:b/>
                <w:bCs/>
                <w:i/>
                <w:sz w:val="24"/>
                <w:szCs w:val="24"/>
              </w:rPr>
            </w:pPr>
            <w:r w:rsidRPr="00836BEA">
              <w:rPr>
                <w:rFonts w:ascii="Times New Roman" w:hAnsi="Times New Roman" w:cs="Times New Roman"/>
                <w:b/>
                <w:bCs/>
                <w:i/>
                <w:sz w:val="24"/>
                <w:szCs w:val="24"/>
              </w:rPr>
              <w:t xml:space="preserve">Постанова НКРЕКП від </w:t>
            </w:r>
            <w:r w:rsidRPr="00836BEA">
              <w:rPr>
                <w:rFonts w:ascii="Times New Roman" w:hAnsi="Times New Roman" w:cs="Times New Roman"/>
                <w:b/>
                <w:bCs/>
                <w:i/>
                <w:sz w:val="24"/>
                <w:szCs w:val="24"/>
                <w:shd w:val="clear" w:color="auto" w:fill="FFFFFF"/>
              </w:rPr>
              <w:t>23.07.2013  № 1009 «Про встановлення параметрів регулювання, що мають довгостроковий строк дії, для цілей стимулюючого регулювання»</w:t>
            </w:r>
          </w:p>
        </w:tc>
      </w:tr>
      <w:tr w:rsidR="00012E15" w:rsidRPr="00836BEA" w14:paraId="22BB21FD" w14:textId="77777777" w:rsidTr="00853FA0">
        <w:tc>
          <w:tcPr>
            <w:tcW w:w="5387" w:type="dxa"/>
          </w:tcPr>
          <w:p w14:paraId="1AFE5626" w14:textId="77777777" w:rsidR="00012E15" w:rsidRPr="00836BEA" w:rsidRDefault="00012E15" w:rsidP="00BD1887">
            <w:pPr>
              <w:jc w:val="both"/>
              <w:rPr>
                <w:rFonts w:ascii="Times New Roman" w:hAnsi="Times New Roman" w:cs="Times New Roman"/>
                <w:color w:val="333333"/>
                <w:sz w:val="24"/>
                <w:szCs w:val="24"/>
                <w:shd w:val="clear" w:color="auto" w:fill="FFFFFF"/>
              </w:rPr>
            </w:pPr>
            <w:r w:rsidRPr="00836BEA">
              <w:rPr>
                <w:rFonts w:ascii="Times New Roman" w:hAnsi="Times New Roman" w:cs="Times New Roman"/>
                <w:color w:val="333333"/>
                <w:sz w:val="24"/>
                <w:szCs w:val="24"/>
                <w:shd w:val="clear" w:color="auto" w:fill="FFFFFF"/>
              </w:rPr>
              <w:t xml:space="preserve">1. Установити на перший регуляторний період </w:t>
            </w:r>
            <w:r w:rsidRPr="00836BEA">
              <w:rPr>
                <w:rFonts w:ascii="Times New Roman" w:hAnsi="Times New Roman" w:cs="Times New Roman"/>
                <w:bCs/>
                <w:color w:val="333333"/>
                <w:sz w:val="24"/>
                <w:szCs w:val="24"/>
                <w:shd w:val="clear" w:color="auto" w:fill="FFFFFF"/>
              </w:rPr>
              <w:t>(4 роки)</w:t>
            </w:r>
            <w:r w:rsidRPr="00836BEA">
              <w:rPr>
                <w:rFonts w:ascii="Times New Roman" w:hAnsi="Times New Roman" w:cs="Times New Roman"/>
                <w:color w:val="333333"/>
                <w:sz w:val="24"/>
                <w:szCs w:val="24"/>
                <w:shd w:val="clear" w:color="auto" w:fill="FFFFFF"/>
              </w:rPr>
              <w:t xml:space="preserve">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ліцензіати), на рівні:</w:t>
            </w:r>
          </w:p>
          <w:p w14:paraId="2A3BAF1F" w14:textId="77777777" w:rsidR="00012E15" w:rsidRPr="00836BEA" w:rsidRDefault="00012E15" w:rsidP="00BD1887">
            <w:pPr>
              <w:jc w:val="both"/>
              <w:rPr>
                <w:rFonts w:ascii="Times New Roman" w:hAnsi="Times New Roman" w:cs="Times New Roman"/>
                <w:b/>
                <w:bCs/>
                <w:color w:val="333333"/>
                <w:sz w:val="24"/>
                <w:szCs w:val="24"/>
                <w:shd w:val="clear" w:color="auto" w:fill="FFFFFF"/>
              </w:rPr>
            </w:pPr>
            <w:r w:rsidRPr="00836BEA">
              <w:rPr>
                <w:rFonts w:ascii="Times New Roman" w:hAnsi="Times New Roman" w:cs="Times New Roman"/>
                <w:b/>
                <w:bCs/>
                <w:color w:val="333333"/>
                <w:sz w:val="24"/>
                <w:szCs w:val="24"/>
                <w:shd w:val="clear" w:color="auto" w:fill="FFFFFF"/>
              </w:rPr>
              <w:t>……………………..</w:t>
            </w:r>
          </w:p>
          <w:p w14:paraId="4EB9FE65" w14:textId="77777777" w:rsidR="00012E15" w:rsidRPr="00836BEA" w:rsidRDefault="00012E15" w:rsidP="00BD1887">
            <w:pPr>
              <w:jc w:val="both"/>
              <w:rPr>
                <w:rFonts w:ascii="Times New Roman" w:hAnsi="Times New Roman" w:cs="Times New Roman"/>
                <w:b/>
                <w:bCs/>
                <w:sz w:val="24"/>
                <w:szCs w:val="24"/>
              </w:rPr>
            </w:pPr>
          </w:p>
          <w:p w14:paraId="50614321" w14:textId="77777777" w:rsidR="001331C6" w:rsidRPr="00836BEA" w:rsidRDefault="001331C6" w:rsidP="00BD1887">
            <w:pPr>
              <w:jc w:val="both"/>
              <w:rPr>
                <w:rFonts w:ascii="Times New Roman" w:hAnsi="Times New Roman" w:cs="Times New Roman"/>
                <w:b/>
                <w:bCs/>
                <w:sz w:val="24"/>
                <w:szCs w:val="24"/>
              </w:rPr>
            </w:pPr>
          </w:p>
          <w:p w14:paraId="3E592C0B" w14:textId="77777777" w:rsidR="001331C6" w:rsidRPr="00836BEA" w:rsidRDefault="001331C6" w:rsidP="00BD1887">
            <w:pPr>
              <w:jc w:val="both"/>
              <w:rPr>
                <w:rFonts w:ascii="Times New Roman" w:hAnsi="Times New Roman" w:cs="Times New Roman"/>
                <w:b/>
                <w:bCs/>
                <w:sz w:val="24"/>
                <w:szCs w:val="24"/>
              </w:rPr>
            </w:pPr>
          </w:p>
          <w:p w14:paraId="7DFB80C7" w14:textId="77777777" w:rsidR="001331C6" w:rsidRPr="00836BEA" w:rsidRDefault="001331C6" w:rsidP="00BD1887">
            <w:pPr>
              <w:jc w:val="both"/>
              <w:rPr>
                <w:rFonts w:ascii="Times New Roman" w:hAnsi="Times New Roman" w:cs="Times New Roman"/>
                <w:b/>
                <w:bCs/>
                <w:sz w:val="24"/>
                <w:szCs w:val="24"/>
              </w:rPr>
            </w:pPr>
          </w:p>
          <w:p w14:paraId="348849E1" w14:textId="77777777" w:rsidR="001331C6" w:rsidRPr="00836BEA" w:rsidRDefault="001331C6" w:rsidP="00BD1887">
            <w:pPr>
              <w:jc w:val="both"/>
              <w:rPr>
                <w:rFonts w:ascii="Times New Roman" w:hAnsi="Times New Roman" w:cs="Times New Roman"/>
                <w:b/>
                <w:bCs/>
                <w:sz w:val="24"/>
                <w:szCs w:val="24"/>
              </w:rPr>
            </w:pPr>
          </w:p>
          <w:p w14:paraId="6B8712AE" w14:textId="77777777" w:rsidR="001331C6" w:rsidRPr="00836BEA" w:rsidRDefault="001331C6" w:rsidP="00BD1887">
            <w:pPr>
              <w:jc w:val="both"/>
              <w:rPr>
                <w:rFonts w:ascii="Times New Roman" w:hAnsi="Times New Roman" w:cs="Times New Roman"/>
                <w:b/>
                <w:bCs/>
                <w:sz w:val="24"/>
                <w:szCs w:val="24"/>
              </w:rPr>
            </w:pPr>
          </w:p>
          <w:p w14:paraId="37E4842A" w14:textId="77777777" w:rsidR="007E4906" w:rsidRPr="00836BEA" w:rsidRDefault="007E4906" w:rsidP="00BD1887">
            <w:pPr>
              <w:jc w:val="both"/>
              <w:rPr>
                <w:rFonts w:ascii="Times New Roman" w:hAnsi="Times New Roman" w:cs="Times New Roman"/>
                <w:b/>
                <w:bCs/>
                <w:sz w:val="24"/>
                <w:szCs w:val="24"/>
              </w:rPr>
            </w:pPr>
          </w:p>
          <w:p w14:paraId="54AF08E9" w14:textId="77777777" w:rsidR="007E4906" w:rsidRPr="00836BEA" w:rsidRDefault="007E4906" w:rsidP="00BD1887">
            <w:pPr>
              <w:jc w:val="both"/>
              <w:rPr>
                <w:rFonts w:ascii="Times New Roman" w:hAnsi="Times New Roman" w:cs="Times New Roman"/>
                <w:b/>
                <w:bCs/>
                <w:sz w:val="24"/>
                <w:szCs w:val="24"/>
              </w:rPr>
            </w:pPr>
          </w:p>
          <w:p w14:paraId="59F5C1B0" w14:textId="77777777" w:rsidR="007E4906" w:rsidRDefault="007E4906" w:rsidP="00BD1887">
            <w:pPr>
              <w:jc w:val="both"/>
              <w:rPr>
                <w:rFonts w:ascii="Times New Roman" w:hAnsi="Times New Roman" w:cs="Times New Roman"/>
                <w:b/>
                <w:bCs/>
                <w:sz w:val="24"/>
                <w:szCs w:val="24"/>
              </w:rPr>
            </w:pPr>
          </w:p>
          <w:p w14:paraId="44145E1F" w14:textId="77777777" w:rsidR="001C4C0B" w:rsidRDefault="001C4C0B" w:rsidP="00BD1887">
            <w:pPr>
              <w:jc w:val="both"/>
              <w:rPr>
                <w:rFonts w:ascii="Times New Roman" w:hAnsi="Times New Roman" w:cs="Times New Roman"/>
                <w:b/>
                <w:bCs/>
                <w:sz w:val="24"/>
                <w:szCs w:val="24"/>
              </w:rPr>
            </w:pPr>
          </w:p>
          <w:p w14:paraId="5C6B954A" w14:textId="77777777" w:rsidR="001C4C0B" w:rsidRPr="00836BEA" w:rsidRDefault="001C4C0B" w:rsidP="00BD1887">
            <w:pPr>
              <w:jc w:val="both"/>
              <w:rPr>
                <w:rFonts w:ascii="Times New Roman" w:hAnsi="Times New Roman" w:cs="Times New Roman"/>
                <w:b/>
                <w:bCs/>
                <w:sz w:val="24"/>
                <w:szCs w:val="24"/>
              </w:rPr>
            </w:pPr>
          </w:p>
          <w:p w14:paraId="264B2368" w14:textId="77777777" w:rsidR="007E4906" w:rsidRPr="00836BEA" w:rsidRDefault="007E4906" w:rsidP="00BD1887">
            <w:pPr>
              <w:jc w:val="both"/>
              <w:rPr>
                <w:rFonts w:ascii="Times New Roman" w:hAnsi="Times New Roman" w:cs="Times New Roman"/>
                <w:b/>
                <w:bCs/>
                <w:sz w:val="24"/>
                <w:szCs w:val="24"/>
              </w:rPr>
            </w:pPr>
          </w:p>
          <w:p w14:paraId="2B9A195C" w14:textId="77777777" w:rsidR="007E4906" w:rsidRDefault="007E4906" w:rsidP="00BD1887">
            <w:pPr>
              <w:jc w:val="both"/>
              <w:rPr>
                <w:rFonts w:ascii="Times New Roman" w:hAnsi="Times New Roman" w:cs="Times New Roman"/>
                <w:b/>
                <w:bCs/>
                <w:sz w:val="24"/>
                <w:szCs w:val="24"/>
              </w:rPr>
            </w:pPr>
          </w:p>
          <w:p w14:paraId="51CBAA53" w14:textId="77777777" w:rsidR="00C746AF" w:rsidRDefault="00C746AF" w:rsidP="00BD1887">
            <w:pPr>
              <w:jc w:val="both"/>
              <w:rPr>
                <w:rFonts w:ascii="Times New Roman" w:hAnsi="Times New Roman" w:cs="Times New Roman"/>
                <w:b/>
                <w:bCs/>
                <w:sz w:val="24"/>
                <w:szCs w:val="24"/>
              </w:rPr>
            </w:pPr>
          </w:p>
          <w:p w14:paraId="0D520C12" w14:textId="77777777" w:rsidR="00C746AF" w:rsidRDefault="00C746AF" w:rsidP="00BD1887">
            <w:pPr>
              <w:jc w:val="both"/>
              <w:rPr>
                <w:rFonts w:ascii="Times New Roman" w:hAnsi="Times New Roman" w:cs="Times New Roman"/>
                <w:b/>
                <w:bCs/>
                <w:sz w:val="24"/>
                <w:szCs w:val="24"/>
              </w:rPr>
            </w:pPr>
          </w:p>
          <w:p w14:paraId="1FA5C0D1" w14:textId="77777777" w:rsidR="00C746AF" w:rsidRDefault="00C746AF" w:rsidP="00BD1887">
            <w:pPr>
              <w:jc w:val="both"/>
              <w:rPr>
                <w:rFonts w:ascii="Times New Roman" w:hAnsi="Times New Roman" w:cs="Times New Roman"/>
                <w:b/>
                <w:bCs/>
                <w:sz w:val="24"/>
                <w:szCs w:val="24"/>
              </w:rPr>
            </w:pPr>
          </w:p>
          <w:p w14:paraId="34E2E732" w14:textId="77777777" w:rsidR="00C746AF" w:rsidRDefault="00C746AF" w:rsidP="00BD1887">
            <w:pPr>
              <w:jc w:val="both"/>
              <w:rPr>
                <w:rFonts w:ascii="Times New Roman" w:hAnsi="Times New Roman" w:cs="Times New Roman"/>
                <w:b/>
                <w:bCs/>
                <w:sz w:val="24"/>
                <w:szCs w:val="24"/>
              </w:rPr>
            </w:pPr>
          </w:p>
          <w:p w14:paraId="7FCC37C3" w14:textId="77777777" w:rsidR="00C746AF" w:rsidRDefault="00C746AF" w:rsidP="00BD1887">
            <w:pPr>
              <w:jc w:val="both"/>
              <w:rPr>
                <w:rFonts w:ascii="Times New Roman" w:hAnsi="Times New Roman" w:cs="Times New Roman"/>
                <w:b/>
                <w:bCs/>
                <w:sz w:val="24"/>
                <w:szCs w:val="24"/>
              </w:rPr>
            </w:pPr>
          </w:p>
          <w:p w14:paraId="5884226F" w14:textId="77777777" w:rsidR="00C746AF" w:rsidRDefault="00C746AF" w:rsidP="00BD1887">
            <w:pPr>
              <w:jc w:val="both"/>
              <w:rPr>
                <w:rFonts w:ascii="Times New Roman" w:hAnsi="Times New Roman" w:cs="Times New Roman"/>
                <w:b/>
                <w:bCs/>
                <w:sz w:val="24"/>
                <w:szCs w:val="24"/>
              </w:rPr>
            </w:pPr>
          </w:p>
          <w:p w14:paraId="6029DA0F" w14:textId="77777777" w:rsidR="00C746AF" w:rsidRDefault="00C746AF" w:rsidP="00BD1887">
            <w:pPr>
              <w:jc w:val="both"/>
              <w:rPr>
                <w:rFonts w:ascii="Times New Roman" w:hAnsi="Times New Roman" w:cs="Times New Roman"/>
                <w:b/>
                <w:bCs/>
                <w:sz w:val="24"/>
                <w:szCs w:val="24"/>
              </w:rPr>
            </w:pPr>
          </w:p>
          <w:p w14:paraId="409F5434" w14:textId="77777777" w:rsidR="00C746AF" w:rsidRDefault="00C746AF" w:rsidP="00BD1887">
            <w:pPr>
              <w:jc w:val="both"/>
              <w:rPr>
                <w:rFonts w:ascii="Times New Roman" w:hAnsi="Times New Roman" w:cs="Times New Roman"/>
                <w:b/>
                <w:bCs/>
                <w:sz w:val="24"/>
                <w:szCs w:val="24"/>
              </w:rPr>
            </w:pPr>
          </w:p>
          <w:p w14:paraId="3B6E382A" w14:textId="77777777" w:rsidR="00C746AF" w:rsidRDefault="00C746AF" w:rsidP="00BD1887">
            <w:pPr>
              <w:jc w:val="both"/>
              <w:rPr>
                <w:rFonts w:ascii="Times New Roman" w:hAnsi="Times New Roman" w:cs="Times New Roman"/>
                <w:b/>
                <w:bCs/>
                <w:sz w:val="24"/>
                <w:szCs w:val="24"/>
              </w:rPr>
            </w:pPr>
          </w:p>
          <w:p w14:paraId="0E6D84F8" w14:textId="77777777" w:rsidR="00C746AF" w:rsidRDefault="00C746AF" w:rsidP="00BD1887">
            <w:pPr>
              <w:jc w:val="both"/>
              <w:rPr>
                <w:rFonts w:ascii="Times New Roman" w:hAnsi="Times New Roman" w:cs="Times New Roman"/>
                <w:b/>
                <w:bCs/>
                <w:sz w:val="24"/>
                <w:szCs w:val="24"/>
              </w:rPr>
            </w:pPr>
          </w:p>
          <w:p w14:paraId="1A92CC2D" w14:textId="77777777" w:rsidR="00C746AF" w:rsidRDefault="00C746AF" w:rsidP="00BD1887">
            <w:pPr>
              <w:jc w:val="both"/>
              <w:rPr>
                <w:rFonts w:ascii="Times New Roman" w:hAnsi="Times New Roman" w:cs="Times New Roman"/>
                <w:b/>
                <w:bCs/>
                <w:sz w:val="24"/>
                <w:szCs w:val="24"/>
              </w:rPr>
            </w:pPr>
          </w:p>
          <w:p w14:paraId="0CAFA907" w14:textId="77777777" w:rsidR="00C746AF" w:rsidRDefault="00C746AF" w:rsidP="00BD1887">
            <w:pPr>
              <w:jc w:val="both"/>
              <w:rPr>
                <w:rFonts w:ascii="Times New Roman" w:hAnsi="Times New Roman" w:cs="Times New Roman"/>
                <w:b/>
                <w:bCs/>
                <w:sz w:val="24"/>
                <w:szCs w:val="24"/>
              </w:rPr>
            </w:pPr>
          </w:p>
          <w:p w14:paraId="49F41A61" w14:textId="77777777" w:rsidR="00C746AF" w:rsidRDefault="00C746AF" w:rsidP="00BD1887">
            <w:pPr>
              <w:jc w:val="both"/>
              <w:rPr>
                <w:rFonts w:ascii="Times New Roman" w:hAnsi="Times New Roman" w:cs="Times New Roman"/>
                <w:b/>
                <w:bCs/>
                <w:sz w:val="24"/>
                <w:szCs w:val="24"/>
              </w:rPr>
            </w:pPr>
          </w:p>
          <w:p w14:paraId="34A4D4DB" w14:textId="77777777" w:rsidR="00C746AF" w:rsidRDefault="00C746AF" w:rsidP="00BD1887">
            <w:pPr>
              <w:jc w:val="both"/>
              <w:rPr>
                <w:rFonts w:ascii="Times New Roman" w:hAnsi="Times New Roman" w:cs="Times New Roman"/>
                <w:b/>
                <w:bCs/>
                <w:sz w:val="24"/>
                <w:szCs w:val="24"/>
              </w:rPr>
            </w:pPr>
          </w:p>
          <w:p w14:paraId="32869254" w14:textId="77777777" w:rsidR="00C746AF" w:rsidRDefault="00C746AF" w:rsidP="00BD1887">
            <w:pPr>
              <w:jc w:val="both"/>
              <w:rPr>
                <w:rFonts w:ascii="Times New Roman" w:hAnsi="Times New Roman" w:cs="Times New Roman"/>
                <w:b/>
                <w:bCs/>
                <w:sz w:val="24"/>
                <w:szCs w:val="24"/>
              </w:rPr>
            </w:pPr>
          </w:p>
          <w:p w14:paraId="6FA85FE7" w14:textId="77777777" w:rsidR="00C746AF" w:rsidRDefault="00C746AF" w:rsidP="00BD1887">
            <w:pPr>
              <w:jc w:val="both"/>
              <w:rPr>
                <w:rFonts w:ascii="Times New Roman" w:hAnsi="Times New Roman" w:cs="Times New Roman"/>
                <w:b/>
                <w:bCs/>
                <w:sz w:val="24"/>
                <w:szCs w:val="24"/>
              </w:rPr>
            </w:pPr>
          </w:p>
          <w:p w14:paraId="29741462" w14:textId="77777777" w:rsidR="00C746AF" w:rsidRDefault="00C746AF" w:rsidP="00BD1887">
            <w:pPr>
              <w:jc w:val="both"/>
              <w:rPr>
                <w:rFonts w:ascii="Times New Roman" w:hAnsi="Times New Roman" w:cs="Times New Roman"/>
                <w:b/>
                <w:bCs/>
                <w:sz w:val="24"/>
                <w:szCs w:val="24"/>
              </w:rPr>
            </w:pPr>
          </w:p>
          <w:p w14:paraId="653EC9FE" w14:textId="77777777" w:rsidR="00C746AF" w:rsidRPr="00836BEA" w:rsidRDefault="00C746AF" w:rsidP="00BD1887">
            <w:pPr>
              <w:jc w:val="both"/>
              <w:rPr>
                <w:rFonts w:ascii="Times New Roman" w:hAnsi="Times New Roman" w:cs="Times New Roman"/>
                <w:b/>
                <w:bCs/>
                <w:sz w:val="24"/>
                <w:szCs w:val="24"/>
              </w:rPr>
            </w:pPr>
          </w:p>
          <w:p w14:paraId="34D7FFAC" w14:textId="77777777" w:rsidR="00012E15" w:rsidRPr="00836BEA" w:rsidRDefault="00012E15" w:rsidP="00631B37">
            <w:pPr>
              <w:pStyle w:val="rvps2"/>
              <w:shd w:val="clear" w:color="auto" w:fill="FFFFFF"/>
              <w:spacing w:before="0" w:beforeAutospacing="0" w:after="0" w:afterAutospacing="0"/>
              <w:jc w:val="both"/>
              <w:rPr>
                <w:color w:val="333333"/>
                <w:shd w:val="clear" w:color="auto" w:fill="FFFFFF"/>
              </w:rPr>
            </w:pPr>
            <w:r w:rsidRPr="00836BEA">
              <w:rPr>
                <w:bCs/>
                <w:color w:val="333333"/>
                <w:shd w:val="clear" w:color="auto" w:fill="FFFFFF"/>
              </w:rPr>
              <w:t>2) регуляторна норма доходу на регуляторну базу активів, яка створена після переходу на стимулююче регулювання, - 0,1674 відносних одиниць (для 2023</w:t>
            </w:r>
            <w:r w:rsidRPr="00836BEA">
              <w:rPr>
                <w:b/>
                <w:bCs/>
                <w:color w:val="333333"/>
                <w:shd w:val="clear" w:color="auto" w:fill="FFFFFF"/>
              </w:rPr>
              <w:t xml:space="preserve"> </w:t>
            </w:r>
            <w:r w:rsidRPr="00836BEA">
              <w:rPr>
                <w:rFonts w:eastAsiaTheme="minorHAnsi"/>
                <w:b/>
                <w:shd w:val="clear" w:color="auto" w:fill="FFFFFF"/>
                <w:lang w:eastAsia="en-US"/>
              </w:rPr>
              <w:t>та 2024</w:t>
            </w:r>
            <w:r w:rsidRPr="00836BEA">
              <w:rPr>
                <w:b/>
                <w:bCs/>
                <w:shd w:val="clear" w:color="auto" w:fill="FFFFFF"/>
              </w:rPr>
              <w:t xml:space="preserve"> </w:t>
            </w:r>
            <w:r w:rsidRPr="00836BEA">
              <w:rPr>
                <w:rFonts w:eastAsiaTheme="minorHAnsi"/>
                <w:b/>
                <w:shd w:val="clear" w:color="auto" w:fill="FFFFFF"/>
                <w:lang w:eastAsia="en-US"/>
              </w:rPr>
              <w:t>років</w:t>
            </w:r>
            <w:r w:rsidRPr="00836BEA">
              <w:rPr>
                <w:b/>
                <w:bCs/>
                <w:shd w:val="clear" w:color="auto" w:fill="FFFFFF"/>
              </w:rPr>
              <w:t xml:space="preserve"> </w:t>
            </w:r>
            <w:r w:rsidRPr="00836BEA">
              <w:rPr>
                <w:b/>
                <w:bCs/>
                <w:color w:val="333333"/>
                <w:shd w:val="clear" w:color="auto" w:fill="FFFFFF"/>
              </w:rPr>
              <w:t xml:space="preserve">– </w:t>
            </w:r>
            <w:r w:rsidRPr="00836BEA">
              <w:rPr>
                <w:color w:val="333333"/>
                <w:shd w:val="clear" w:color="auto" w:fill="FFFFFF"/>
              </w:rPr>
              <w:t>0,03 відносних одиниць);</w:t>
            </w:r>
          </w:p>
          <w:p w14:paraId="5D7840A0" w14:textId="77777777" w:rsidR="00012E15" w:rsidRPr="00836BEA" w:rsidRDefault="00012E15" w:rsidP="00BD1887">
            <w:pPr>
              <w:jc w:val="both"/>
              <w:rPr>
                <w:rFonts w:ascii="Times New Roman" w:hAnsi="Times New Roman" w:cs="Times New Roman"/>
                <w:b/>
                <w:bCs/>
                <w:sz w:val="24"/>
                <w:szCs w:val="24"/>
              </w:rPr>
            </w:pPr>
          </w:p>
          <w:p w14:paraId="69541D7A" w14:textId="77777777" w:rsidR="001331C6" w:rsidRPr="00836BEA" w:rsidRDefault="001331C6" w:rsidP="00BD1887">
            <w:pPr>
              <w:jc w:val="both"/>
              <w:rPr>
                <w:rFonts w:ascii="Times New Roman" w:hAnsi="Times New Roman" w:cs="Times New Roman"/>
                <w:b/>
                <w:bCs/>
                <w:sz w:val="24"/>
                <w:szCs w:val="24"/>
              </w:rPr>
            </w:pPr>
          </w:p>
          <w:p w14:paraId="5AFBCBFA" w14:textId="77777777" w:rsidR="001331C6" w:rsidRPr="00836BEA" w:rsidRDefault="001331C6" w:rsidP="00BD1887">
            <w:pPr>
              <w:jc w:val="both"/>
              <w:rPr>
                <w:rFonts w:ascii="Times New Roman" w:hAnsi="Times New Roman" w:cs="Times New Roman"/>
                <w:b/>
                <w:bCs/>
                <w:sz w:val="24"/>
                <w:szCs w:val="24"/>
              </w:rPr>
            </w:pPr>
          </w:p>
          <w:p w14:paraId="08CD1CED" w14:textId="77777777" w:rsidR="001331C6" w:rsidRPr="00836BEA" w:rsidRDefault="001331C6" w:rsidP="00BD1887">
            <w:pPr>
              <w:jc w:val="both"/>
              <w:rPr>
                <w:rFonts w:ascii="Times New Roman" w:hAnsi="Times New Roman" w:cs="Times New Roman"/>
                <w:b/>
                <w:bCs/>
                <w:sz w:val="24"/>
                <w:szCs w:val="24"/>
              </w:rPr>
            </w:pPr>
          </w:p>
          <w:p w14:paraId="3FDB612D" w14:textId="77777777" w:rsidR="001331C6" w:rsidRPr="00836BEA" w:rsidRDefault="001331C6" w:rsidP="00BD1887">
            <w:pPr>
              <w:jc w:val="both"/>
              <w:rPr>
                <w:rFonts w:ascii="Times New Roman" w:hAnsi="Times New Roman" w:cs="Times New Roman"/>
                <w:b/>
                <w:bCs/>
                <w:sz w:val="24"/>
                <w:szCs w:val="24"/>
              </w:rPr>
            </w:pPr>
          </w:p>
          <w:p w14:paraId="5E2BD436" w14:textId="77777777" w:rsidR="001331C6" w:rsidRPr="00836BEA" w:rsidRDefault="001331C6" w:rsidP="00BD1887">
            <w:pPr>
              <w:jc w:val="both"/>
              <w:rPr>
                <w:rFonts w:ascii="Times New Roman" w:hAnsi="Times New Roman" w:cs="Times New Roman"/>
                <w:b/>
                <w:bCs/>
                <w:sz w:val="24"/>
                <w:szCs w:val="24"/>
              </w:rPr>
            </w:pPr>
          </w:p>
          <w:p w14:paraId="527905CA" w14:textId="77777777" w:rsidR="001331C6" w:rsidRPr="00836BEA" w:rsidRDefault="001331C6" w:rsidP="00BD1887">
            <w:pPr>
              <w:jc w:val="both"/>
              <w:rPr>
                <w:rFonts w:ascii="Times New Roman" w:hAnsi="Times New Roman" w:cs="Times New Roman"/>
                <w:b/>
                <w:bCs/>
                <w:sz w:val="24"/>
                <w:szCs w:val="24"/>
              </w:rPr>
            </w:pPr>
          </w:p>
          <w:p w14:paraId="07DFFEFD" w14:textId="77777777" w:rsidR="001331C6" w:rsidRDefault="001331C6" w:rsidP="00BD1887">
            <w:pPr>
              <w:jc w:val="both"/>
              <w:rPr>
                <w:rFonts w:ascii="Times New Roman" w:hAnsi="Times New Roman" w:cs="Times New Roman"/>
                <w:b/>
                <w:bCs/>
                <w:sz w:val="24"/>
                <w:szCs w:val="24"/>
              </w:rPr>
            </w:pPr>
          </w:p>
          <w:p w14:paraId="3745D2E7" w14:textId="77777777" w:rsidR="00C746AF" w:rsidRDefault="00C746AF" w:rsidP="00BD1887">
            <w:pPr>
              <w:jc w:val="both"/>
              <w:rPr>
                <w:rFonts w:ascii="Times New Roman" w:hAnsi="Times New Roman" w:cs="Times New Roman"/>
                <w:b/>
                <w:bCs/>
                <w:sz w:val="24"/>
                <w:szCs w:val="24"/>
              </w:rPr>
            </w:pPr>
          </w:p>
          <w:p w14:paraId="0CB8BB18" w14:textId="77777777" w:rsidR="00C746AF" w:rsidRDefault="00C746AF" w:rsidP="00BD1887">
            <w:pPr>
              <w:jc w:val="both"/>
              <w:rPr>
                <w:rFonts w:ascii="Times New Roman" w:hAnsi="Times New Roman" w:cs="Times New Roman"/>
                <w:b/>
                <w:bCs/>
                <w:sz w:val="24"/>
                <w:szCs w:val="24"/>
              </w:rPr>
            </w:pPr>
          </w:p>
          <w:p w14:paraId="25EE2CA9" w14:textId="77777777" w:rsidR="00C746AF" w:rsidRDefault="00C746AF" w:rsidP="00BD1887">
            <w:pPr>
              <w:jc w:val="both"/>
              <w:rPr>
                <w:rFonts w:ascii="Times New Roman" w:hAnsi="Times New Roman" w:cs="Times New Roman"/>
                <w:b/>
                <w:bCs/>
                <w:sz w:val="24"/>
                <w:szCs w:val="24"/>
              </w:rPr>
            </w:pPr>
          </w:p>
          <w:p w14:paraId="3D3417ED" w14:textId="77777777" w:rsidR="00C746AF" w:rsidRDefault="00C746AF" w:rsidP="00BD1887">
            <w:pPr>
              <w:jc w:val="both"/>
              <w:rPr>
                <w:rFonts w:ascii="Times New Roman" w:hAnsi="Times New Roman" w:cs="Times New Roman"/>
                <w:b/>
                <w:bCs/>
                <w:sz w:val="24"/>
                <w:szCs w:val="24"/>
              </w:rPr>
            </w:pPr>
          </w:p>
          <w:p w14:paraId="1286B259" w14:textId="77777777" w:rsidR="00C746AF" w:rsidRDefault="00C746AF" w:rsidP="00BD1887">
            <w:pPr>
              <w:jc w:val="both"/>
              <w:rPr>
                <w:rFonts w:ascii="Times New Roman" w:hAnsi="Times New Roman" w:cs="Times New Roman"/>
                <w:b/>
                <w:bCs/>
                <w:sz w:val="24"/>
                <w:szCs w:val="24"/>
              </w:rPr>
            </w:pPr>
          </w:p>
          <w:p w14:paraId="5474AC3D" w14:textId="77777777" w:rsidR="00C746AF" w:rsidRDefault="00C746AF" w:rsidP="00BD1887">
            <w:pPr>
              <w:jc w:val="both"/>
              <w:rPr>
                <w:rFonts w:ascii="Times New Roman" w:hAnsi="Times New Roman" w:cs="Times New Roman"/>
                <w:b/>
                <w:bCs/>
                <w:sz w:val="24"/>
                <w:szCs w:val="24"/>
              </w:rPr>
            </w:pPr>
          </w:p>
          <w:p w14:paraId="1B008AF0" w14:textId="77777777" w:rsidR="00C746AF" w:rsidRDefault="00C746AF" w:rsidP="00BD1887">
            <w:pPr>
              <w:jc w:val="both"/>
              <w:rPr>
                <w:rFonts w:ascii="Times New Roman" w:hAnsi="Times New Roman" w:cs="Times New Roman"/>
                <w:b/>
                <w:bCs/>
                <w:sz w:val="24"/>
                <w:szCs w:val="24"/>
              </w:rPr>
            </w:pPr>
          </w:p>
          <w:p w14:paraId="7EDEC671" w14:textId="77777777" w:rsidR="00C746AF" w:rsidRDefault="00C746AF" w:rsidP="00BD1887">
            <w:pPr>
              <w:jc w:val="both"/>
              <w:rPr>
                <w:rFonts w:ascii="Times New Roman" w:hAnsi="Times New Roman" w:cs="Times New Roman"/>
                <w:b/>
                <w:bCs/>
                <w:sz w:val="24"/>
                <w:szCs w:val="24"/>
              </w:rPr>
            </w:pPr>
          </w:p>
          <w:p w14:paraId="436FD22A" w14:textId="77777777" w:rsidR="00C746AF" w:rsidRDefault="00C746AF" w:rsidP="00BD1887">
            <w:pPr>
              <w:jc w:val="both"/>
              <w:rPr>
                <w:rFonts w:ascii="Times New Roman" w:hAnsi="Times New Roman" w:cs="Times New Roman"/>
                <w:b/>
                <w:bCs/>
                <w:sz w:val="24"/>
                <w:szCs w:val="24"/>
              </w:rPr>
            </w:pPr>
          </w:p>
          <w:p w14:paraId="33DE6B80" w14:textId="77777777" w:rsidR="00C746AF" w:rsidRDefault="00C746AF" w:rsidP="00BD1887">
            <w:pPr>
              <w:jc w:val="both"/>
              <w:rPr>
                <w:rFonts w:ascii="Times New Roman" w:hAnsi="Times New Roman" w:cs="Times New Roman"/>
                <w:b/>
                <w:bCs/>
                <w:sz w:val="24"/>
                <w:szCs w:val="24"/>
              </w:rPr>
            </w:pPr>
          </w:p>
          <w:p w14:paraId="76CEE9F5" w14:textId="77777777" w:rsidR="00C746AF" w:rsidRDefault="00C746AF" w:rsidP="00BD1887">
            <w:pPr>
              <w:jc w:val="both"/>
              <w:rPr>
                <w:rFonts w:ascii="Times New Roman" w:hAnsi="Times New Roman" w:cs="Times New Roman"/>
                <w:b/>
                <w:bCs/>
                <w:sz w:val="24"/>
                <w:szCs w:val="24"/>
              </w:rPr>
            </w:pPr>
          </w:p>
          <w:p w14:paraId="7AF261BF" w14:textId="77777777" w:rsidR="00C746AF" w:rsidRDefault="00C746AF" w:rsidP="00BD1887">
            <w:pPr>
              <w:jc w:val="both"/>
              <w:rPr>
                <w:rFonts w:ascii="Times New Roman" w:hAnsi="Times New Roman" w:cs="Times New Roman"/>
                <w:b/>
                <w:bCs/>
                <w:sz w:val="24"/>
                <w:szCs w:val="24"/>
              </w:rPr>
            </w:pPr>
          </w:p>
          <w:p w14:paraId="3F9CE56E" w14:textId="77777777" w:rsidR="00C746AF" w:rsidRDefault="00C746AF" w:rsidP="00BD1887">
            <w:pPr>
              <w:jc w:val="both"/>
              <w:rPr>
                <w:rFonts w:ascii="Times New Roman" w:hAnsi="Times New Roman" w:cs="Times New Roman"/>
                <w:b/>
                <w:bCs/>
                <w:sz w:val="24"/>
                <w:szCs w:val="24"/>
              </w:rPr>
            </w:pPr>
          </w:p>
          <w:p w14:paraId="011A8F59" w14:textId="77777777" w:rsidR="00C746AF" w:rsidRDefault="00C746AF" w:rsidP="00BD1887">
            <w:pPr>
              <w:jc w:val="both"/>
              <w:rPr>
                <w:rFonts w:ascii="Times New Roman" w:hAnsi="Times New Roman" w:cs="Times New Roman"/>
                <w:b/>
                <w:bCs/>
                <w:sz w:val="24"/>
                <w:szCs w:val="24"/>
              </w:rPr>
            </w:pPr>
          </w:p>
          <w:p w14:paraId="72F9E966" w14:textId="77777777" w:rsidR="00C746AF" w:rsidRDefault="00C746AF" w:rsidP="00BD1887">
            <w:pPr>
              <w:jc w:val="both"/>
              <w:rPr>
                <w:rFonts w:ascii="Times New Roman" w:hAnsi="Times New Roman" w:cs="Times New Roman"/>
                <w:b/>
                <w:bCs/>
                <w:sz w:val="24"/>
                <w:szCs w:val="24"/>
              </w:rPr>
            </w:pPr>
          </w:p>
          <w:p w14:paraId="787BE45D" w14:textId="77777777" w:rsidR="00C746AF" w:rsidRDefault="00C746AF" w:rsidP="00BD1887">
            <w:pPr>
              <w:jc w:val="both"/>
              <w:rPr>
                <w:rFonts w:ascii="Times New Roman" w:hAnsi="Times New Roman" w:cs="Times New Roman"/>
                <w:b/>
                <w:bCs/>
                <w:sz w:val="24"/>
                <w:szCs w:val="24"/>
              </w:rPr>
            </w:pPr>
          </w:p>
          <w:p w14:paraId="43F4C855" w14:textId="77777777" w:rsidR="00C746AF" w:rsidRDefault="00C746AF" w:rsidP="00BD1887">
            <w:pPr>
              <w:jc w:val="both"/>
              <w:rPr>
                <w:rFonts w:ascii="Times New Roman" w:hAnsi="Times New Roman" w:cs="Times New Roman"/>
                <w:b/>
                <w:bCs/>
                <w:sz w:val="24"/>
                <w:szCs w:val="24"/>
              </w:rPr>
            </w:pPr>
          </w:p>
          <w:p w14:paraId="20B64B29" w14:textId="77777777" w:rsidR="00C746AF" w:rsidRDefault="00C746AF" w:rsidP="00BD1887">
            <w:pPr>
              <w:jc w:val="both"/>
              <w:rPr>
                <w:rFonts w:ascii="Times New Roman" w:hAnsi="Times New Roman" w:cs="Times New Roman"/>
                <w:b/>
                <w:bCs/>
                <w:sz w:val="24"/>
                <w:szCs w:val="24"/>
              </w:rPr>
            </w:pPr>
          </w:p>
          <w:p w14:paraId="0C6E150D" w14:textId="77777777" w:rsidR="00C746AF" w:rsidRDefault="00C746AF" w:rsidP="00BD1887">
            <w:pPr>
              <w:jc w:val="both"/>
              <w:rPr>
                <w:rFonts w:ascii="Times New Roman" w:hAnsi="Times New Roman" w:cs="Times New Roman"/>
                <w:b/>
                <w:bCs/>
                <w:sz w:val="24"/>
                <w:szCs w:val="24"/>
              </w:rPr>
            </w:pPr>
          </w:p>
          <w:p w14:paraId="762A4D31" w14:textId="77777777" w:rsidR="00C746AF" w:rsidRDefault="00C746AF" w:rsidP="00BD1887">
            <w:pPr>
              <w:jc w:val="both"/>
              <w:rPr>
                <w:rFonts w:ascii="Times New Roman" w:hAnsi="Times New Roman" w:cs="Times New Roman"/>
                <w:b/>
                <w:bCs/>
                <w:sz w:val="24"/>
                <w:szCs w:val="24"/>
              </w:rPr>
            </w:pPr>
          </w:p>
          <w:p w14:paraId="4FE036DA" w14:textId="77777777" w:rsidR="00C746AF" w:rsidRDefault="00C746AF" w:rsidP="00BD1887">
            <w:pPr>
              <w:jc w:val="both"/>
              <w:rPr>
                <w:rFonts w:ascii="Times New Roman" w:hAnsi="Times New Roman" w:cs="Times New Roman"/>
                <w:b/>
                <w:bCs/>
                <w:sz w:val="24"/>
                <w:szCs w:val="24"/>
              </w:rPr>
            </w:pPr>
          </w:p>
          <w:p w14:paraId="67A53251" w14:textId="77777777" w:rsidR="00C746AF" w:rsidRDefault="00C746AF" w:rsidP="00BD1887">
            <w:pPr>
              <w:jc w:val="both"/>
              <w:rPr>
                <w:rFonts w:ascii="Times New Roman" w:hAnsi="Times New Roman" w:cs="Times New Roman"/>
                <w:b/>
                <w:bCs/>
                <w:sz w:val="24"/>
                <w:szCs w:val="24"/>
              </w:rPr>
            </w:pPr>
          </w:p>
          <w:p w14:paraId="4788478F" w14:textId="77777777" w:rsidR="00C746AF" w:rsidRDefault="00C746AF" w:rsidP="00BD1887">
            <w:pPr>
              <w:jc w:val="both"/>
              <w:rPr>
                <w:rFonts w:ascii="Times New Roman" w:hAnsi="Times New Roman" w:cs="Times New Roman"/>
                <w:b/>
                <w:bCs/>
                <w:sz w:val="24"/>
                <w:szCs w:val="24"/>
              </w:rPr>
            </w:pPr>
          </w:p>
          <w:p w14:paraId="522E15A2" w14:textId="77777777" w:rsidR="00C746AF" w:rsidRDefault="00C746AF" w:rsidP="00BD1887">
            <w:pPr>
              <w:jc w:val="both"/>
              <w:rPr>
                <w:rFonts w:ascii="Times New Roman" w:hAnsi="Times New Roman" w:cs="Times New Roman"/>
                <w:b/>
                <w:bCs/>
                <w:sz w:val="24"/>
                <w:szCs w:val="24"/>
              </w:rPr>
            </w:pPr>
          </w:p>
          <w:p w14:paraId="4D00DC24" w14:textId="77777777" w:rsidR="00C746AF" w:rsidRDefault="00C746AF" w:rsidP="00BD1887">
            <w:pPr>
              <w:jc w:val="both"/>
              <w:rPr>
                <w:rFonts w:ascii="Times New Roman" w:hAnsi="Times New Roman" w:cs="Times New Roman"/>
                <w:b/>
                <w:bCs/>
                <w:sz w:val="24"/>
                <w:szCs w:val="24"/>
              </w:rPr>
            </w:pPr>
          </w:p>
          <w:p w14:paraId="350A2752" w14:textId="77777777" w:rsidR="00C746AF" w:rsidRDefault="00C746AF" w:rsidP="00BD1887">
            <w:pPr>
              <w:jc w:val="both"/>
              <w:rPr>
                <w:rFonts w:ascii="Times New Roman" w:hAnsi="Times New Roman" w:cs="Times New Roman"/>
                <w:b/>
                <w:bCs/>
                <w:sz w:val="24"/>
                <w:szCs w:val="24"/>
              </w:rPr>
            </w:pPr>
          </w:p>
          <w:p w14:paraId="61935140" w14:textId="77777777" w:rsidR="00C746AF" w:rsidRDefault="00C746AF" w:rsidP="00BD1887">
            <w:pPr>
              <w:jc w:val="both"/>
              <w:rPr>
                <w:rFonts w:ascii="Times New Roman" w:hAnsi="Times New Roman" w:cs="Times New Roman"/>
                <w:b/>
                <w:bCs/>
                <w:sz w:val="24"/>
                <w:szCs w:val="24"/>
              </w:rPr>
            </w:pPr>
          </w:p>
          <w:p w14:paraId="6BA0E3A2" w14:textId="77777777" w:rsidR="00C746AF" w:rsidRDefault="00C746AF" w:rsidP="00BD1887">
            <w:pPr>
              <w:jc w:val="both"/>
              <w:rPr>
                <w:rFonts w:ascii="Times New Roman" w:hAnsi="Times New Roman" w:cs="Times New Roman"/>
                <w:b/>
                <w:bCs/>
                <w:sz w:val="24"/>
                <w:szCs w:val="24"/>
              </w:rPr>
            </w:pPr>
          </w:p>
          <w:p w14:paraId="1649A076" w14:textId="77777777" w:rsidR="00C746AF" w:rsidRDefault="00C746AF" w:rsidP="00BD1887">
            <w:pPr>
              <w:jc w:val="both"/>
              <w:rPr>
                <w:rFonts w:ascii="Times New Roman" w:hAnsi="Times New Roman" w:cs="Times New Roman"/>
                <w:b/>
                <w:bCs/>
                <w:sz w:val="24"/>
                <w:szCs w:val="24"/>
              </w:rPr>
            </w:pPr>
          </w:p>
          <w:p w14:paraId="219D83D8" w14:textId="77777777" w:rsidR="00C746AF" w:rsidRDefault="00C746AF" w:rsidP="00BD1887">
            <w:pPr>
              <w:jc w:val="both"/>
              <w:rPr>
                <w:rFonts w:ascii="Times New Roman" w:hAnsi="Times New Roman" w:cs="Times New Roman"/>
                <w:b/>
                <w:bCs/>
                <w:sz w:val="24"/>
                <w:szCs w:val="24"/>
              </w:rPr>
            </w:pPr>
          </w:p>
          <w:p w14:paraId="32D7B90E" w14:textId="77777777" w:rsidR="00C746AF" w:rsidRDefault="00C746AF" w:rsidP="00BD1887">
            <w:pPr>
              <w:jc w:val="both"/>
              <w:rPr>
                <w:rFonts w:ascii="Times New Roman" w:hAnsi="Times New Roman" w:cs="Times New Roman"/>
                <w:b/>
                <w:bCs/>
                <w:sz w:val="24"/>
                <w:szCs w:val="24"/>
              </w:rPr>
            </w:pPr>
          </w:p>
          <w:p w14:paraId="18E321C9" w14:textId="77777777" w:rsidR="00C746AF" w:rsidRDefault="00C746AF" w:rsidP="00BD1887">
            <w:pPr>
              <w:jc w:val="both"/>
              <w:rPr>
                <w:rFonts w:ascii="Times New Roman" w:hAnsi="Times New Roman" w:cs="Times New Roman"/>
                <w:b/>
                <w:bCs/>
                <w:sz w:val="24"/>
                <w:szCs w:val="24"/>
              </w:rPr>
            </w:pPr>
          </w:p>
          <w:p w14:paraId="5C93CB5F" w14:textId="77777777" w:rsidR="00C746AF" w:rsidRDefault="00C746AF" w:rsidP="00BD1887">
            <w:pPr>
              <w:jc w:val="both"/>
              <w:rPr>
                <w:rFonts w:ascii="Times New Roman" w:hAnsi="Times New Roman" w:cs="Times New Roman"/>
                <w:b/>
                <w:bCs/>
                <w:sz w:val="24"/>
                <w:szCs w:val="24"/>
              </w:rPr>
            </w:pPr>
          </w:p>
          <w:p w14:paraId="2CEDF3EC" w14:textId="77777777" w:rsidR="00C746AF" w:rsidRDefault="00C746AF" w:rsidP="00BD1887">
            <w:pPr>
              <w:jc w:val="both"/>
              <w:rPr>
                <w:rFonts w:ascii="Times New Roman" w:hAnsi="Times New Roman" w:cs="Times New Roman"/>
                <w:b/>
                <w:bCs/>
                <w:sz w:val="24"/>
                <w:szCs w:val="24"/>
              </w:rPr>
            </w:pPr>
          </w:p>
          <w:p w14:paraId="3FB37A9A" w14:textId="77777777" w:rsidR="00C746AF" w:rsidRPr="00836BEA" w:rsidRDefault="00C746AF" w:rsidP="00BD1887">
            <w:pPr>
              <w:jc w:val="both"/>
              <w:rPr>
                <w:rFonts w:ascii="Times New Roman" w:hAnsi="Times New Roman" w:cs="Times New Roman"/>
                <w:b/>
                <w:bCs/>
                <w:sz w:val="24"/>
                <w:szCs w:val="24"/>
              </w:rPr>
            </w:pPr>
          </w:p>
          <w:p w14:paraId="637345ED" w14:textId="77777777" w:rsidR="001331C6" w:rsidRPr="00836BEA" w:rsidRDefault="001331C6" w:rsidP="00BD1887">
            <w:pPr>
              <w:jc w:val="both"/>
              <w:rPr>
                <w:rFonts w:ascii="Times New Roman" w:hAnsi="Times New Roman" w:cs="Times New Roman"/>
                <w:b/>
                <w:bCs/>
                <w:sz w:val="24"/>
                <w:szCs w:val="24"/>
              </w:rPr>
            </w:pPr>
          </w:p>
          <w:p w14:paraId="584E8916" w14:textId="77777777" w:rsidR="008640C9" w:rsidRDefault="008640C9" w:rsidP="00BD1887">
            <w:pPr>
              <w:jc w:val="both"/>
              <w:rPr>
                <w:rFonts w:ascii="Times New Roman" w:hAnsi="Times New Roman" w:cs="Times New Roman"/>
                <w:bCs/>
                <w:color w:val="333333"/>
                <w:sz w:val="24"/>
                <w:szCs w:val="24"/>
                <w:shd w:val="clear" w:color="auto" w:fill="FFFFFF"/>
              </w:rPr>
            </w:pPr>
          </w:p>
          <w:p w14:paraId="57EDF1B9" w14:textId="77777777" w:rsidR="00012E15" w:rsidRPr="00836BEA" w:rsidRDefault="00012E15" w:rsidP="00BD1887">
            <w:pPr>
              <w:jc w:val="both"/>
              <w:rPr>
                <w:rFonts w:ascii="Times New Roman" w:hAnsi="Times New Roman" w:cs="Times New Roman"/>
                <w:color w:val="333333"/>
                <w:sz w:val="24"/>
                <w:szCs w:val="24"/>
                <w:shd w:val="clear" w:color="auto" w:fill="FFFFFF"/>
              </w:rPr>
            </w:pPr>
            <w:r w:rsidRPr="00836BEA">
              <w:rPr>
                <w:rFonts w:ascii="Times New Roman" w:hAnsi="Times New Roman" w:cs="Times New Roman"/>
                <w:bCs/>
                <w:color w:val="333333"/>
                <w:sz w:val="24"/>
                <w:szCs w:val="24"/>
                <w:shd w:val="clear" w:color="auto" w:fill="FFFFFF"/>
              </w:rPr>
              <w:t xml:space="preserve">3) загальний показник ефективності - 1 </w:t>
            </w:r>
            <w:r w:rsidRPr="00836BEA">
              <w:rPr>
                <w:rFonts w:ascii="Times New Roman" w:eastAsia="Times New Roman" w:hAnsi="Times New Roman" w:cs="Times New Roman"/>
                <w:bCs/>
                <w:color w:val="333333"/>
                <w:sz w:val="24"/>
                <w:szCs w:val="24"/>
                <w:shd w:val="clear" w:color="auto" w:fill="FFFFFF"/>
                <w:lang w:eastAsia="uk-UA"/>
              </w:rPr>
              <w:t xml:space="preserve">% </w:t>
            </w:r>
            <w:r w:rsidRPr="00836BEA">
              <w:rPr>
                <w:rFonts w:ascii="Times New Roman" w:eastAsia="Times New Roman" w:hAnsi="Times New Roman" w:cs="Times New Roman"/>
                <w:b/>
                <w:bCs/>
                <w:color w:val="333333"/>
                <w:sz w:val="24"/>
                <w:szCs w:val="24"/>
                <w:shd w:val="clear" w:color="auto" w:fill="FFFFFF"/>
                <w:lang w:eastAsia="uk-UA"/>
              </w:rPr>
              <w:t>(</w:t>
            </w:r>
            <w:r w:rsidRPr="00836BEA">
              <w:rPr>
                <w:rFonts w:ascii="Times New Roman" w:eastAsia="Times New Roman" w:hAnsi="Times New Roman" w:cs="Times New Roman"/>
                <w:color w:val="333333"/>
                <w:sz w:val="24"/>
                <w:szCs w:val="24"/>
                <w:shd w:val="clear" w:color="auto" w:fill="FFFFFF"/>
                <w:lang w:eastAsia="uk-UA"/>
              </w:rPr>
              <w:t>для 2023</w:t>
            </w:r>
            <w:r w:rsidRPr="00836BEA">
              <w:rPr>
                <w:rFonts w:ascii="Times New Roman" w:hAnsi="Times New Roman" w:cs="Times New Roman"/>
                <w:b/>
                <w:bCs/>
                <w:color w:val="0070C0"/>
                <w:sz w:val="24"/>
                <w:szCs w:val="24"/>
                <w:shd w:val="clear" w:color="auto" w:fill="FFFFFF"/>
              </w:rPr>
              <w:t xml:space="preserve"> </w:t>
            </w:r>
            <w:r w:rsidRPr="00836BEA">
              <w:rPr>
                <w:rFonts w:ascii="Times New Roman" w:hAnsi="Times New Roman" w:cs="Times New Roman"/>
                <w:b/>
                <w:sz w:val="24"/>
                <w:szCs w:val="24"/>
                <w:shd w:val="clear" w:color="auto" w:fill="FFFFFF"/>
              </w:rPr>
              <w:t>та 2024 років</w:t>
            </w:r>
            <w:r w:rsidRPr="00836BEA">
              <w:rPr>
                <w:b/>
                <w:bCs/>
                <w:sz w:val="24"/>
                <w:szCs w:val="24"/>
                <w:shd w:val="clear" w:color="auto" w:fill="FFFFFF"/>
              </w:rPr>
              <w:t xml:space="preserve"> </w:t>
            </w:r>
            <w:r w:rsidRPr="00836BEA">
              <w:rPr>
                <w:rFonts w:ascii="Times New Roman" w:hAnsi="Times New Roman" w:cs="Times New Roman"/>
                <w:color w:val="333333"/>
                <w:sz w:val="24"/>
                <w:szCs w:val="24"/>
                <w:shd w:val="clear" w:color="auto" w:fill="FFFFFF"/>
              </w:rPr>
              <w:t>–0 %);</w:t>
            </w:r>
          </w:p>
          <w:p w14:paraId="5E5F3327" w14:textId="77777777" w:rsidR="00012E15" w:rsidRPr="00836BEA" w:rsidRDefault="00012E15" w:rsidP="00BD1887">
            <w:pPr>
              <w:jc w:val="both"/>
              <w:rPr>
                <w:rFonts w:ascii="Times New Roman" w:hAnsi="Times New Roman" w:cs="Times New Roman"/>
                <w:b/>
                <w:bCs/>
                <w:color w:val="333333"/>
                <w:sz w:val="24"/>
                <w:szCs w:val="24"/>
                <w:shd w:val="clear" w:color="auto" w:fill="FFFFFF"/>
              </w:rPr>
            </w:pPr>
            <w:r w:rsidRPr="00836BEA">
              <w:rPr>
                <w:rFonts w:ascii="Times New Roman" w:hAnsi="Times New Roman" w:cs="Times New Roman"/>
                <w:b/>
                <w:bCs/>
                <w:color w:val="333333"/>
                <w:sz w:val="24"/>
                <w:szCs w:val="24"/>
                <w:shd w:val="clear" w:color="auto" w:fill="FFFFFF"/>
              </w:rPr>
              <w:t>………………………</w:t>
            </w:r>
          </w:p>
          <w:p w14:paraId="053A3D0F" w14:textId="77777777" w:rsidR="00012E15" w:rsidRPr="00836BEA" w:rsidRDefault="00012E15" w:rsidP="00BD1887">
            <w:pPr>
              <w:pStyle w:val="rvps2"/>
              <w:shd w:val="clear" w:color="auto" w:fill="FFFFFF"/>
              <w:spacing w:before="0" w:beforeAutospacing="0" w:after="0" w:afterAutospacing="0"/>
              <w:jc w:val="both"/>
              <w:rPr>
                <w:b/>
                <w:color w:val="333333"/>
              </w:rPr>
            </w:pPr>
            <w:r w:rsidRPr="00836BEA">
              <w:rPr>
                <w:color w:val="333333"/>
              </w:rPr>
              <w:t>5) показник ефективності технологічних витрат електроенергії на 1 класі напруги - 0,01 відносних одиниць</w:t>
            </w:r>
            <w:r w:rsidRPr="00836BEA">
              <w:rPr>
                <w:b/>
                <w:bCs/>
                <w:color w:val="FF0000"/>
                <w:lang w:val="ru-RU"/>
              </w:rPr>
              <w:t xml:space="preserve"> </w:t>
            </w:r>
            <w:r w:rsidRPr="00836BEA">
              <w:rPr>
                <w:b/>
                <w:color w:val="333333"/>
              </w:rPr>
              <w:t>(</w:t>
            </w:r>
            <w:r w:rsidRPr="00836BEA">
              <w:rPr>
                <w:bCs/>
                <w:color w:val="333333"/>
              </w:rPr>
              <w:t>для 2023</w:t>
            </w:r>
            <w:r w:rsidRPr="00836BEA">
              <w:rPr>
                <w:b/>
                <w:bCs/>
                <w:color w:val="0070C0"/>
              </w:rPr>
              <w:t xml:space="preserve"> </w:t>
            </w:r>
            <w:r w:rsidRPr="00836BEA">
              <w:rPr>
                <w:b/>
                <w:shd w:val="clear" w:color="auto" w:fill="FFFFFF"/>
              </w:rPr>
              <w:t>та</w:t>
            </w:r>
            <w:r w:rsidRPr="00836BEA">
              <w:rPr>
                <w:rFonts w:eastAsiaTheme="minorHAnsi"/>
                <w:b/>
                <w:shd w:val="clear" w:color="auto" w:fill="FFFFFF"/>
                <w:lang w:eastAsia="en-US"/>
              </w:rPr>
              <w:t xml:space="preserve"> 2024</w:t>
            </w:r>
            <w:r w:rsidRPr="00836BEA">
              <w:rPr>
                <w:b/>
                <w:shd w:val="clear" w:color="auto" w:fill="FFFFFF"/>
              </w:rPr>
              <w:t xml:space="preserve"> </w:t>
            </w:r>
            <w:r w:rsidRPr="00836BEA">
              <w:rPr>
                <w:rFonts w:eastAsiaTheme="minorHAnsi"/>
                <w:b/>
                <w:shd w:val="clear" w:color="auto" w:fill="FFFFFF"/>
                <w:lang w:eastAsia="en-US"/>
              </w:rPr>
              <w:t xml:space="preserve">років </w:t>
            </w:r>
            <w:r w:rsidRPr="00836BEA">
              <w:rPr>
                <w:b/>
                <w:bCs/>
                <w:color w:val="0070C0"/>
              </w:rPr>
              <w:t xml:space="preserve">– </w:t>
            </w:r>
            <w:r w:rsidRPr="00836BEA">
              <w:rPr>
                <w:bCs/>
                <w:color w:val="333333"/>
              </w:rPr>
              <w:t>0 відносних одиниць);</w:t>
            </w:r>
          </w:p>
          <w:p w14:paraId="26450C6B" w14:textId="77777777" w:rsidR="00012E15" w:rsidRPr="00836BEA" w:rsidRDefault="00012E15" w:rsidP="00BD1887">
            <w:pPr>
              <w:pStyle w:val="rvps2"/>
              <w:shd w:val="clear" w:color="auto" w:fill="FFFFFF"/>
              <w:spacing w:before="0" w:beforeAutospacing="0" w:after="0" w:afterAutospacing="0"/>
              <w:ind w:firstLine="450"/>
              <w:jc w:val="both"/>
              <w:rPr>
                <w:b/>
                <w:bCs/>
                <w:color w:val="333333"/>
              </w:rPr>
            </w:pPr>
          </w:p>
          <w:p w14:paraId="41FA1F8A" w14:textId="77777777" w:rsidR="00012E15" w:rsidRPr="00836BEA" w:rsidRDefault="00012E15" w:rsidP="00315B60">
            <w:pPr>
              <w:pStyle w:val="rvps2"/>
              <w:shd w:val="clear" w:color="auto" w:fill="FFFFFF"/>
              <w:spacing w:before="0" w:beforeAutospacing="0" w:after="0" w:afterAutospacing="0"/>
              <w:jc w:val="both"/>
              <w:rPr>
                <w:bCs/>
                <w:color w:val="0070C0"/>
              </w:rPr>
            </w:pPr>
            <w:r w:rsidRPr="00836BEA">
              <w:rPr>
                <w:color w:val="333333"/>
              </w:rPr>
              <w:t xml:space="preserve">6) показник ефективності технологічних витрат електроенергії на 2 класі напруги - 0,035 відносних </w:t>
            </w:r>
            <w:r w:rsidRPr="00836BEA">
              <w:rPr>
                <w:color w:val="333333"/>
              </w:rPr>
              <w:lastRenderedPageBreak/>
              <w:t>одиниць</w:t>
            </w:r>
            <w:r w:rsidRPr="00836BEA">
              <w:rPr>
                <w:b/>
                <w:bCs/>
                <w:color w:val="FF0000"/>
              </w:rPr>
              <w:t xml:space="preserve"> </w:t>
            </w:r>
            <w:r w:rsidRPr="00836BEA">
              <w:rPr>
                <w:b/>
                <w:color w:val="333333"/>
              </w:rPr>
              <w:t>(</w:t>
            </w:r>
            <w:r w:rsidRPr="00836BEA">
              <w:rPr>
                <w:bCs/>
                <w:color w:val="333333"/>
              </w:rPr>
              <w:t>для 2023</w:t>
            </w:r>
            <w:r w:rsidRPr="00836BEA">
              <w:rPr>
                <w:b/>
                <w:bCs/>
                <w:color w:val="0070C0"/>
              </w:rPr>
              <w:t xml:space="preserve"> </w:t>
            </w:r>
            <w:r w:rsidRPr="00836BEA">
              <w:rPr>
                <w:b/>
                <w:shd w:val="clear" w:color="auto" w:fill="FFFFFF"/>
              </w:rPr>
              <w:t>та</w:t>
            </w:r>
            <w:r w:rsidRPr="00836BEA">
              <w:rPr>
                <w:rFonts w:eastAsiaTheme="minorHAnsi"/>
                <w:b/>
                <w:shd w:val="clear" w:color="auto" w:fill="FFFFFF"/>
                <w:lang w:eastAsia="en-US"/>
              </w:rPr>
              <w:t xml:space="preserve"> 2024</w:t>
            </w:r>
            <w:r w:rsidRPr="00836BEA">
              <w:rPr>
                <w:b/>
                <w:shd w:val="clear" w:color="auto" w:fill="FFFFFF"/>
              </w:rPr>
              <w:t xml:space="preserve"> </w:t>
            </w:r>
            <w:r w:rsidRPr="00836BEA">
              <w:rPr>
                <w:rFonts w:eastAsiaTheme="minorHAnsi"/>
                <w:b/>
                <w:shd w:val="clear" w:color="auto" w:fill="FFFFFF"/>
                <w:lang w:eastAsia="en-US"/>
              </w:rPr>
              <w:t xml:space="preserve">років </w:t>
            </w:r>
            <w:r w:rsidRPr="00836BEA">
              <w:rPr>
                <w:b/>
                <w:color w:val="333333"/>
              </w:rPr>
              <w:t xml:space="preserve">– </w:t>
            </w:r>
            <w:r w:rsidRPr="00836BEA">
              <w:rPr>
                <w:bCs/>
                <w:color w:val="333333"/>
              </w:rPr>
              <w:t>0 відносних одиниць);</w:t>
            </w:r>
          </w:p>
          <w:p w14:paraId="3398D397" w14:textId="77777777" w:rsidR="00012E15" w:rsidRPr="00836BEA" w:rsidRDefault="00012E15" w:rsidP="004B7599">
            <w:pPr>
              <w:jc w:val="both"/>
              <w:rPr>
                <w:rFonts w:ascii="Times New Roman" w:hAnsi="Times New Roman" w:cs="Times New Roman"/>
                <w:b/>
                <w:bCs/>
                <w:color w:val="333333"/>
                <w:sz w:val="24"/>
                <w:szCs w:val="24"/>
                <w:shd w:val="clear" w:color="auto" w:fill="FFFFFF"/>
              </w:rPr>
            </w:pPr>
            <w:r w:rsidRPr="00836BEA">
              <w:rPr>
                <w:rFonts w:ascii="Times New Roman" w:hAnsi="Times New Roman" w:cs="Times New Roman"/>
                <w:b/>
                <w:bCs/>
                <w:color w:val="333333"/>
                <w:sz w:val="24"/>
                <w:szCs w:val="24"/>
                <w:shd w:val="clear" w:color="auto" w:fill="FFFFFF"/>
              </w:rPr>
              <w:t>……………………</w:t>
            </w:r>
          </w:p>
          <w:p w14:paraId="08FA1543" w14:textId="77777777" w:rsidR="00C616B7" w:rsidRDefault="00C616B7" w:rsidP="00C55724">
            <w:pPr>
              <w:pStyle w:val="a4"/>
              <w:ind w:left="29"/>
              <w:jc w:val="both"/>
              <w:rPr>
                <w:rFonts w:ascii="Times New Roman" w:hAnsi="Times New Roman" w:cs="Times New Roman"/>
                <w:b/>
                <w:color w:val="FF0000"/>
                <w:sz w:val="24"/>
                <w:szCs w:val="24"/>
              </w:rPr>
            </w:pPr>
          </w:p>
          <w:p w14:paraId="7D0E50CD" w14:textId="77777777" w:rsidR="00C55724" w:rsidRPr="00836BEA" w:rsidRDefault="00C55724" w:rsidP="00C55724">
            <w:pPr>
              <w:pStyle w:val="a4"/>
              <w:ind w:left="29"/>
              <w:jc w:val="both"/>
              <w:rPr>
                <w:rFonts w:ascii="Times New Roman" w:hAnsi="Times New Roman" w:cs="Times New Roman"/>
                <w:b/>
                <w:color w:val="FF0000"/>
                <w:sz w:val="24"/>
                <w:szCs w:val="24"/>
              </w:rPr>
            </w:pPr>
            <w:r w:rsidRPr="00836BEA">
              <w:rPr>
                <w:rFonts w:ascii="Times New Roman" w:hAnsi="Times New Roman" w:cs="Times New Roman"/>
                <w:b/>
                <w:color w:val="FF0000"/>
                <w:sz w:val="24"/>
                <w:szCs w:val="24"/>
              </w:rPr>
              <w:t>Зміни до підпункту 11 пункту 1 не пропонувались</w:t>
            </w:r>
          </w:p>
          <w:p w14:paraId="293EC1C9" w14:textId="77777777" w:rsidR="00C55724" w:rsidRPr="00836BEA" w:rsidRDefault="00C55724" w:rsidP="00C55724">
            <w:pPr>
              <w:pStyle w:val="a4"/>
              <w:ind w:left="29"/>
              <w:jc w:val="both"/>
              <w:rPr>
                <w:rFonts w:ascii="Times New Roman" w:hAnsi="Times New Roman" w:cs="Times New Roman"/>
                <w:sz w:val="24"/>
                <w:szCs w:val="24"/>
              </w:rPr>
            </w:pPr>
            <w:r w:rsidRPr="00836BEA">
              <w:rPr>
                <w:rFonts w:ascii="Times New Roman" w:hAnsi="Times New Roman" w:cs="Times New Roman"/>
                <w:sz w:val="24"/>
                <w:szCs w:val="24"/>
              </w:rPr>
              <w:t>11) рік з початку переходу на стимулююче регулювання, у якому має бути досягнуто встановлений цільовий показник якості послуг, - 14-й рік;</w:t>
            </w:r>
          </w:p>
          <w:p w14:paraId="679CF27E" w14:textId="77777777" w:rsidR="00C55724" w:rsidRPr="00836BEA" w:rsidRDefault="00C55724" w:rsidP="004B7599">
            <w:pPr>
              <w:jc w:val="both"/>
              <w:rPr>
                <w:rFonts w:ascii="Times New Roman" w:hAnsi="Times New Roman" w:cs="Times New Roman"/>
                <w:b/>
                <w:bCs/>
                <w:color w:val="333333"/>
                <w:sz w:val="24"/>
                <w:szCs w:val="24"/>
                <w:shd w:val="clear" w:color="auto" w:fill="FFFFFF"/>
              </w:rPr>
            </w:pPr>
          </w:p>
          <w:p w14:paraId="0B0FA7A4" w14:textId="77777777" w:rsidR="00012E15" w:rsidRPr="00836BEA" w:rsidRDefault="00012E15" w:rsidP="00467779">
            <w:pPr>
              <w:pStyle w:val="rvps2"/>
              <w:shd w:val="clear" w:color="auto" w:fill="FFFFFF"/>
              <w:spacing w:before="0" w:beforeAutospacing="0" w:after="0" w:afterAutospacing="0"/>
              <w:jc w:val="both"/>
              <w:rPr>
                <w:b/>
                <w:bCs/>
              </w:rPr>
            </w:pPr>
          </w:p>
        </w:tc>
        <w:tc>
          <w:tcPr>
            <w:tcW w:w="5387" w:type="dxa"/>
          </w:tcPr>
          <w:p w14:paraId="729EE636" w14:textId="77777777" w:rsidR="007C1FBC" w:rsidRPr="00C616B7" w:rsidRDefault="007C1FBC" w:rsidP="00E73554">
            <w:pPr>
              <w:pStyle w:val="1"/>
              <w:jc w:val="both"/>
              <w:rPr>
                <w:rFonts w:ascii="Times New Roman" w:hAnsi="Times New Roman"/>
                <w:b/>
                <w:sz w:val="24"/>
                <w:szCs w:val="24"/>
                <w:lang w:val="uk-UA"/>
              </w:rPr>
            </w:pPr>
            <w:r w:rsidRPr="00C616B7">
              <w:rPr>
                <w:rFonts w:ascii="Times New Roman" w:hAnsi="Times New Roman"/>
                <w:b/>
                <w:sz w:val="24"/>
                <w:szCs w:val="24"/>
                <w:lang w:val="uk-UA"/>
              </w:rPr>
              <w:lastRenderedPageBreak/>
              <w:t>АТ «</w:t>
            </w:r>
            <w:proofErr w:type="spellStart"/>
            <w:r w:rsidRPr="00C616B7">
              <w:rPr>
                <w:rFonts w:ascii="Times New Roman" w:hAnsi="Times New Roman"/>
                <w:b/>
                <w:sz w:val="24"/>
                <w:szCs w:val="24"/>
                <w:lang w:val="uk-UA"/>
              </w:rPr>
              <w:t>Прикарпаттяобленерго</w:t>
            </w:r>
            <w:proofErr w:type="spellEnd"/>
            <w:r w:rsidRPr="00C616B7">
              <w:rPr>
                <w:rFonts w:ascii="Times New Roman" w:hAnsi="Times New Roman"/>
                <w:b/>
                <w:sz w:val="24"/>
                <w:szCs w:val="24"/>
                <w:lang w:val="uk-UA"/>
              </w:rPr>
              <w:t>» лист від 02.10.2023 № 50012257/20</w:t>
            </w:r>
          </w:p>
          <w:p w14:paraId="54F2A931" w14:textId="77777777" w:rsidR="001331C6" w:rsidRPr="00C616B7" w:rsidRDefault="001331C6" w:rsidP="001331C6">
            <w:pPr>
              <w:jc w:val="both"/>
              <w:rPr>
                <w:rFonts w:ascii="Times New Roman" w:hAnsi="Times New Roman"/>
                <w:b/>
                <w:color w:val="333333"/>
                <w:sz w:val="24"/>
                <w:szCs w:val="24"/>
                <w:shd w:val="clear" w:color="auto" w:fill="FFFFFF"/>
              </w:rPr>
            </w:pPr>
            <w:r w:rsidRPr="00C616B7">
              <w:rPr>
                <w:rFonts w:ascii="Times New Roman" w:hAnsi="Times New Roman"/>
                <w:b/>
                <w:color w:val="333333"/>
                <w:sz w:val="24"/>
                <w:szCs w:val="24"/>
                <w:shd w:val="clear" w:color="auto" w:fill="FFFFFF"/>
              </w:rPr>
              <w:t>ПрАТ «ДТЕК Київські електромережі» лист від 02.10.2023 № 1/06/31081</w:t>
            </w:r>
          </w:p>
          <w:p w14:paraId="7C519523" w14:textId="77777777" w:rsidR="001331C6" w:rsidRPr="00C616B7" w:rsidRDefault="001331C6" w:rsidP="001331C6">
            <w:pPr>
              <w:jc w:val="both"/>
              <w:rPr>
                <w:rFonts w:ascii="Times New Roman" w:hAnsi="Times New Roman"/>
                <w:b/>
                <w:color w:val="333333"/>
                <w:sz w:val="24"/>
                <w:szCs w:val="24"/>
                <w:shd w:val="clear" w:color="auto" w:fill="FFFFFF"/>
              </w:rPr>
            </w:pPr>
            <w:r w:rsidRPr="00C616B7">
              <w:rPr>
                <w:rFonts w:ascii="Times New Roman" w:hAnsi="Times New Roman"/>
                <w:b/>
                <w:color w:val="333333"/>
                <w:sz w:val="24"/>
                <w:szCs w:val="24"/>
                <w:shd w:val="clear" w:color="auto" w:fill="FFFFFF"/>
              </w:rPr>
              <w:t>АТ «ДТЕК Одеські електромережі» лист від 02.10.2023 № 101/04/03-9306</w:t>
            </w:r>
          </w:p>
          <w:p w14:paraId="60D365D6" w14:textId="77777777" w:rsidR="001331C6" w:rsidRPr="00C616B7" w:rsidRDefault="001331C6" w:rsidP="001331C6">
            <w:pPr>
              <w:jc w:val="both"/>
              <w:rPr>
                <w:rFonts w:ascii="Times New Roman" w:hAnsi="Times New Roman" w:cs="Times New Roman"/>
                <w:b/>
                <w:sz w:val="24"/>
                <w:szCs w:val="24"/>
                <w:shd w:val="clear" w:color="auto" w:fill="FFFFFF"/>
              </w:rPr>
            </w:pPr>
            <w:r w:rsidRPr="00C616B7">
              <w:rPr>
                <w:rFonts w:ascii="Times New Roman" w:hAnsi="Times New Roman" w:cs="Times New Roman"/>
                <w:b/>
                <w:sz w:val="24"/>
                <w:szCs w:val="24"/>
                <w:shd w:val="clear" w:color="auto" w:fill="FFFFFF"/>
              </w:rPr>
              <w:t xml:space="preserve">АТ «ДТЕК ДНІПРОВСЬКІ ЕЛЕКТРОМЕРЕЖІ» </w:t>
            </w:r>
            <w:r w:rsidRPr="00C616B7">
              <w:rPr>
                <w:rFonts w:ascii="Times New Roman" w:hAnsi="Times New Roman"/>
                <w:b/>
                <w:sz w:val="24"/>
                <w:szCs w:val="24"/>
              </w:rPr>
              <w:t>лист від 02.10.2023 № 48916/1001</w:t>
            </w:r>
          </w:p>
          <w:p w14:paraId="28F6A1FA" w14:textId="77777777" w:rsidR="00C746AF" w:rsidRPr="00C746AF" w:rsidRDefault="007C1FBC" w:rsidP="00E73554">
            <w:pPr>
              <w:pStyle w:val="1"/>
              <w:jc w:val="both"/>
              <w:rPr>
                <w:rFonts w:ascii="Times New Roman" w:hAnsi="Times New Roman"/>
                <w:sz w:val="24"/>
                <w:szCs w:val="24"/>
                <w:lang w:val="uk-UA"/>
              </w:rPr>
            </w:pPr>
            <w:r w:rsidRPr="00836BEA">
              <w:rPr>
                <w:rFonts w:ascii="Times New Roman" w:hAnsi="Times New Roman"/>
                <w:sz w:val="24"/>
                <w:szCs w:val="24"/>
                <w:lang w:val="uk-UA"/>
              </w:rPr>
              <w:t>1. Установити на перший регуляторний період (</w:t>
            </w:r>
            <w:r w:rsidRPr="00836BEA">
              <w:rPr>
                <w:rFonts w:ascii="Times New Roman" w:hAnsi="Times New Roman"/>
                <w:b/>
                <w:sz w:val="24"/>
                <w:szCs w:val="24"/>
                <w:lang w:val="uk-UA"/>
              </w:rPr>
              <w:t>5 років</w:t>
            </w:r>
            <w:r w:rsidRPr="00836BEA">
              <w:rPr>
                <w:rFonts w:ascii="Times New Roman" w:hAnsi="Times New Roman"/>
                <w:sz w:val="24"/>
                <w:szCs w:val="24"/>
                <w:lang w:val="uk-UA"/>
              </w:rPr>
              <w:t>)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ліцензіати), на рівні:</w:t>
            </w:r>
          </w:p>
          <w:p w14:paraId="18B0C87E" w14:textId="77777777" w:rsidR="00C746AF" w:rsidRPr="00C746AF" w:rsidRDefault="00C746AF" w:rsidP="00E73554">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510846FD" w14:textId="77777777" w:rsidR="00C746AF" w:rsidRPr="00C746AF" w:rsidRDefault="00C746AF" w:rsidP="00C746AF">
            <w:pPr>
              <w:jc w:val="both"/>
              <w:rPr>
                <w:rFonts w:ascii="Times New Roman" w:eastAsia="Times New Roman" w:hAnsi="Times New Roman" w:cs="Times New Roman"/>
                <w:i/>
                <w:sz w:val="24"/>
              </w:rPr>
            </w:pPr>
            <w:r w:rsidRPr="00C746AF">
              <w:rPr>
                <w:rFonts w:ascii="Times New Roman" w:eastAsia="Times New Roman" w:hAnsi="Times New Roman" w:cs="Times New Roman"/>
                <w:i/>
                <w:sz w:val="24"/>
              </w:rPr>
              <w:t xml:space="preserve">З огляду на введення воєнного стану по всій території України та з метою врегулювання проблемних питань діяльності </w:t>
            </w:r>
            <w:r>
              <w:rPr>
                <w:rFonts w:ascii="Times New Roman" w:eastAsia="Times New Roman" w:hAnsi="Times New Roman" w:cs="Times New Roman"/>
                <w:i/>
                <w:sz w:val="24"/>
              </w:rPr>
              <w:t>ОСР</w:t>
            </w:r>
            <w:r w:rsidRPr="00C746AF">
              <w:rPr>
                <w:rFonts w:ascii="Times New Roman" w:eastAsia="Times New Roman" w:hAnsi="Times New Roman" w:cs="Times New Roman"/>
                <w:i/>
                <w:sz w:val="24"/>
              </w:rPr>
              <w:t xml:space="preserve"> в умовах воєнного часу НКРЕКП у грудні 2022 року постановила, що перший регуляторний період становить 4 роки. Фактори спричинені війною, що мають вплив на енергетичний сектор, актуальні і зараз (проблема системних </w:t>
            </w:r>
            <w:proofErr w:type="spellStart"/>
            <w:r w:rsidRPr="00C746AF">
              <w:rPr>
                <w:rFonts w:ascii="Times New Roman" w:eastAsia="Times New Roman" w:hAnsi="Times New Roman" w:cs="Times New Roman"/>
                <w:i/>
                <w:sz w:val="24"/>
              </w:rPr>
              <w:t>неплатежів</w:t>
            </w:r>
            <w:proofErr w:type="spellEnd"/>
            <w:r w:rsidRPr="00C746AF">
              <w:rPr>
                <w:rFonts w:ascii="Times New Roman" w:eastAsia="Times New Roman" w:hAnsi="Times New Roman" w:cs="Times New Roman"/>
                <w:i/>
                <w:sz w:val="24"/>
              </w:rPr>
              <w:t xml:space="preserve">, ракетні обстріли критичної інфраструктури, падіння фактичного обсягу </w:t>
            </w:r>
            <w:r w:rsidRPr="00C746AF">
              <w:rPr>
                <w:rFonts w:ascii="Times New Roman" w:eastAsia="Times New Roman" w:hAnsi="Times New Roman" w:cs="Times New Roman"/>
                <w:i/>
                <w:sz w:val="24"/>
              </w:rPr>
              <w:lastRenderedPageBreak/>
              <w:t>товарної продукції). Все це призвело до значного недоотримання коштів компанією, що, фактично, унеможливлює виконання операторами системи розподілу зобов’язань протягом першого регуляторного періоду (</w:t>
            </w:r>
            <w:r w:rsidRPr="00D20506">
              <w:rPr>
                <w:rFonts w:ascii="Times New Roman" w:eastAsia="Times New Roman" w:hAnsi="Times New Roman" w:cs="Times New Roman"/>
                <w:i/>
                <w:sz w:val="24"/>
              </w:rPr>
              <w:t>повне виконання плану заходів із забезпечення достовірності даних для здійснення моніторингу якості послуг (OMS)</w:t>
            </w:r>
            <w:r w:rsidRPr="00C746AF">
              <w:rPr>
                <w:rFonts w:ascii="Times New Roman" w:eastAsia="Times New Roman" w:hAnsi="Times New Roman" w:cs="Times New Roman"/>
                <w:i/>
                <w:sz w:val="24"/>
              </w:rPr>
              <w:t xml:space="preserve">; щорічне виконання Інвестиційної програми за джерелами фінансування ІП). </w:t>
            </w:r>
          </w:p>
          <w:p w14:paraId="4598411C" w14:textId="77777777" w:rsidR="007C1FBC" w:rsidRPr="00836BEA" w:rsidRDefault="007C1FBC" w:rsidP="00E73554">
            <w:pPr>
              <w:pStyle w:val="1"/>
              <w:jc w:val="both"/>
              <w:rPr>
                <w:rFonts w:ascii="Times New Roman" w:hAnsi="Times New Roman"/>
                <w:sz w:val="24"/>
                <w:szCs w:val="24"/>
                <w:lang w:val="uk-UA"/>
              </w:rPr>
            </w:pPr>
            <w:r w:rsidRPr="00836BEA">
              <w:rPr>
                <w:rFonts w:ascii="Times New Roman" w:hAnsi="Times New Roman"/>
                <w:sz w:val="24"/>
                <w:szCs w:val="24"/>
                <w:lang w:val="uk-UA"/>
              </w:rPr>
              <w:t>…</w:t>
            </w:r>
            <w:r w:rsidR="001331C6" w:rsidRPr="00836BEA">
              <w:rPr>
                <w:rFonts w:ascii="Times New Roman" w:hAnsi="Times New Roman"/>
                <w:sz w:val="24"/>
                <w:szCs w:val="24"/>
                <w:lang w:val="uk-UA"/>
              </w:rPr>
              <w:t>……………..</w:t>
            </w:r>
          </w:p>
          <w:p w14:paraId="7D06A9E8" w14:textId="77777777" w:rsidR="001331C6" w:rsidRDefault="001331C6" w:rsidP="00E73554">
            <w:pPr>
              <w:pStyle w:val="1"/>
              <w:jc w:val="both"/>
              <w:rPr>
                <w:rFonts w:ascii="Times New Roman" w:hAnsi="Times New Roman"/>
                <w:sz w:val="24"/>
                <w:szCs w:val="24"/>
                <w:lang w:val="uk-UA"/>
              </w:rPr>
            </w:pPr>
          </w:p>
          <w:p w14:paraId="03B12837" w14:textId="77777777" w:rsidR="001331C6" w:rsidRPr="00C616B7" w:rsidRDefault="001331C6" w:rsidP="001331C6">
            <w:pPr>
              <w:pStyle w:val="1"/>
              <w:jc w:val="both"/>
              <w:rPr>
                <w:rFonts w:ascii="Times New Roman" w:hAnsi="Times New Roman"/>
                <w:b/>
                <w:sz w:val="24"/>
                <w:szCs w:val="24"/>
                <w:lang w:val="uk-UA"/>
              </w:rPr>
            </w:pPr>
            <w:r w:rsidRPr="00C616B7">
              <w:rPr>
                <w:rFonts w:ascii="Times New Roman" w:hAnsi="Times New Roman"/>
                <w:b/>
                <w:sz w:val="24"/>
                <w:szCs w:val="24"/>
                <w:lang w:val="uk-UA"/>
              </w:rPr>
              <w:t>АТ «</w:t>
            </w:r>
            <w:proofErr w:type="spellStart"/>
            <w:r w:rsidRPr="00C616B7">
              <w:rPr>
                <w:rFonts w:ascii="Times New Roman" w:eastAsiaTheme="minorHAnsi" w:hAnsi="Times New Roman" w:cstheme="minorBidi"/>
                <w:b/>
                <w:color w:val="333333"/>
                <w:sz w:val="24"/>
                <w:szCs w:val="24"/>
                <w:shd w:val="clear" w:color="auto" w:fill="FFFFFF"/>
                <w:lang w:val="uk-UA"/>
              </w:rPr>
              <w:t>Прикарпаттяобленер</w:t>
            </w:r>
            <w:r w:rsidRPr="00C616B7">
              <w:rPr>
                <w:rFonts w:ascii="Times New Roman" w:hAnsi="Times New Roman"/>
                <w:b/>
                <w:sz w:val="24"/>
                <w:szCs w:val="24"/>
                <w:lang w:val="uk-UA"/>
              </w:rPr>
              <w:t>го</w:t>
            </w:r>
            <w:proofErr w:type="spellEnd"/>
            <w:r w:rsidRPr="00C616B7">
              <w:rPr>
                <w:rFonts w:ascii="Times New Roman" w:hAnsi="Times New Roman"/>
                <w:b/>
                <w:sz w:val="24"/>
                <w:szCs w:val="24"/>
                <w:lang w:val="uk-UA"/>
              </w:rPr>
              <w:t>» лист від 02.10.2023 № 50012257/20</w:t>
            </w:r>
          </w:p>
          <w:p w14:paraId="3E606E11" w14:textId="77777777" w:rsidR="001331C6" w:rsidRPr="00C616B7" w:rsidRDefault="001331C6" w:rsidP="001331C6">
            <w:pPr>
              <w:pStyle w:val="1"/>
              <w:jc w:val="both"/>
              <w:rPr>
                <w:rFonts w:ascii="Times New Roman" w:hAnsi="Times New Roman"/>
                <w:b/>
                <w:sz w:val="24"/>
                <w:szCs w:val="24"/>
                <w:lang w:val="uk-UA"/>
              </w:rPr>
            </w:pPr>
            <w:r w:rsidRPr="00C616B7">
              <w:rPr>
                <w:rFonts w:ascii="Times New Roman" w:hAnsi="Times New Roman"/>
                <w:b/>
                <w:color w:val="333333"/>
                <w:sz w:val="24"/>
                <w:szCs w:val="24"/>
                <w:shd w:val="clear" w:color="auto" w:fill="FFFFFF"/>
                <w:lang w:val="ru-RU"/>
              </w:rPr>
              <w:t xml:space="preserve">ПАТ «ЗАПОРІЖЖЯОБЛЕНЕРГО» </w:t>
            </w:r>
            <w:r w:rsidRPr="00C616B7">
              <w:rPr>
                <w:rFonts w:ascii="Times New Roman" w:hAnsi="Times New Roman"/>
                <w:b/>
                <w:sz w:val="24"/>
                <w:szCs w:val="24"/>
                <w:lang w:val="uk-UA"/>
              </w:rPr>
              <w:t>лист від 02.10.2023 № 001-003/2107</w:t>
            </w:r>
          </w:p>
          <w:p w14:paraId="146B62D6" w14:textId="77777777" w:rsidR="001331C6" w:rsidRPr="00C616B7" w:rsidRDefault="001331C6" w:rsidP="001331C6">
            <w:pPr>
              <w:jc w:val="both"/>
              <w:rPr>
                <w:rFonts w:ascii="Times New Roman" w:hAnsi="Times New Roman"/>
                <w:b/>
                <w:color w:val="333333"/>
                <w:sz w:val="24"/>
                <w:szCs w:val="24"/>
                <w:shd w:val="clear" w:color="auto" w:fill="FFFFFF"/>
              </w:rPr>
            </w:pPr>
            <w:r w:rsidRPr="00C616B7">
              <w:rPr>
                <w:rFonts w:ascii="Times New Roman" w:hAnsi="Times New Roman"/>
                <w:b/>
                <w:color w:val="333333"/>
                <w:sz w:val="24"/>
                <w:szCs w:val="24"/>
                <w:shd w:val="clear" w:color="auto" w:fill="FFFFFF"/>
              </w:rPr>
              <w:t>ПрАТ «ДТЕК Київські електромережі» лист від 02.10.2023 № 1/06/31081</w:t>
            </w:r>
          </w:p>
          <w:p w14:paraId="76BB6B5A" w14:textId="77777777" w:rsidR="001331C6" w:rsidRPr="00A84C1E" w:rsidRDefault="001331C6" w:rsidP="001331C6">
            <w:pPr>
              <w:jc w:val="both"/>
              <w:rPr>
                <w:rFonts w:ascii="Times New Roman" w:hAnsi="Times New Roman"/>
                <w:b/>
                <w:sz w:val="24"/>
                <w:szCs w:val="24"/>
                <w:shd w:val="clear" w:color="auto" w:fill="FFFFFF"/>
              </w:rPr>
            </w:pPr>
            <w:r w:rsidRPr="00A84C1E">
              <w:rPr>
                <w:rFonts w:ascii="Times New Roman" w:hAnsi="Times New Roman"/>
                <w:b/>
                <w:sz w:val="24"/>
                <w:szCs w:val="24"/>
                <w:shd w:val="clear" w:color="auto" w:fill="FFFFFF"/>
              </w:rPr>
              <w:t>АТ «ДТЕК Одеські електромережі» лист від 02.10.2023 № 101/04/03-9306</w:t>
            </w:r>
          </w:p>
          <w:p w14:paraId="0F126411" w14:textId="77777777" w:rsidR="001331C6" w:rsidRDefault="001331C6" w:rsidP="001331C6">
            <w:pPr>
              <w:jc w:val="both"/>
              <w:rPr>
                <w:rFonts w:ascii="Times New Roman" w:hAnsi="Times New Roman"/>
                <w:b/>
                <w:sz w:val="24"/>
                <w:szCs w:val="24"/>
              </w:rPr>
            </w:pPr>
            <w:r w:rsidRPr="00C616B7">
              <w:rPr>
                <w:rFonts w:ascii="Times New Roman" w:hAnsi="Times New Roman" w:cs="Times New Roman"/>
                <w:b/>
                <w:sz w:val="24"/>
                <w:szCs w:val="24"/>
                <w:shd w:val="clear" w:color="auto" w:fill="FFFFFF"/>
              </w:rPr>
              <w:t xml:space="preserve">АТ «ДТЕК ДНІПРОВСЬКІ ЕЛЕКТРОМЕРЕЖІ» </w:t>
            </w:r>
            <w:r w:rsidRPr="00C616B7">
              <w:rPr>
                <w:rFonts w:ascii="Times New Roman" w:hAnsi="Times New Roman"/>
                <w:b/>
                <w:sz w:val="24"/>
                <w:szCs w:val="24"/>
              </w:rPr>
              <w:t>лист від 02.10.2023 № 48916/1001</w:t>
            </w:r>
          </w:p>
          <w:p w14:paraId="4F95AA21" w14:textId="77777777" w:rsidR="00C616B7" w:rsidRPr="00C616B7" w:rsidRDefault="00C616B7" w:rsidP="00C616B7">
            <w:pPr>
              <w:rPr>
                <w:rFonts w:ascii="Times New Roman" w:eastAsia="Times New Roman" w:hAnsi="Times New Roman" w:cs="Times New Roman"/>
                <w:b/>
                <w:sz w:val="24"/>
                <w:szCs w:val="24"/>
              </w:rPr>
            </w:pPr>
            <w:r w:rsidRPr="00C616B7">
              <w:rPr>
                <w:rFonts w:ascii="Times New Roman" w:eastAsia="Times New Roman" w:hAnsi="Times New Roman" w:cs="Times New Roman"/>
                <w:b/>
                <w:sz w:val="24"/>
                <w:szCs w:val="24"/>
              </w:rPr>
              <w:t>ПРАТ «</w:t>
            </w:r>
            <w:proofErr w:type="spellStart"/>
            <w:r w:rsidRPr="00C616B7">
              <w:rPr>
                <w:rFonts w:ascii="Times New Roman" w:eastAsia="Times New Roman" w:hAnsi="Times New Roman" w:cs="Times New Roman"/>
                <w:b/>
                <w:sz w:val="24"/>
                <w:szCs w:val="24"/>
              </w:rPr>
              <w:t>Львівобленерго</w:t>
            </w:r>
            <w:proofErr w:type="spellEnd"/>
            <w:r w:rsidRPr="00C616B7">
              <w:rPr>
                <w:rFonts w:ascii="Times New Roman" w:eastAsia="Times New Roman" w:hAnsi="Times New Roman" w:cs="Times New Roman"/>
                <w:b/>
                <w:sz w:val="24"/>
                <w:szCs w:val="24"/>
              </w:rPr>
              <w:t>» лист від 03.10.2023 № 122-07-5425</w:t>
            </w:r>
          </w:p>
          <w:p w14:paraId="3BAC988B" w14:textId="77777777" w:rsidR="001331C6" w:rsidRPr="00836BEA" w:rsidRDefault="001331C6" w:rsidP="001331C6">
            <w:pPr>
              <w:pStyle w:val="1"/>
              <w:jc w:val="both"/>
              <w:rPr>
                <w:rFonts w:ascii="Times New Roman" w:hAnsi="Times New Roman"/>
                <w:b/>
                <w:sz w:val="24"/>
                <w:szCs w:val="24"/>
                <w:lang w:val="uk-UA"/>
              </w:rPr>
            </w:pPr>
            <w:r w:rsidRPr="00836BEA">
              <w:rPr>
                <w:rFonts w:ascii="Times New Roman" w:hAnsi="Times New Roman"/>
                <w:b/>
                <w:sz w:val="24"/>
                <w:szCs w:val="24"/>
                <w:lang w:val="uk-UA"/>
              </w:rPr>
              <w:t>………………………….</w:t>
            </w:r>
          </w:p>
          <w:p w14:paraId="6764DD31" w14:textId="77777777" w:rsidR="00C746AF" w:rsidRDefault="007C1FBC" w:rsidP="007C1FBC">
            <w:pPr>
              <w:pStyle w:val="rvps2"/>
              <w:shd w:val="clear" w:color="auto" w:fill="FFFFFF"/>
              <w:spacing w:before="0" w:beforeAutospacing="0" w:after="0" w:afterAutospacing="0"/>
              <w:jc w:val="both"/>
              <w:rPr>
                <w:color w:val="333333"/>
                <w:shd w:val="clear" w:color="auto" w:fill="FFFFFF"/>
              </w:rPr>
            </w:pPr>
            <w:r w:rsidRPr="00836BEA">
              <w:rPr>
                <w:bCs/>
                <w:color w:val="333333"/>
                <w:shd w:val="clear" w:color="auto" w:fill="FFFFFF"/>
              </w:rPr>
              <w:t>2) регуляторна норма доходу на регуляторну базу активів, яка створена після переходу на стимулююче регулювання, - 0,1674 відносних одиниць (для 2023</w:t>
            </w:r>
            <w:r w:rsidRPr="00836BEA">
              <w:rPr>
                <w:b/>
                <w:bCs/>
                <w:color w:val="333333"/>
                <w:shd w:val="clear" w:color="auto" w:fill="FFFFFF"/>
              </w:rPr>
              <w:t xml:space="preserve"> </w:t>
            </w:r>
            <w:r w:rsidRPr="00836BEA">
              <w:rPr>
                <w:rFonts w:eastAsia="Calibri"/>
                <w:b/>
                <w:strike/>
                <w:shd w:val="clear" w:color="auto" w:fill="FFFFFF"/>
                <w:lang w:eastAsia="en-US"/>
              </w:rPr>
              <w:t>та 2024</w:t>
            </w:r>
            <w:r w:rsidRPr="00836BEA">
              <w:rPr>
                <w:b/>
                <w:bCs/>
                <w:strike/>
                <w:shd w:val="clear" w:color="auto" w:fill="FFFFFF"/>
              </w:rPr>
              <w:t xml:space="preserve"> </w:t>
            </w:r>
            <w:r w:rsidRPr="00836BEA">
              <w:rPr>
                <w:rFonts w:eastAsia="Calibri"/>
                <w:b/>
                <w:strike/>
                <w:shd w:val="clear" w:color="auto" w:fill="FFFFFF"/>
                <w:lang w:eastAsia="en-US"/>
              </w:rPr>
              <w:t>років</w:t>
            </w:r>
            <w:r w:rsidRPr="00836BEA">
              <w:rPr>
                <w:b/>
                <w:bCs/>
                <w:shd w:val="clear" w:color="auto" w:fill="FFFFFF"/>
              </w:rPr>
              <w:t xml:space="preserve"> </w:t>
            </w:r>
            <w:r w:rsidRPr="00836BEA">
              <w:rPr>
                <w:b/>
                <w:bCs/>
                <w:color w:val="333333"/>
                <w:shd w:val="clear" w:color="auto" w:fill="FFFFFF"/>
              </w:rPr>
              <w:t xml:space="preserve">– </w:t>
            </w:r>
            <w:r w:rsidRPr="00836BEA">
              <w:rPr>
                <w:color w:val="333333"/>
                <w:shd w:val="clear" w:color="auto" w:fill="FFFFFF"/>
              </w:rPr>
              <w:t>0,03 відносних одиниць);</w:t>
            </w:r>
          </w:p>
          <w:p w14:paraId="238692B2" w14:textId="77777777" w:rsidR="00C746AF" w:rsidRPr="00C746AF" w:rsidRDefault="00C746AF" w:rsidP="00C746AF">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7CB66DBC" w14:textId="77777777" w:rsidR="00A84C1E" w:rsidRPr="00A84C1E" w:rsidRDefault="008640C9" w:rsidP="007C1FBC">
            <w:pPr>
              <w:pStyle w:val="rvps2"/>
              <w:shd w:val="clear" w:color="auto" w:fill="FFFFFF"/>
              <w:spacing w:before="0" w:beforeAutospacing="0" w:after="0" w:afterAutospacing="0"/>
              <w:jc w:val="both"/>
              <w:rPr>
                <w:i/>
                <w:color w:val="333333"/>
                <w:shd w:val="clear" w:color="auto" w:fill="FFFFFF"/>
              </w:rPr>
            </w:pPr>
            <w:r>
              <w:rPr>
                <w:i/>
                <w:color w:val="333333"/>
                <w:shd w:val="clear" w:color="auto" w:fill="FFFFFF"/>
              </w:rPr>
              <w:t>У</w:t>
            </w:r>
            <w:r w:rsidRPr="008640C9">
              <w:rPr>
                <w:i/>
                <w:color w:val="333333"/>
                <w:shd w:val="clear" w:color="auto" w:fill="FFFFFF"/>
              </w:rPr>
              <w:t xml:space="preserve"> </w:t>
            </w:r>
            <w:r>
              <w:rPr>
                <w:i/>
                <w:color w:val="333333"/>
                <w:shd w:val="clear" w:color="auto" w:fill="FFFFFF"/>
              </w:rPr>
              <w:t>ОСР</w:t>
            </w:r>
            <w:r w:rsidRPr="008640C9">
              <w:rPr>
                <w:i/>
                <w:color w:val="333333"/>
                <w:shd w:val="clear" w:color="auto" w:fill="FFFFFF"/>
              </w:rPr>
              <w:t xml:space="preserve"> недостатньо коштів для здійснення діяльності. Кошти від прибутку на регуляторну базу активів, що не є джерелом інвестиційної програми, ОСР спрямовує на покриття касових </w:t>
            </w:r>
            <w:r w:rsidRPr="008640C9">
              <w:rPr>
                <w:i/>
                <w:color w:val="333333"/>
                <w:shd w:val="clear" w:color="auto" w:fill="FFFFFF"/>
              </w:rPr>
              <w:lastRenderedPageBreak/>
              <w:t>розривів, дефіциту коштів для фінансування пріоритетних операційних витрат, створення аварійного запасу обладнання, забезпечення надання операторами систем розподілу послуг з тимчасового приєднання до електричних мереж об’єктів замовників</w:t>
            </w:r>
            <w:r>
              <w:rPr>
                <w:i/>
                <w:color w:val="333333"/>
                <w:shd w:val="clear" w:color="auto" w:fill="FFFFFF"/>
              </w:rPr>
              <w:t xml:space="preserve">. Крім того </w:t>
            </w:r>
            <w:r w:rsidR="00A84C1E" w:rsidRPr="00A84C1E">
              <w:rPr>
                <w:i/>
                <w:color w:val="000000" w:themeColor="text1"/>
              </w:rPr>
              <w:t xml:space="preserve">Методологією стимулюючого </w:t>
            </w:r>
            <w:proofErr w:type="spellStart"/>
            <w:r w:rsidR="00A84C1E" w:rsidRPr="00A84C1E">
              <w:rPr>
                <w:i/>
                <w:color w:val="000000" w:themeColor="text1"/>
              </w:rPr>
              <w:t>тарифоутворення</w:t>
            </w:r>
            <w:proofErr w:type="spellEnd"/>
            <w:r w:rsidR="00A84C1E" w:rsidRPr="00A84C1E">
              <w:rPr>
                <w:i/>
                <w:color w:val="000000" w:themeColor="text1"/>
              </w:rPr>
              <w:t xml:space="preserve"> передбачалися відповідні механізми відшкодування витрат на вкладений капітал. </w:t>
            </w:r>
          </w:p>
          <w:p w14:paraId="7D9CB28A" w14:textId="77777777" w:rsidR="007C1FBC" w:rsidRPr="00836BEA" w:rsidRDefault="007C1FBC" w:rsidP="00E73554">
            <w:pPr>
              <w:pStyle w:val="1"/>
              <w:jc w:val="both"/>
              <w:rPr>
                <w:rFonts w:ascii="Times New Roman" w:hAnsi="Times New Roman"/>
                <w:b/>
                <w:sz w:val="24"/>
                <w:szCs w:val="24"/>
                <w:u w:val="single"/>
                <w:lang w:val="uk-UA"/>
              </w:rPr>
            </w:pPr>
          </w:p>
          <w:p w14:paraId="7F7A520A" w14:textId="77777777" w:rsidR="00E73554" w:rsidRPr="00C616B7" w:rsidRDefault="00E73554" w:rsidP="00E73554">
            <w:pPr>
              <w:pStyle w:val="1"/>
              <w:jc w:val="both"/>
              <w:rPr>
                <w:rFonts w:ascii="Times New Roman" w:hAnsi="Times New Roman"/>
                <w:b/>
                <w:sz w:val="24"/>
                <w:szCs w:val="24"/>
                <w:lang w:val="uk-UA"/>
              </w:rPr>
            </w:pPr>
            <w:r w:rsidRPr="00C616B7">
              <w:rPr>
                <w:rFonts w:ascii="Times New Roman" w:hAnsi="Times New Roman"/>
                <w:b/>
                <w:sz w:val="24"/>
                <w:szCs w:val="24"/>
                <w:lang w:val="uk-UA"/>
              </w:rPr>
              <w:t>АТ «ХАРКІВОБЛЕНЕРГО»</w:t>
            </w:r>
            <w:r w:rsidRPr="00C616B7">
              <w:rPr>
                <w:rFonts w:ascii="Times New Roman" w:hAnsi="Times New Roman"/>
                <w:b/>
                <w:sz w:val="24"/>
                <w:szCs w:val="24"/>
                <w:lang w:val="ru-RU"/>
              </w:rPr>
              <w:t xml:space="preserve"> </w:t>
            </w:r>
            <w:r w:rsidRPr="00C616B7">
              <w:rPr>
                <w:rFonts w:ascii="Times New Roman" w:hAnsi="Times New Roman"/>
                <w:b/>
                <w:sz w:val="24"/>
                <w:szCs w:val="24"/>
                <w:lang w:val="uk-UA"/>
              </w:rPr>
              <w:t xml:space="preserve">лист від </w:t>
            </w:r>
            <w:r w:rsidR="0096708C" w:rsidRPr="00C616B7">
              <w:rPr>
                <w:rFonts w:ascii="Times New Roman" w:hAnsi="Times New Roman"/>
                <w:b/>
                <w:sz w:val="24"/>
                <w:szCs w:val="24"/>
                <w:lang w:val="uk-UA"/>
              </w:rPr>
              <w:t>2</w:t>
            </w:r>
            <w:r w:rsidRPr="00C616B7">
              <w:rPr>
                <w:rFonts w:ascii="Times New Roman" w:hAnsi="Times New Roman"/>
                <w:b/>
                <w:sz w:val="24"/>
                <w:szCs w:val="24"/>
                <w:lang w:val="uk-UA"/>
              </w:rPr>
              <w:t>7.0</w:t>
            </w:r>
            <w:r w:rsidR="0096708C" w:rsidRPr="00C616B7">
              <w:rPr>
                <w:rFonts w:ascii="Times New Roman" w:hAnsi="Times New Roman"/>
                <w:b/>
                <w:sz w:val="24"/>
                <w:szCs w:val="24"/>
                <w:lang w:val="uk-UA"/>
              </w:rPr>
              <w:t>9</w:t>
            </w:r>
            <w:r w:rsidRPr="00C616B7">
              <w:rPr>
                <w:rFonts w:ascii="Times New Roman" w:hAnsi="Times New Roman"/>
                <w:b/>
                <w:sz w:val="24"/>
                <w:szCs w:val="24"/>
                <w:lang w:val="uk-UA"/>
              </w:rPr>
              <w:t xml:space="preserve">.2023 </w:t>
            </w:r>
            <w:r w:rsidR="0096708C" w:rsidRPr="00C616B7">
              <w:rPr>
                <w:rFonts w:ascii="Times New Roman" w:hAnsi="Times New Roman"/>
                <w:b/>
                <w:sz w:val="24"/>
                <w:szCs w:val="24"/>
                <w:lang w:val="uk-UA"/>
              </w:rPr>
              <w:br/>
            </w:r>
            <w:r w:rsidRPr="00C616B7">
              <w:rPr>
                <w:rFonts w:ascii="Times New Roman" w:hAnsi="Times New Roman"/>
                <w:b/>
                <w:sz w:val="24"/>
                <w:szCs w:val="24"/>
                <w:lang w:val="uk-UA"/>
              </w:rPr>
              <w:t>№ 01-25/</w:t>
            </w:r>
            <w:r w:rsidR="0096708C" w:rsidRPr="00C616B7">
              <w:rPr>
                <w:rFonts w:ascii="Times New Roman" w:hAnsi="Times New Roman"/>
                <w:b/>
                <w:sz w:val="24"/>
                <w:szCs w:val="24"/>
                <w:lang w:val="uk-UA"/>
              </w:rPr>
              <w:t>5771</w:t>
            </w:r>
          </w:p>
          <w:p w14:paraId="12AA37DB" w14:textId="77777777" w:rsidR="001331C6" w:rsidRPr="00836BEA" w:rsidRDefault="001331C6" w:rsidP="001331C6">
            <w:pPr>
              <w:pStyle w:val="1"/>
              <w:jc w:val="both"/>
              <w:rPr>
                <w:rFonts w:ascii="Times New Roman" w:hAnsi="Times New Roman"/>
                <w:b/>
                <w:sz w:val="24"/>
                <w:szCs w:val="24"/>
                <w:lang w:val="uk-UA"/>
              </w:rPr>
            </w:pPr>
            <w:r w:rsidRPr="00836BEA">
              <w:rPr>
                <w:rFonts w:ascii="Times New Roman" w:hAnsi="Times New Roman"/>
                <w:b/>
                <w:sz w:val="24"/>
                <w:szCs w:val="24"/>
                <w:lang w:val="uk-UA"/>
              </w:rPr>
              <w:t>………………………….</w:t>
            </w:r>
          </w:p>
          <w:p w14:paraId="272D8787" w14:textId="77777777" w:rsidR="00E73554" w:rsidRDefault="00E73554" w:rsidP="00BD1887">
            <w:pPr>
              <w:jc w:val="both"/>
              <w:rPr>
                <w:rFonts w:ascii="Times New Roman" w:hAnsi="Times New Roman"/>
                <w:sz w:val="24"/>
                <w:szCs w:val="24"/>
              </w:rPr>
            </w:pPr>
            <w:r w:rsidRPr="00836BEA">
              <w:rPr>
                <w:rFonts w:ascii="Times New Roman" w:hAnsi="Times New Roman"/>
                <w:sz w:val="24"/>
                <w:szCs w:val="24"/>
                <w:shd w:val="clear" w:color="auto" w:fill="FFFFFF"/>
              </w:rPr>
              <w:t xml:space="preserve">2) регуляторна норма доходу на регуляторну базу активів, яка створена після переходу на стимулююче регулювання, - 0,1674 відносних одиниць </w:t>
            </w:r>
            <w:r w:rsidRPr="00836BEA">
              <w:rPr>
                <w:rFonts w:ascii="Times New Roman" w:hAnsi="Times New Roman"/>
                <w:bCs/>
                <w:sz w:val="24"/>
                <w:szCs w:val="24"/>
              </w:rPr>
              <w:t>(</w:t>
            </w:r>
            <w:r w:rsidRPr="00836BEA">
              <w:rPr>
                <w:rFonts w:ascii="Times New Roman" w:hAnsi="Times New Roman"/>
                <w:b/>
                <w:sz w:val="24"/>
                <w:szCs w:val="24"/>
              </w:rPr>
              <w:t>для</w:t>
            </w:r>
            <w:r w:rsidRPr="00836BEA">
              <w:rPr>
                <w:rFonts w:ascii="Times New Roman" w:hAnsi="Times New Roman"/>
                <w:bCs/>
                <w:sz w:val="24"/>
                <w:szCs w:val="24"/>
              </w:rPr>
              <w:t xml:space="preserve"> </w:t>
            </w:r>
            <w:r w:rsidRPr="00836BEA">
              <w:rPr>
                <w:rFonts w:ascii="Times New Roman" w:hAnsi="Times New Roman"/>
                <w:b/>
                <w:sz w:val="24"/>
                <w:szCs w:val="24"/>
              </w:rPr>
              <w:t>2024</w:t>
            </w:r>
            <w:r w:rsidRPr="00836BEA">
              <w:rPr>
                <w:rFonts w:ascii="Times New Roman" w:hAnsi="Times New Roman"/>
                <w:b/>
                <w:bCs/>
                <w:sz w:val="24"/>
                <w:szCs w:val="24"/>
              </w:rPr>
              <w:t xml:space="preserve"> </w:t>
            </w:r>
            <w:r w:rsidRPr="00836BEA">
              <w:rPr>
                <w:rFonts w:ascii="Times New Roman" w:hAnsi="Times New Roman"/>
                <w:b/>
                <w:sz w:val="24"/>
                <w:szCs w:val="24"/>
              </w:rPr>
              <w:t>років</w:t>
            </w:r>
            <w:r w:rsidRPr="00836BEA">
              <w:rPr>
                <w:rFonts w:ascii="Times New Roman" w:hAnsi="Times New Roman"/>
                <w:b/>
                <w:bCs/>
                <w:sz w:val="24"/>
                <w:szCs w:val="24"/>
              </w:rPr>
              <w:t xml:space="preserve"> – </w:t>
            </w:r>
            <w:r w:rsidRPr="00836BEA">
              <w:rPr>
                <w:rFonts w:ascii="Times New Roman" w:hAnsi="Times New Roman"/>
                <w:sz w:val="24"/>
                <w:szCs w:val="24"/>
              </w:rPr>
              <w:t>0,05 відносних одиниць)</w:t>
            </w:r>
            <w:r w:rsidR="00C746AF">
              <w:rPr>
                <w:rFonts w:ascii="Times New Roman" w:hAnsi="Times New Roman"/>
                <w:sz w:val="24"/>
                <w:szCs w:val="24"/>
              </w:rPr>
              <w:t>.</w:t>
            </w:r>
          </w:p>
          <w:p w14:paraId="18B51E03" w14:textId="77777777" w:rsidR="00C746AF" w:rsidRPr="00C746AF" w:rsidRDefault="00C746AF" w:rsidP="00C746AF">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774D1601" w14:textId="77777777" w:rsidR="008640C9" w:rsidRPr="008640C9" w:rsidRDefault="008640C9" w:rsidP="00BD1887">
            <w:pPr>
              <w:jc w:val="both"/>
              <w:rPr>
                <w:rFonts w:ascii="Times New Roman" w:hAnsi="Times New Roman"/>
                <w:i/>
                <w:sz w:val="24"/>
                <w:szCs w:val="24"/>
              </w:rPr>
            </w:pPr>
            <w:r>
              <w:rPr>
                <w:rFonts w:ascii="Times New Roman" w:hAnsi="Times New Roman"/>
                <w:i/>
                <w:sz w:val="24"/>
                <w:szCs w:val="24"/>
              </w:rPr>
              <w:t>В</w:t>
            </w:r>
            <w:r w:rsidRPr="008640C9">
              <w:rPr>
                <w:rFonts w:ascii="Times New Roman" w:hAnsi="Times New Roman"/>
                <w:i/>
                <w:sz w:val="24"/>
                <w:szCs w:val="24"/>
              </w:rPr>
              <w:t xml:space="preserve">раховуючи те, що унаслідок військової агресії та постійних обстрілів з боку </w:t>
            </w:r>
            <w:proofErr w:type="spellStart"/>
            <w:r>
              <w:rPr>
                <w:rFonts w:ascii="Times New Roman" w:hAnsi="Times New Roman"/>
                <w:i/>
                <w:sz w:val="24"/>
                <w:szCs w:val="24"/>
              </w:rPr>
              <w:t>рф</w:t>
            </w:r>
            <w:proofErr w:type="spellEnd"/>
            <w:r w:rsidRPr="008640C9">
              <w:rPr>
                <w:rFonts w:ascii="Times New Roman" w:hAnsi="Times New Roman"/>
                <w:i/>
                <w:sz w:val="24"/>
                <w:szCs w:val="24"/>
              </w:rPr>
              <w:t xml:space="preserve"> велика кількість пошкодження енергетичного обладнання – все це необхідно відновлювати для можливості виконання основної задачі ОСР – забезпечення електроживлення споживачів України.</w:t>
            </w:r>
          </w:p>
          <w:p w14:paraId="6352180D" w14:textId="77777777" w:rsidR="00B31E71" w:rsidRDefault="00B31E71" w:rsidP="00BD1887">
            <w:pPr>
              <w:jc w:val="both"/>
              <w:rPr>
                <w:rFonts w:ascii="Times New Roman" w:hAnsi="Times New Roman"/>
                <w:sz w:val="24"/>
                <w:szCs w:val="24"/>
              </w:rPr>
            </w:pPr>
          </w:p>
          <w:p w14:paraId="5F7195F2" w14:textId="77777777" w:rsidR="00C616B7" w:rsidRDefault="00C616B7" w:rsidP="00C746AF">
            <w:pPr>
              <w:pStyle w:val="af"/>
              <w:widowControl w:val="0"/>
              <w:snapToGrid w:val="0"/>
              <w:spacing w:after="0" w:line="240" w:lineRule="auto"/>
              <w:jc w:val="both"/>
              <w:rPr>
                <w:rFonts w:eastAsiaTheme="minorHAnsi" w:cstheme="minorBidi"/>
                <w:sz w:val="24"/>
                <w:szCs w:val="24"/>
                <w:shd w:val="clear" w:color="auto" w:fill="FFFFFF"/>
                <w:lang w:eastAsia="en-US"/>
              </w:rPr>
            </w:pPr>
          </w:p>
          <w:p w14:paraId="23923BFC" w14:textId="77777777" w:rsidR="001331C6" w:rsidRPr="00C63FFB" w:rsidRDefault="00C55724" w:rsidP="00EB6F91">
            <w:pPr>
              <w:jc w:val="both"/>
              <w:rPr>
                <w:rFonts w:ascii="Times New Roman" w:hAnsi="Times New Roman"/>
                <w:b/>
                <w:color w:val="333333"/>
                <w:sz w:val="24"/>
                <w:szCs w:val="24"/>
                <w:shd w:val="clear" w:color="auto" w:fill="FFFFFF"/>
              </w:rPr>
            </w:pPr>
            <w:r w:rsidRPr="00C63FFB">
              <w:rPr>
                <w:rFonts w:ascii="Times New Roman" w:hAnsi="Times New Roman"/>
                <w:b/>
                <w:color w:val="333333"/>
                <w:sz w:val="24"/>
                <w:szCs w:val="24"/>
                <w:shd w:val="clear" w:color="auto" w:fill="FFFFFF"/>
              </w:rPr>
              <w:t>ПрАТ «ДТЕК Київські електромережі» лист від 02.10.2023 № 1/06/31081</w:t>
            </w:r>
          </w:p>
          <w:p w14:paraId="3C13E892" w14:textId="77777777" w:rsidR="001331C6" w:rsidRPr="00C63FFB" w:rsidRDefault="00EB6F91" w:rsidP="00EB6F91">
            <w:pPr>
              <w:jc w:val="both"/>
              <w:rPr>
                <w:rFonts w:ascii="Times New Roman" w:hAnsi="Times New Roman"/>
                <w:b/>
                <w:color w:val="333333"/>
                <w:sz w:val="24"/>
                <w:szCs w:val="24"/>
                <w:shd w:val="clear" w:color="auto" w:fill="FFFFFF"/>
              </w:rPr>
            </w:pPr>
            <w:r w:rsidRPr="00C63FFB">
              <w:rPr>
                <w:rFonts w:ascii="Times New Roman" w:hAnsi="Times New Roman"/>
                <w:b/>
                <w:color w:val="333333"/>
                <w:sz w:val="24"/>
                <w:szCs w:val="24"/>
                <w:shd w:val="clear" w:color="auto" w:fill="FFFFFF"/>
              </w:rPr>
              <w:t>АТ «ДТЕК Одеські електромережі» лист від 02.10.2023 № 101/04/03-9306</w:t>
            </w:r>
          </w:p>
          <w:p w14:paraId="62CE0174" w14:textId="77777777" w:rsidR="00C55724" w:rsidRPr="00C63FFB" w:rsidRDefault="00EB6F91" w:rsidP="001331C6">
            <w:pPr>
              <w:jc w:val="both"/>
              <w:rPr>
                <w:rFonts w:ascii="Times New Roman" w:hAnsi="Times New Roman" w:cs="Times New Roman"/>
                <w:b/>
                <w:sz w:val="24"/>
                <w:szCs w:val="24"/>
                <w:shd w:val="clear" w:color="auto" w:fill="FFFFFF"/>
              </w:rPr>
            </w:pPr>
            <w:r w:rsidRPr="00C63FFB">
              <w:rPr>
                <w:rFonts w:ascii="Times New Roman" w:hAnsi="Times New Roman" w:cs="Times New Roman"/>
                <w:b/>
                <w:sz w:val="24"/>
                <w:szCs w:val="24"/>
                <w:shd w:val="clear" w:color="auto" w:fill="FFFFFF"/>
              </w:rPr>
              <w:t xml:space="preserve">АТ «ДТЕК ДНІПРОВСЬКІ ЕЛЕКТРОМЕРЕЖІ» </w:t>
            </w:r>
            <w:r w:rsidRPr="00C63FFB">
              <w:rPr>
                <w:rFonts w:ascii="Times New Roman" w:hAnsi="Times New Roman"/>
                <w:b/>
                <w:sz w:val="24"/>
                <w:szCs w:val="24"/>
              </w:rPr>
              <w:t xml:space="preserve">лист від 02.10.2023 </w:t>
            </w:r>
            <w:r w:rsidR="00AF03C5" w:rsidRPr="00C63FFB">
              <w:rPr>
                <w:rFonts w:ascii="Times New Roman" w:hAnsi="Times New Roman"/>
                <w:b/>
                <w:sz w:val="24"/>
                <w:szCs w:val="24"/>
              </w:rPr>
              <w:br/>
            </w:r>
            <w:r w:rsidRPr="00C63FFB">
              <w:rPr>
                <w:rFonts w:ascii="Times New Roman" w:hAnsi="Times New Roman"/>
                <w:b/>
                <w:sz w:val="24"/>
                <w:szCs w:val="24"/>
              </w:rPr>
              <w:t>№ 48916/1001</w:t>
            </w:r>
          </w:p>
          <w:p w14:paraId="141AA5DF" w14:textId="77777777" w:rsidR="00C55724" w:rsidRPr="00836BEA" w:rsidRDefault="00C55724" w:rsidP="00C55724">
            <w:pPr>
              <w:pStyle w:val="rvps2"/>
              <w:shd w:val="clear" w:color="auto" w:fill="FFFFFF"/>
              <w:spacing w:before="0" w:beforeAutospacing="0" w:after="0" w:afterAutospacing="0"/>
              <w:jc w:val="both"/>
              <w:rPr>
                <w:color w:val="333333"/>
                <w:shd w:val="clear" w:color="auto" w:fill="FFFFFF"/>
              </w:rPr>
            </w:pPr>
            <w:r w:rsidRPr="00836BEA">
              <w:rPr>
                <w:color w:val="333333"/>
                <w:shd w:val="clear" w:color="auto" w:fill="FFFFFF"/>
              </w:rPr>
              <w:t>….</w:t>
            </w:r>
          </w:p>
          <w:p w14:paraId="5D5A109C" w14:textId="77777777" w:rsidR="00C746AF" w:rsidRDefault="00C55724" w:rsidP="001331C6">
            <w:pPr>
              <w:pStyle w:val="rvps2"/>
              <w:shd w:val="clear" w:color="auto" w:fill="FFFFFF"/>
              <w:spacing w:before="0" w:beforeAutospacing="0" w:after="0" w:afterAutospacing="0"/>
              <w:jc w:val="both"/>
              <w:rPr>
                <w:color w:val="333333"/>
                <w:shd w:val="clear" w:color="auto" w:fill="FFFFFF"/>
              </w:rPr>
            </w:pPr>
            <w:r w:rsidRPr="00836BEA">
              <w:rPr>
                <w:color w:val="333333"/>
                <w:shd w:val="clear" w:color="auto" w:fill="FFFFFF"/>
              </w:rPr>
              <w:lastRenderedPageBreak/>
              <w:t xml:space="preserve">11) рік з початку переходу на стимулююче регулювання, у якому має бути досягнуто встановлений цільовий показник якості послуг, - </w:t>
            </w:r>
            <w:r w:rsidRPr="00836BEA">
              <w:rPr>
                <w:b/>
                <w:bCs/>
                <w:color w:val="333333"/>
                <w:shd w:val="clear" w:color="auto" w:fill="FFFFFF"/>
              </w:rPr>
              <w:t>1</w:t>
            </w:r>
            <w:r w:rsidRPr="00836BEA">
              <w:rPr>
                <w:b/>
                <w:bCs/>
                <w:color w:val="333333"/>
                <w:shd w:val="clear" w:color="auto" w:fill="FFFFFF"/>
                <w:lang w:val="ru-RU"/>
              </w:rPr>
              <w:t>5</w:t>
            </w:r>
            <w:r w:rsidRPr="00836BEA">
              <w:rPr>
                <w:b/>
                <w:bCs/>
                <w:color w:val="333333"/>
                <w:shd w:val="clear" w:color="auto" w:fill="FFFFFF"/>
              </w:rPr>
              <w:t>-й</w:t>
            </w:r>
            <w:r w:rsidRPr="00836BEA">
              <w:rPr>
                <w:color w:val="333333"/>
                <w:shd w:val="clear" w:color="auto" w:fill="FFFFFF"/>
              </w:rPr>
              <w:t xml:space="preserve"> рік</w:t>
            </w:r>
          </w:p>
          <w:p w14:paraId="633C1E24" w14:textId="77777777" w:rsidR="00C746AF" w:rsidRPr="00C746AF" w:rsidRDefault="00C746AF" w:rsidP="00C746AF">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145D3362" w14:textId="77777777" w:rsidR="008640C9" w:rsidRPr="008640C9" w:rsidRDefault="00C746AF" w:rsidP="001331C6">
            <w:pPr>
              <w:pStyle w:val="rvps2"/>
              <w:shd w:val="clear" w:color="auto" w:fill="FFFFFF"/>
              <w:spacing w:before="0" w:beforeAutospacing="0" w:after="0" w:afterAutospacing="0"/>
              <w:jc w:val="both"/>
              <w:rPr>
                <w:i/>
                <w:color w:val="333333"/>
                <w:shd w:val="clear" w:color="auto" w:fill="FFFFFF"/>
              </w:rPr>
            </w:pPr>
            <w:r>
              <w:rPr>
                <w:i/>
                <w:color w:val="000000" w:themeColor="text1"/>
              </w:rPr>
              <w:t>В</w:t>
            </w:r>
            <w:r w:rsidR="008640C9" w:rsidRPr="008640C9">
              <w:rPr>
                <w:i/>
                <w:color w:val="000000" w:themeColor="text1"/>
              </w:rPr>
              <w:t xml:space="preserve">иконання завдання щодо зменшення SAIDI </w:t>
            </w:r>
            <w:r w:rsidRPr="008640C9">
              <w:rPr>
                <w:i/>
                <w:color w:val="000000" w:themeColor="text1"/>
              </w:rPr>
              <w:t>ускладняється</w:t>
            </w:r>
            <w:r w:rsidR="008640C9" w:rsidRPr="008640C9">
              <w:rPr>
                <w:i/>
                <w:color w:val="000000" w:themeColor="text1"/>
              </w:rPr>
              <w:t xml:space="preserve"> через зовнішні чинники, пов’язані з воєнними діями. У зв’язку з цим пропонується подовжити термін досягнення показнику якості.</w:t>
            </w:r>
          </w:p>
        </w:tc>
        <w:tc>
          <w:tcPr>
            <w:tcW w:w="4394" w:type="dxa"/>
          </w:tcPr>
          <w:p w14:paraId="5688E415" w14:textId="77777777" w:rsidR="001331C6" w:rsidRPr="00836BEA" w:rsidRDefault="001331C6" w:rsidP="00FA2AE9">
            <w:pPr>
              <w:jc w:val="both"/>
              <w:rPr>
                <w:rFonts w:ascii="Times New Roman" w:hAnsi="Times New Roman" w:cs="Times New Roman"/>
                <w:b/>
                <w:bCs/>
                <w:sz w:val="24"/>
                <w:szCs w:val="24"/>
              </w:rPr>
            </w:pPr>
            <w:r w:rsidRPr="00836BEA">
              <w:rPr>
                <w:rFonts w:ascii="Times New Roman" w:hAnsi="Times New Roman" w:cs="Times New Roman"/>
                <w:b/>
                <w:bCs/>
                <w:sz w:val="24"/>
                <w:szCs w:val="24"/>
              </w:rPr>
              <w:lastRenderedPageBreak/>
              <w:t>Не враховується</w:t>
            </w:r>
          </w:p>
          <w:p w14:paraId="5CA2DD48" w14:textId="77777777" w:rsidR="001331C6" w:rsidRPr="00836BEA" w:rsidRDefault="001331C6" w:rsidP="00FA2AE9">
            <w:pPr>
              <w:jc w:val="both"/>
              <w:rPr>
                <w:rFonts w:ascii="Times New Roman" w:hAnsi="Times New Roman" w:cs="Times New Roman"/>
                <w:b/>
                <w:bCs/>
                <w:sz w:val="24"/>
                <w:szCs w:val="24"/>
              </w:rPr>
            </w:pPr>
            <w:r w:rsidRPr="00836BEA">
              <w:rPr>
                <w:rFonts w:ascii="Times New Roman" w:hAnsi="Times New Roman" w:cs="Times New Roman"/>
                <w:b/>
                <w:bCs/>
                <w:sz w:val="24"/>
                <w:szCs w:val="24"/>
              </w:rPr>
              <w:t>Недостатньо обґрунтована позиція</w:t>
            </w:r>
          </w:p>
          <w:p w14:paraId="6F100352" w14:textId="77777777" w:rsidR="001331C6" w:rsidRPr="00836BEA" w:rsidRDefault="001331C6" w:rsidP="00FA2AE9">
            <w:pPr>
              <w:ind w:hanging="49"/>
              <w:jc w:val="both"/>
              <w:rPr>
                <w:rFonts w:ascii="Times New Roman" w:hAnsi="Times New Roman" w:cs="Times New Roman"/>
                <w:bCs/>
                <w:sz w:val="24"/>
                <w:szCs w:val="24"/>
              </w:rPr>
            </w:pPr>
            <w:r w:rsidRPr="00836BEA">
              <w:rPr>
                <w:rFonts w:ascii="Times New Roman" w:hAnsi="Times New Roman" w:cs="Times New Roman"/>
                <w:bCs/>
                <w:sz w:val="24"/>
                <w:szCs w:val="24"/>
              </w:rPr>
              <w:t>В умовах воєнного стану всі галузі, зокрема енергетик</w:t>
            </w:r>
            <w:r w:rsidRPr="00836BEA">
              <w:rPr>
                <w:rFonts w:ascii="Times New Roman" w:hAnsi="Times New Roman" w:cs="Times New Roman"/>
                <w:bCs/>
                <w:sz w:val="24"/>
                <w:szCs w:val="24"/>
                <w:lang w:val="ru-RU"/>
              </w:rPr>
              <w:t>а</w:t>
            </w:r>
            <w:r w:rsidRPr="00836BEA">
              <w:rPr>
                <w:rFonts w:ascii="Times New Roman" w:hAnsi="Times New Roman" w:cs="Times New Roman"/>
                <w:bCs/>
                <w:sz w:val="24"/>
                <w:szCs w:val="24"/>
              </w:rPr>
              <w:t>, мають налаштуватись до умов роботи у період воєнного стану, постійне продовження регуляторного періоду не забезпечить дієвих результатів функціонування галузі.</w:t>
            </w:r>
          </w:p>
          <w:p w14:paraId="545C5DC5" w14:textId="77777777" w:rsidR="001331C6" w:rsidRPr="00836BEA" w:rsidRDefault="001331C6" w:rsidP="00FA2AE9">
            <w:pPr>
              <w:ind w:hanging="49"/>
              <w:jc w:val="both"/>
              <w:rPr>
                <w:rFonts w:ascii="Times New Roman" w:hAnsi="Times New Roman" w:cs="Times New Roman"/>
                <w:bCs/>
                <w:sz w:val="24"/>
                <w:szCs w:val="24"/>
              </w:rPr>
            </w:pPr>
            <w:r w:rsidRPr="00836BEA">
              <w:rPr>
                <w:rFonts w:ascii="Times New Roman" w:eastAsia="SimSun" w:hAnsi="Times New Roman" w:cs="Times New Roman"/>
                <w:sz w:val="24"/>
                <w:szCs w:val="24"/>
                <w:lang w:bidi="ta-IN"/>
              </w:rPr>
              <w:t xml:space="preserve">Питання </w:t>
            </w:r>
            <w:r w:rsidR="007E4906" w:rsidRPr="00836BEA">
              <w:rPr>
                <w:rFonts w:ascii="Times New Roman" w:eastAsia="SimSun" w:hAnsi="Times New Roman" w:cs="Times New Roman"/>
                <w:sz w:val="24"/>
                <w:szCs w:val="24"/>
                <w:lang w:bidi="ta-IN"/>
              </w:rPr>
              <w:t xml:space="preserve">продовження регуляторного періоду </w:t>
            </w:r>
            <w:r w:rsidRPr="00836BEA">
              <w:rPr>
                <w:rFonts w:ascii="Times New Roman" w:hAnsi="Times New Roman" w:cs="Times New Roman"/>
                <w:sz w:val="24"/>
                <w:szCs w:val="24"/>
              </w:rPr>
              <w:t xml:space="preserve">має вирішуватись комплексно з урахуванням балансу інтересів учасників ринку та споживачів, </w:t>
            </w:r>
            <w:r w:rsidRPr="00836BEA">
              <w:rPr>
                <w:rFonts w:ascii="Times New Roman" w:eastAsia="SimSun" w:hAnsi="Times New Roman" w:cs="Times New Roman"/>
                <w:sz w:val="24"/>
                <w:szCs w:val="24"/>
                <w:lang w:bidi="ta-IN"/>
              </w:rPr>
              <w:t xml:space="preserve">деталізованого </w:t>
            </w:r>
            <w:r w:rsidRPr="00836BEA">
              <w:rPr>
                <w:rFonts w:ascii="Times New Roman" w:hAnsi="Times New Roman" w:cs="Times New Roman"/>
                <w:sz w:val="24"/>
                <w:szCs w:val="24"/>
              </w:rPr>
              <w:t xml:space="preserve">аналізу та моніторингу результатів діяльності операторів систем розподілу </w:t>
            </w:r>
            <w:r w:rsidR="006D5B88">
              <w:rPr>
                <w:rFonts w:ascii="Times New Roman" w:hAnsi="Times New Roman" w:cs="Times New Roman"/>
                <w:sz w:val="24"/>
                <w:szCs w:val="24"/>
              </w:rPr>
              <w:t>ближче до закінчення регуляторного періоду</w:t>
            </w:r>
            <w:r w:rsidRPr="00D20506">
              <w:rPr>
                <w:rFonts w:ascii="Times New Roman" w:hAnsi="Times New Roman" w:cs="Times New Roman"/>
                <w:sz w:val="24"/>
                <w:szCs w:val="24"/>
              </w:rPr>
              <w:t>.</w:t>
            </w:r>
          </w:p>
          <w:p w14:paraId="76862781" w14:textId="77777777" w:rsidR="00FE7440" w:rsidRDefault="007E4906" w:rsidP="00FA2AE9">
            <w:pPr>
              <w:tabs>
                <w:tab w:val="left" w:pos="0"/>
              </w:tabs>
              <w:jc w:val="both"/>
              <w:rPr>
                <w:rFonts w:ascii="Times New Roman" w:hAnsi="Times New Roman" w:cs="Times New Roman"/>
                <w:color w:val="333333"/>
                <w:sz w:val="24"/>
                <w:szCs w:val="24"/>
                <w:shd w:val="clear" w:color="auto" w:fill="FFFFFF"/>
              </w:rPr>
            </w:pPr>
            <w:r w:rsidRPr="00836BEA">
              <w:rPr>
                <w:rFonts w:ascii="Times New Roman" w:hAnsi="Times New Roman" w:cs="Times New Roman"/>
                <w:color w:val="333333"/>
                <w:sz w:val="24"/>
                <w:szCs w:val="24"/>
                <w:shd w:val="clear" w:color="auto" w:fill="FFFFFF"/>
              </w:rPr>
              <w:t xml:space="preserve"> </w:t>
            </w:r>
          </w:p>
          <w:p w14:paraId="13A67102" w14:textId="77777777" w:rsidR="00FA2AE9" w:rsidRDefault="00FA2AE9" w:rsidP="00FA2AE9">
            <w:pPr>
              <w:tabs>
                <w:tab w:val="left" w:pos="0"/>
              </w:tabs>
              <w:jc w:val="both"/>
              <w:rPr>
                <w:rFonts w:ascii="Times New Roman" w:hAnsi="Times New Roman" w:cs="Times New Roman"/>
                <w:color w:val="333333"/>
                <w:sz w:val="24"/>
                <w:szCs w:val="24"/>
                <w:shd w:val="clear" w:color="auto" w:fill="FFFFFF"/>
              </w:rPr>
            </w:pPr>
          </w:p>
          <w:p w14:paraId="734A17FD" w14:textId="77777777" w:rsidR="00A84C1E" w:rsidRDefault="00A84C1E" w:rsidP="00FA2AE9">
            <w:pPr>
              <w:tabs>
                <w:tab w:val="left" w:pos="0"/>
              </w:tabs>
              <w:jc w:val="both"/>
              <w:rPr>
                <w:rFonts w:ascii="Times New Roman" w:hAnsi="Times New Roman" w:cs="Times New Roman"/>
                <w:b/>
                <w:bCs/>
                <w:sz w:val="24"/>
                <w:szCs w:val="24"/>
              </w:rPr>
            </w:pPr>
          </w:p>
          <w:p w14:paraId="7C8742F0" w14:textId="77777777" w:rsidR="00C746AF" w:rsidRDefault="00C746AF" w:rsidP="00FA2AE9">
            <w:pPr>
              <w:tabs>
                <w:tab w:val="left" w:pos="0"/>
              </w:tabs>
              <w:jc w:val="both"/>
              <w:rPr>
                <w:rFonts w:ascii="Times New Roman" w:hAnsi="Times New Roman" w:cs="Times New Roman"/>
                <w:b/>
                <w:bCs/>
                <w:sz w:val="24"/>
                <w:szCs w:val="24"/>
              </w:rPr>
            </w:pPr>
          </w:p>
          <w:p w14:paraId="6C1FDF1B" w14:textId="77777777" w:rsidR="00C746AF" w:rsidRDefault="00C746AF" w:rsidP="00FA2AE9">
            <w:pPr>
              <w:tabs>
                <w:tab w:val="left" w:pos="0"/>
              </w:tabs>
              <w:jc w:val="both"/>
              <w:rPr>
                <w:rFonts w:ascii="Times New Roman" w:hAnsi="Times New Roman" w:cs="Times New Roman"/>
                <w:b/>
                <w:bCs/>
                <w:sz w:val="24"/>
                <w:szCs w:val="24"/>
              </w:rPr>
            </w:pPr>
          </w:p>
          <w:p w14:paraId="1DBEFAA2" w14:textId="77777777" w:rsidR="00C746AF" w:rsidRDefault="00C746AF" w:rsidP="00FA2AE9">
            <w:pPr>
              <w:tabs>
                <w:tab w:val="left" w:pos="0"/>
              </w:tabs>
              <w:jc w:val="both"/>
              <w:rPr>
                <w:rFonts w:ascii="Times New Roman" w:hAnsi="Times New Roman" w:cs="Times New Roman"/>
                <w:b/>
                <w:bCs/>
                <w:sz w:val="24"/>
                <w:szCs w:val="24"/>
              </w:rPr>
            </w:pPr>
          </w:p>
          <w:p w14:paraId="42A1DB03" w14:textId="77777777" w:rsidR="00C746AF" w:rsidRDefault="00C746AF" w:rsidP="00FA2AE9">
            <w:pPr>
              <w:tabs>
                <w:tab w:val="left" w:pos="0"/>
              </w:tabs>
              <w:jc w:val="both"/>
              <w:rPr>
                <w:rFonts w:ascii="Times New Roman" w:hAnsi="Times New Roman" w:cs="Times New Roman"/>
                <w:b/>
                <w:bCs/>
                <w:sz w:val="24"/>
                <w:szCs w:val="24"/>
              </w:rPr>
            </w:pPr>
          </w:p>
          <w:p w14:paraId="565BEAD7" w14:textId="77777777" w:rsidR="00C746AF" w:rsidRDefault="00C746AF" w:rsidP="00FA2AE9">
            <w:pPr>
              <w:tabs>
                <w:tab w:val="left" w:pos="0"/>
              </w:tabs>
              <w:jc w:val="both"/>
              <w:rPr>
                <w:rFonts w:ascii="Times New Roman" w:hAnsi="Times New Roman" w:cs="Times New Roman"/>
                <w:b/>
                <w:bCs/>
                <w:sz w:val="24"/>
                <w:szCs w:val="24"/>
              </w:rPr>
            </w:pPr>
          </w:p>
          <w:p w14:paraId="1F4D1166" w14:textId="77777777" w:rsidR="00C746AF" w:rsidRDefault="00C746AF" w:rsidP="00FA2AE9">
            <w:pPr>
              <w:tabs>
                <w:tab w:val="left" w:pos="0"/>
              </w:tabs>
              <w:jc w:val="both"/>
              <w:rPr>
                <w:rFonts w:ascii="Times New Roman" w:hAnsi="Times New Roman" w:cs="Times New Roman"/>
                <w:b/>
                <w:bCs/>
                <w:sz w:val="24"/>
                <w:szCs w:val="24"/>
              </w:rPr>
            </w:pPr>
          </w:p>
          <w:p w14:paraId="6AA140FB" w14:textId="77777777" w:rsidR="00C746AF" w:rsidRDefault="00C746AF" w:rsidP="00FA2AE9">
            <w:pPr>
              <w:tabs>
                <w:tab w:val="left" w:pos="0"/>
              </w:tabs>
              <w:jc w:val="both"/>
              <w:rPr>
                <w:rFonts w:ascii="Times New Roman" w:hAnsi="Times New Roman" w:cs="Times New Roman"/>
                <w:b/>
                <w:bCs/>
                <w:sz w:val="24"/>
                <w:szCs w:val="24"/>
              </w:rPr>
            </w:pPr>
          </w:p>
          <w:p w14:paraId="4746CF99" w14:textId="77777777" w:rsidR="00C746AF" w:rsidRDefault="00C746AF" w:rsidP="00FA2AE9">
            <w:pPr>
              <w:tabs>
                <w:tab w:val="left" w:pos="0"/>
              </w:tabs>
              <w:jc w:val="both"/>
              <w:rPr>
                <w:rFonts w:ascii="Times New Roman" w:hAnsi="Times New Roman" w:cs="Times New Roman"/>
                <w:b/>
                <w:bCs/>
                <w:sz w:val="24"/>
                <w:szCs w:val="24"/>
              </w:rPr>
            </w:pPr>
          </w:p>
          <w:p w14:paraId="02970870" w14:textId="77777777" w:rsidR="00C746AF" w:rsidRDefault="00C746AF" w:rsidP="00FA2AE9">
            <w:pPr>
              <w:tabs>
                <w:tab w:val="left" w:pos="0"/>
              </w:tabs>
              <w:jc w:val="both"/>
              <w:rPr>
                <w:rFonts w:ascii="Times New Roman" w:hAnsi="Times New Roman" w:cs="Times New Roman"/>
                <w:b/>
                <w:bCs/>
                <w:sz w:val="24"/>
                <w:szCs w:val="24"/>
              </w:rPr>
            </w:pPr>
          </w:p>
          <w:p w14:paraId="772B5AB8" w14:textId="77777777" w:rsidR="00C746AF" w:rsidRDefault="00C746AF" w:rsidP="00FA2AE9">
            <w:pPr>
              <w:tabs>
                <w:tab w:val="left" w:pos="0"/>
              </w:tabs>
              <w:jc w:val="both"/>
              <w:rPr>
                <w:rFonts w:ascii="Times New Roman" w:hAnsi="Times New Roman" w:cs="Times New Roman"/>
                <w:b/>
                <w:bCs/>
                <w:sz w:val="24"/>
                <w:szCs w:val="24"/>
              </w:rPr>
            </w:pPr>
          </w:p>
          <w:p w14:paraId="5544413A" w14:textId="77777777" w:rsidR="00C746AF" w:rsidRDefault="00C746AF" w:rsidP="00FA2AE9">
            <w:pPr>
              <w:tabs>
                <w:tab w:val="left" w:pos="0"/>
              </w:tabs>
              <w:jc w:val="both"/>
              <w:rPr>
                <w:rFonts w:ascii="Times New Roman" w:hAnsi="Times New Roman" w:cs="Times New Roman"/>
                <w:b/>
                <w:bCs/>
                <w:sz w:val="24"/>
                <w:szCs w:val="24"/>
              </w:rPr>
            </w:pPr>
          </w:p>
          <w:p w14:paraId="36872CB5" w14:textId="77777777" w:rsidR="00C746AF" w:rsidRDefault="00C746AF" w:rsidP="00FA2AE9">
            <w:pPr>
              <w:tabs>
                <w:tab w:val="left" w:pos="0"/>
              </w:tabs>
              <w:jc w:val="both"/>
              <w:rPr>
                <w:rFonts w:ascii="Times New Roman" w:hAnsi="Times New Roman" w:cs="Times New Roman"/>
                <w:b/>
                <w:bCs/>
                <w:sz w:val="24"/>
                <w:szCs w:val="24"/>
              </w:rPr>
            </w:pPr>
          </w:p>
          <w:p w14:paraId="7ACADF09" w14:textId="77777777" w:rsidR="00C746AF" w:rsidRDefault="00C746AF" w:rsidP="00FA2AE9">
            <w:pPr>
              <w:tabs>
                <w:tab w:val="left" w:pos="0"/>
              </w:tabs>
              <w:jc w:val="both"/>
              <w:rPr>
                <w:rFonts w:ascii="Times New Roman" w:hAnsi="Times New Roman" w:cs="Times New Roman"/>
                <w:b/>
                <w:bCs/>
                <w:sz w:val="24"/>
                <w:szCs w:val="24"/>
              </w:rPr>
            </w:pPr>
          </w:p>
          <w:p w14:paraId="53DB60D1" w14:textId="77777777" w:rsidR="00C746AF" w:rsidRDefault="00C746AF" w:rsidP="00FA2AE9">
            <w:pPr>
              <w:tabs>
                <w:tab w:val="left" w:pos="0"/>
              </w:tabs>
              <w:jc w:val="both"/>
              <w:rPr>
                <w:rFonts w:ascii="Times New Roman" w:hAnsi="Times New Roman" w:cs="Times New Roman"/>
                <w:b/>
                <w:bCs/>
                <w:sz w:val="24"/>
                <w:szCs w:val="24"/>
              </w:rPr>
            </w:pPr>
          </w:p>
          <w:p w14:paraId="221E1834" w14:textId="77777777" w:rsidR="00C746AF" w:rsidRDefault="00C746AF" w:rsidP="00FA2AE9">
            <w:pPr>
              <w:tabs>
                <w:tab w:val="left" w:pos="0"/>
              </w:tabs>
              <w:jc w:val="both"/>
              <w:rPr>
                <w:rFonts w:ascii="Times New Roman" w:hAnsi="Times New Roman" w:cs="Times New Roman"/>
                <w:b/>
                <w:bCs/>
                <w:sz w:val="24"/>
                <w:szCs w:val="24"/>
              </w:rPr>
            </w:pPr>
          </w:p>
          <w:p w14:paraId="77935A67" w14:textId="77777777" w:rsidR="00C746AF" w:rsidRDefault="00C746AF" w:rsidP="00FA2AE9">
            <w:pPr>
              <w:tabs>
                <w:tab w:val="left" w:pos="0"/>
              </w:tabs>
              <w:jc w:val="both"/>
              <w:rPr>
                <w:rFonts w:ascii="Times New Roman" w:hAnsi="Times New Roman" w:cs="Times New Roman"/>
                <w:b/>
                <w:bCs/>
                <w:sz w:val="24"/>
                <w:szCs w:val="24"/>
              </w:rPr>
            </w:pPr>
          </w:p>
          <w:p w14:paraId="6B00279D" w14:textId="77777777" w:rsidR="00C746AF" w:rsidRDefault="00C746AF" w:rsidP="00FA2AE9">
            <w:pPr>
              <w:tabs>
                <w:tab w:val="left" w:pos="0"/>
              </w:tabs>
              <w:jc w:val="both"/>
              <w:rPr>
                <w:rFonts w:ascii="Times New Roman" w:hAnsi="Times New Roman" w:cs="Times New Roman"/>
                <w:b/>
                <w:bCs/>
                <w:sz w:val="24"/>
                <w:szCs w:val="24"/>
              </w:rPr>
            </w:pPr>
          </w:p>
          <w:p w14:paraId="12AA9D16" w14:textId="77777777" w:rsidR="00D20506" w:rsidRDefault="00D20506" w:rsidP="00FA2AE9">
            <w:pPr>
              <w:tabs>
                <w:tab w:val="left" w:pos="0"/>
              </w:tabs>
              <w:jc w:val="both"/>
              <w:rPr>
                <w:rFonts w:ascii="Times New Roman" w:hAnsi="Times New Roman" w:cs="Times New Roman"/>
                <w:b/>
                <w:bCs/>
                <w:sz w:val="24"/>
                <w:szCs w:val="24"/>
              </w:rPr>
            </w:pPr>
          </w:p>
          <w:p w14:paraId="7FFC9829" w14:textId="77777777" w:rsidR="00A84C1E" w:rsidRDefault="00A84C1E" w:rsidP="00FA2AE9">
            <w:pPr>
              <w:tabs>
                <w:tab w:val="left" w:pos="0"/>
              </w:tabs>
              <w:jc w:val="both"/>
              <w:rPr>
                <w:rFonts w:ascii="Times New Roman" w:hAnsi="Times New Roman" w:cs="Times New Roman"/>
                <w:b/>
                <w:bCs/>
                <w:sz w:val="24"/>
                <w:szCs w:val="24"/>
              </w:rPr>
            </w:pPr>
          </w:p>
          <w:p w14:paraId="18664CEA" w14:textId="77777777" w:rsidR="00373D54" w:rsidRPr="00836BEA" w:rsidRDefault="007E4906" w:rsidP="00FA2AE9">
            <w:pPr>
              <w:tabs>
                <w:tab w:val="left" w:pos="0"/>
              </w:tabs>
              <w:jc w:val="both"/>
              <w:rPr>
                <w:rFonts w:ascii="Times New Roman" w:hAnsi="Times New Roman" w:cs="Times New Roman"/>
                <w:b/>
                <w:bCs/>
                <w:sz w:val="24"/>
                <w:szCs w:val="24"/>
              </w:rPr>
            </w:pPr>
            <w:r w:rsidRPr="00836BEA">
              <w:rPr>
                <w:rFonts w:ascii="Times New Roman" w:hAnsi="Times New Roman" w:cs="Times New Roman"/>
                <w:b/>
                <w:bCs/>
                <w:sz w:val="24"/>
                <w:szCs w:val="24"/>
              </w:rPr>
              <w:t>Загальна позиція до підпункту 2 пункту 1</w:t>
            </w:r>
            <w:r w:rsidR="00373D54" w:rsidRPr="00836BEA">
              <w:rPr>
                <w:rFonts w:ascii="Times New Roman" w:hAnsi="Times New Roman" w:cs="Times New Roman"/>
                <w:b/>
                <w:bCs/>
                <w:sz w:val="24"/>
                <w:szCs w:val="24"/>
              </w:rPr>
              <w:t xml:space="preserve"> Постанова НКРЕКП від 23.07.2013  № 1009</w:t>
            </w:r>
          </w:p>
          <w:p w14:paraId="27A175C4" w14:textId="77777777" w:rsidR="00373D54" w:rsidRPr="00836BEA" w:rsidRDefault="00373D54" w:rsidP="00FA2AE9">
            <w:pPr>
              <w:tabs>
                <w:tab w:val="left" w:pos="0"/>
              </w:tabs>
              <w:ind w:firstLine="465"/>
              <w:jc w:val="both"/>
              <w:rPr>
                <w:rFonts w:ascii="Times New Roman" w:hAnsi="Times New Roman" w:cs="Times New Roman"/>
                <w:b/>
                <w:bCs/>
                <w:sz w:val="24"/>
                <w:szCs w:val="24"/>
              </w:rPr>
            </w:pPr>
          </w:p>
          <w:p w14:paraId="782FA1FD" w14:textId="77777777" w:rsidR="007E4906" w:rsidRPr="00836BEA" w:rsidRDefault="007E4906" w:rsidP="00FA2AE9">
            <w:pPr>
              <w:tabs>
                <w:tab w:val="left" w:pos="0"/>
              </w:tabs>
              <w:jc w:val="both"/>
              <w:rPr>
                <w:rFonts w:ascii="Times New Roman" w:hAnsi="Times New Roman" w:cs="Times New Roman"/>
                <w:b/>
                <w:bCs/>
                <w:sz w:val="24"/>
                <w:szCs w:val="24"/>
              </w:rPr>
            </w:pPr>
            <w:r w:rsidRPr="00836BEA">
              <w:rPr>
                <w:rFonts w:ascii="Times New Roman" w:hAnsi="Times New Roman" w:cs="Times New Roman"/>
                <w:b/>
                <w:bCs/>
                <w:sz w:val="24"/>
                <w:szCs w:val="24"/>
              </w:rPr>
              <w:t>Не враховується</w:t>
            </w:r>
          </w:p>
          <w:p w14:paraId="5666532E" w14:textId="77777777" w:rsidR="007E4906" w:rsidRPr="00836BEA" w:rsidRDefault="007E4906" w:rsidP="00FA2AE9">
            <w:pPr>
              <w:tabs>
                <w:tab w:val="left" w:pos="0"/>
              </w:tabs>
              <w:jc w:val="both"/>
              <w:rPr>
                <w:rFonts w:ascii="Times New Roman" w:hAnsi="Times New Roman" w:cs="Times New Roman"/>
                <w:b/>
                <w:bCs/>
                <w:sz w:val="24"/>
                <w:szCs w:val="24"/>
              </w:rPr>
            </w:pPr>
            <w:r w:rsidRPr="00836BEA">
              <w:rPr>
                <w:rFonts w:ascii="Times New Roman" w:hAnsi="Times New Roman" w:cs="Times New Roman"/>
                <w:b/>
                <w:bCs/>
                <w:sz w:val="24"/>
                <w:szCs w:val="24"/>
              </w:rPr>
              <w:t>Недостатньо обґрунтована позиція</w:t>
            </w:r>
          </w:p>
          <w:p w14:paraId="2E91F7AF" w14:textId="77777777" w:rsidR="00B56267" w:rsidRDefault="00B56267" w:rsidP="00FA2AE9">
            <w:pPr>
              <w:tabs>
                <w:tab w:val="left" w:pos="0"/>
              </w:tabs>
              <w:jc w:val="both"/>
              <w:rPr>
                <w:rFonts w:ascii="Times New Roman" w:hAnsi="Times New Roman" w:cs="Times New Roman"/>
                <w:sz w:val="24"/>
                <w:szCs w:val="24"/>
              </w:rPr>
            </w:pPr>
            <w:r w:rsidRPr="006D5B88">
              <w:rPr>
                <w:rFonts w:ascii="Times New Roman" w:eastAsia="SimSun" w:hAnsi="Times New Roman" w:cs="Times New Roman"/>
                <w:sz w:val="24"/>
                <w:szCs w:val="24"/>
                <w:lang w:bidi="ta-IN"/>
              </w:rPr>
              <w:t xml:space="preserve">Запропонована пропозиція має розглядатися </w:t>
            </w:r>
            <w:r w:rsidRPr="006D5B88">
              <w:rPr>
                <w:rFonts w:ascii="Times New Roman" w:hAnsi="Times New Roman" w:cs="Times New Roman"/>
                <w:sz w:val="24"/>
                <w:szCs w:val="24"/>
              </w:rPr>
              <w:t xml:space="preserve"> з урахуванням балансу інтересів учасників ринку та споживачів, особливо в умовах воєнного часу.</w:t>
            </w:r>
          </w:p>
          <w:p w14:paraId="30D7C499" w14:textId="77777777" w:rsidR="007E4906" w:rsidRPr="00836BEA" w:rsidRDefault="007E4906" w:rsidP="00FA2AE9">
            <w:pPr>
              <w:tabs>
                <w:tab w:val="left" w:pos="0"/>
              </w:tabs>
              <w:jc w:val="both"/>
              <w:rPr>
                <w:rFonts w:ascii="Times New Roman" w:hAnsi="Times New Roman" w:cs="Times New Roman"/>
                <w:i/>
                <w:sz w:val="24"/>
                <w:szCs w:val="24"/>
              </w:rPr>
            </w:pPr>
            <w:r w:rsidRPr="00836BEA">
              <w:rPr>
                <w:rFonts w:ascii="Times New Roman" w:hAnsi="Times New Roman" w:cs="Times New Roman"/>
                <w:sz w:val="24"/>
                <w:szCs w:val="24"/>
              </w:rPr>
              <w:t xml:space="preserve">Схваленими змінами  враховане те, що у період воєнного стану не спостерігається залучення ОСР коштів, для створення </w:t>
            </w:r>
            <w:r w:rsidRPr="00836BEA">
              <w:rPr>
                <w:rFonts w:ascii="Times New Roman" w:hAnsi="Times New Roman" w:cs="Times New Roman"/>
                <w:i/>
                <w:sz w:val="24"/>
                <w:szCs w:val="24"/>
              </w:rPr>
              <w:t xml:space="preserve">РБА </w:t>
            </w:r>
            <w:proofErr w:type="spellStart"/>
            <w:r w:rsidRPr="00836BEA">
              <w:rPr>
                <w:rFonts w:ascii="Times New Roman" w:hAnsi="Times New Roman" w:cs="Times New Roman"/>
                <w:i/>
                <w:sz w:val="24"/>
                <w:szCs w:val="24"/>
              </w:rPr>
              <w:t>нов</w:t>
            </w:r>
            <w:proofErr w:type="spellEnd"/>
            <w:r w:rsidRPr="00836BEA">
              <w:rPr>
                <w:rFonts w:ascii="Times New Roman" w:hAnsi="Times New Roman" w:cs="Times New Roman"/>
                <w:i/>
                <w:sz w:val="24"/>
                <w:szCs w:val="24"/>
              </w:rPr>
              <w:t>.</w:t>
            </w:r>
          </w:p>
          <w:p w14:paraId="609DFB1F" w14:textId="77777777" w:rsidR="00836BEA" w:rsidRPr="00836BEA" w:rsidRDefault="00836BEA" w:rsidP="007E4906">
            <w:pPr>
              <w:ind w:firstLine="465"/>
              <w:jc w:val="both"/>
              <w:rPr>
                <w:rFonts w:ascii="Times New Roman" w:hAnsi="Times New Roman" w:cs="Times New Roman"/>
                <w:i/>
                <w:sz w:val="24"/>
                <w:szCs w:val="24"/>
              </w:rPr>
            </w:pPr>
          </w:p>
          <w:p w14:paraId="27B7B06D" w14:textId="77777777" w:rsidR="00A44A9E" w:rsidRDefault="00A44A9E" w:rsidP="00836BEA">
            <w:pPr>
              <w:ind w:firstLine="324"/>
              <w:jc w:val="both"/>
              <w:rPr>
                <w:rFonts w:ascii="Times New Roman" w:hAnsi="Times New Roman" w:cs="Times New Roman"/>
                <w:bCs/>
                <w:sz w:val="36"/>
                <w:szCs w:val="24"/>
              </w:rPr>
            </w:pPr>
          </w:p>
          <w:p w14:paraId="4CF8091C" w14:textId="77777777" w:rsidR="00A06FB8" w:rsidRDefault="00A06FB8" w:rsidP="00836BEA">
            <w:pPr>
              <w:ind w:firstLine="324"/>
              <w:jc w:val="both"/>
              <w:rPr>
                <w:rFonts w:ascii="Times New Roman" w:hAnsi="Times New Roman" w:cs="Times New Roman"/>
                <w:bCs/>
                <w:sz w:val="36"/>
                <w:szCs w:val="24"/>
              </w:rPr>
            </w:pPr>
          </w:p>
          <w:p w14:paraId="628243E6" w14:textId="77777777" w:rsidR="00C746AF" w:rsidRDefault="00C746AF" w:rsidP="00836BEA">
            <w:pPr>
              <w:ind w:firstLine="324"/>
              <w:jc w:val="both"/>
              <w:rPr>
                <w:rFonts w:ascii="Times New Roman" w:hAnsi="Times New Roman" w:cs="Times New Roman"/>
                <w:bCs/>
                <w:sz w:val="36"/>
                <w:szCs w:val="24"/>
              </w:rPr>
            </w:pPr>
          </w:p>
          <w:p w14:paraId="3A73A865" w14:textId="77777777" w:rsidR="00C746AF" w:rsidRDefault="00C746AF" w:rsidP="00836BEA">
            <w:pPr>
              <w:ind w:firstLine="324"/>
              <w:jc w:val="both"/>
              <w:rPr>
                <w:rFonts w:ascii="Times New Roman" w:hAnsi="Times New Roman" w:cs="Times New Roman"/>
                <w:bCs/>
                <w:sz w:val="36"/>
                <w:szCs w:val="24"/>
              </w:rPr>
            </w:pPr>
          </w:p>
          <w:p w14:paraId="020FFC5E" w14:textId="77777777" w:rsidR="00C746AF" w:rsidRDefault="00C746AF" w:rsidP="00836BEA">
            <w:pPr>
              <w:ind w:firstLine="324"/>
              <w:jc w:val="both"/>
              <w:rPr>
                <w:rFonts w:ascii="Times New Roman" w:hAnsi="Times New Roman" w:cs="Times New Roman"/>
                <w:bCs/>
                <w:sz w:val="36"/>
                <w:szCs w:val="24"/>
              </w:rPr>
            </w:pPr>
          </w:p>
          <w:p w14:paraId="3A51552D" w14:textId="77777777" w:rsidR="00C746AF" w:rsidRDefault="00C746AF" w:rsidP="00836BEA">
            <w:pPr>
              <w:ind w:firstLine="324"/>
              <w:jc w:val="both"/>
              <w:rPr>
                <w:rFonts w:ascii="Times New Roman" w:hAnsi="Times New Roman" w:cs="Times New Roman"/>
                <w:bCs/>
                <w:sz w:val="36"/>
                <w:szCs w:val="24"/>
              </w:rPr>
            </w:pPr>
          </w:p>
          <w:p w14:paraId="5D3D6D93" w14:textId="77777777" w:rsidR="00C746AF" w:rsidRDefault="00C746AF" w:rsidP="00836BEA">
            <w:pPr>
              <w:ind w:firstLine="324"/>
              <w:jc w:val="both"/>
              <w:rPr>
                <w:rFonts w:ascii="Times New Roman" w:hAnsi="Times New Roman" w:cs="Times New Roman"/>
                <w:bCs/>
                <w:sz w:val="36"/>
                <w:szCs w:val="24"/>
              </w:rPr>
            </w:pPr>
          </w:p>
          <w:p w14:paraId="18A18329" w14:textId="77777777" w:rsidR="00C746AF" w:rsidRDefault="00C746AF" w:rsidP="00836BEA">
            <w:pPr>
              <w:ind w:firstLine="324"/>
              <w:jc w:val="both"/>
              <w:rPr>
                <w:rFonts w:ascii="Times New Roman" w:hAnsi="Times New Roman" w:cs="Times New Roman"/>
                <w:bCs/>
                <w:sz w:val="36"/>
                <w:szCs w:val="24"/>
              </w:rPr>
            </w:pPr>
          </w:p>
          <w:p w14:paraId="07317ECF" w14:textId="77777777" w:rsidR="00C746AF" w:rsidRDefault="00C746AF" w:rsidP="00836BEA">
            <w:pPr>
              <w:ind w:firstLine="324"/>
              <w:jc w:val="both"/>
              <w:rPr>
                <w:rFonts w:ascii="Times New Roman" w:hAnsi="Times New Roman" w:cs="Times New Roman"/>
                <w:bCs/>
                <w:sz w:val="36"/>
                <w:szCs w:val="24"/>
              </w:rPr>
            </w:pPr>
          </w:p>
          <w:p w14:paraId="10DA868C" w14:textId="77777777" w:rsidR="00C746AF" w:rsidRDefault="00C746AF" w:rsidP="00836BEA">
            <w:pPr>
              <w:ind w:firstLine="324"/>
              <w:jc w:val="both"/>
              <w:rPr>
                <w:rFonts w:ascii="Times New Roman" w:hAnsi="Times New Roman" w:cs="Times New Roman"/>
                <w:bCs/>
                <w:sz w:val="36"/>
                <w:szCs w:val="24"/>
              </w:rPr>
            </w:pPr>
          </w:p>
          <w:p w14:paraId="2A6856F1" w14:textId="77777777" w:rsidR="00C746AF" w:rsidRDefault="00C746AF" w:rsidP="00836BEA">
            <w:pPr>
              <w:ind w:firstLine="324"/>
              <w:jc w:val="both"/>
              <w:rPr>
                <w:rFonts w:ascii="Times New Roman" w:hAnsi="Times New Roman" w:cs="Times New Roman"/>
                <w:bCs/>
                <w:sz w:val="36"/>
                <w:szCs w:val="24"/>
              </w:rPr>
            </w:pPr>
          </w:p>
          <w:p w14:paraId="7FDC2A39" w14:textId="77777777" w:rsidR="00C746AF" w:rsidRDefault="00C746AF" w:rsidP="00836BEA">
            <w:pPr>
              <w:ind w:firstLine="324"/>
              <w:jc w:val="both"/>
              <w:rPr>
                <w:rFonts w:ascii="Times New Roman" w:hAnsi="Times New Roman" w:cs="Times New Roman"/>
                <w:bCs/>
                <w:sz w:val="36"/>
                <w:szCs w:val="24"/>
              </w:rPr>
            </w:pPr>
          </w:p>
          <w:p w14:paraId="3C4CC245" w14:textId="77777777" w:rsidR="00C746AF" w:rsidRDefault="00C746AF" w:rsidP="00836BEA">
            <w:pPr>
              <w:ind w:firstLine="324"/>
              <w:jc w:val="both"/>
              <w:rPr>
                <w:rFonts w:ascii="Times New Roman" w:hAnsi="Times New Roman" w:cs="Times New Roman"/>
                <w:bCs/>
                <w:sz w:val="36"/>
                <w:szCs w:val="24"/>
              </w:rPr>
            </w:pPr>
          </w:p>
          <w:p w14:paraId="67C5AAC1" w14:textId="77777777" w:rsidR="00C746AF" w:rsidRDefault="00C746AF" w:rsidP="00836BEA">
            <w:pPr>
              <w:ind w:firstLine="324"/>
              <w:jc w:val="both"/>
              <w:rPr>
                <w:rFonts w:ascii="Times New Roman" w:hAnsi="Times New Roman" w:cs="Times New Roman"/>
                <w:bCs/>
                <w:sz w:val="36"/>
                <w:szCs w:val="24"/>
              </w:rPr>
            </w:pPr>
          </w:p>
          <w:p w14:paraId="25349837" w14:textId="77777777" w:rsidR="00C746AF" w:rsidRDefault="00C746AF" w:rsidP="00836BEA">
            <w:pPr>
              <w:ind w:firstLine="324"/>
              <w:jc w:val="both"/>
              <w:rPr>
                <w:rFonts w:ascii="Times New Roman" w:hAnsi="Times New Roman" w:cs="Times New Roman"/>
                <w:bCs/>
                <w:sz w:val="36"/>
                <w:szCs w:val="24"/>
              </w:rPr>
            </w:pPr>
          </w:p>
          <w:p w14:paraId="6DC0313F" w14:textId="77777777" w:rsidR="00C746AF" w:rsidRDefault="00C746AF" w:rsidP="00836BEA">
            <w:pPr>
              <w:ind w:firstLine="324"/>
              <w:jc w:val="both"/>
              <w:rPr>
                <w:rFonts w:ascii="Times New Roman" w:hAnsi="Times New Roman" w:cs="Times New Roman"/>
                <w:bCs/>
                <w:sz w:val="36"/>
                <w:szCs w:val="24"/>
              </w:rPr>
            </w:pPr>
          </w:p>
          <w:p w14:paraId="012E31BB" w14:textId="77777777" w:rsidR="00A06FB8" w:rsidRDefault="00A06FB8" w:rsidP="00836BEA">
            <w:pPr>
              <w:ind w:firstLine="324"/>
              <w:jc w:val="both"/>
              <w:rPr>
                <w:rFonts w:ascii="Times New Roman" w:hAnsi="Times New Roman" w:cs="Times New Roman"/>
                <w:bCs/>
                <w:sz w:val="36"/>
                <w:szCs w:val="24"/>
              </w:rPr>
            </w:pPr>
          </w:p>
          <w:p w14:paraId="64367F84" w14:textId="77777777" w:rsidR="00A06FB8" w:rsidRDefault="00A06FB8" w:rsidP="00836BEA">
            <w:pPr>
              <w:ind w:firstLine="324"/>
              <w:jc w:val="both"/>
              <w:rPr>
                <w:rFonts w:ascii="Times New Roman" w:hAnsi="Times New Roman" w:cs="Times New Roman"/>
                <w:bCs/>
                <w:sz w:val="36"/>
                <w:szCs w:val="24"/>
              </w:rPr>
            </w:pPr>
          </w:p>
          <w:p w14:paraId="19C6C7B8" w14:textId="77777777" w:rsidR="00C746AF" w:rsidRDefault="00C746AF" w:rsidP="00836BEA">
            <w:pPr>
              <w:ind w:firstLine="324"/>
              <w:jc w:val="both"/>
              <w:rPr>
                <w:rFonts w:ascii="Times New Roman" w:hAnsi="Times New Roman" w:cs="Times New Roman"/>
                <w:bCs/>
                <w:sz w:val="36"/>
                <w:szCs w:val="24"/>
              </w:rPr>
            </w:pPr>
          </w:p>
          <w:p w14:paraId="79E897D6" w14:textId="77777777" w:rsidR="00C746AF" w:rsidRDefault="00C746AF" w:rsidP="00836BEA">
            <w:pPr>
              <w:ind w:firstLine="324"/>
              <w:jc w:val="both"/>
              <w:rPr>
                <w:rFonts w:ascii="Times New Roman" w:hAnsi="Times New Roman" w:cs="Times New Roman"/>
                <w:bCs/>
                <w:sz w:val="36"/>
                <w:szCs w:val="24"/>
              </w:rPr>
            </w:pPr>
          </w:p>
          <w:p w14:paraId="40D42CD2" w14:textId="77777777" w:rsidR="00C746AF" w:rsidRDefault="00C746AF" w:rsidP="00836BEA">
            <w:pPr>
              <w:ind w:firstLine="324"/>
              <w:jc w:val="both"/>
              <w:rPr>
                <w:rFonts w:ascii="Times New Roman" w:hAnsi="Times New Roman" w:cs="Times New Roman"/>
                <w:bCs/>
                <w:sz w:val="36"/>
                <w:szCs w:val="24"/>
              </w:rPr>
            </w:pPr>
          </w:p>
          <w:p w14:paraId="26C843CA" w14:textId="77777777" w:rsidR="00C746AF" w:rsidRDefault="00C746AF" w:rsidP="00836BEA">
            <w:pPr>
              <w:ind w:firstLine="324"/>
              <w:jc w:val="both"/>
              <w:rPr>
                <w:rFonts w:ascii="Times New Roman" w:hAnsi="Times New Roman" w:cs="Times New Roman"/>
                <w:bCs/>
                <w:sz w:val="36"/>
                <w:szCs w:val="24"/>
              </w:rPr>
            </w:pPr>
          </w:p>
          <w:p w14:paraId="6BDD6B81" w14:textId="77777777" w:rsidR="006D5B88" w:rsidRDefault="006D5B88" w:rsidP="00836BEA">
            <w:pPr>
              <w:ind w:firstLine="324"/>
              <w:jc w:val="both"/>
              <w:rPr>
                <w:rFonts w:ascii="Times New Roman" w:hAnsi="Times New Roman" w:cs="Times New Roman"/>
                <w:bCs/>
                <w:sz w:val="36"/>
                <w:szCs w:val="24"/>
              </w:rPr>
            </w:pPr>
          </w:p>
          <w:p w14:paraId="28722CE0" w14:textId="77777777" w:rsidR="00C746AF" w:rsidRDefault="00C746AF" w:rsidP="00836BEA">
            <w:pPr>
              <w:ind w:firstLine="324"/>
              <w:jc w:val="both"/>
              <w:rPr>
                <w:rFonts w:ascii="Times New Roman" w:hAnsi="Times New Roman" w:cs="Times New Roman"/>
                <w:bCs/>
                <w:sz w:val="36"/>
                <w:szCs w:val="24"/>
              </w:rPr>
            </w:pPr>
          </w:p>
          <w:p w14:paraId="3F304E57" w14:textId="77777777" w:rsidR="00A06FB8" w:rsidRPr="00836BEA" w:rsidRDefault="00A06FB8" w:rsidP="00FA2AE9">
            <w:pPr>
              <w:ind w:hanging="49"/>
              <w:jc w:val="both"/>
              <w:rPr>
                <w:rFonts w:ascii="Times New Roman" w:hAnsi="Times New Roman" w:cs="Times New Roman"/>
                <w:b/>
                <w:bCs/>
                <w:sz w:val="24"/>
                <w:szCs w:val="24"/>
              </w:rPr>
            </w:pPr>
            <w:r w:rsidRPr="00836BEA">
              <w:rPr>
                <w:rFonts w:ascii="Times New Roman" w:hAnsi="Times New Roman" w:cs="Times New Roman"/>
                <w:b/>
                <w:bCs/>
                <w:sz w:val="24"/>
                <w:szCs w:val="24"/>
              </w:rPr>
              <w:t>Не враховується</w:t>
            </w:r>
          </w:p>
          <w:p w14:paraId="3B3A2597" w14:textId="77777777" w:rsidR="00A06FB8" w:rsidRPr="00836BEA" w:rsidRDefault="00A06FB8" w:rsidP="00FA2AE9">
            <w:pPr>
              <w:ind w:hanging="49"/>
              <w:jc w:val="both"/>
              <w:rPr>
                <w:rFonts w:ascii="Times New Roman" w:hAnsi="Times New Roman" w:cs="Times New Roman"/>
                <w:b/>
                <w:bCs/>
                <w:sz w:val="24"/>
                <w:szCs w:val="24"/>
              </w:rPr>
            </w:pPr>
            <w:r w:rsidRPr="00836BEA">
              <w:rPr>
                <w:rFonts w:ascii="Times New Roman" w:hAnsi="Times New Roman" w:cs="Times New Roman"/>
                <w:b/>
                <w:bCs/>
                <w:sz w:val="24"/>
                <w:szCs w:val="24"/>
              </w:rPr>
              <w:t>Недостатньо обґрунтована позиція</w:t>
            </w:r>
          </w:p>
          <w:p w14:paraId="40C0DE5C" w14:textId="77777777" w:rsidR="00A06FB8" w:rsidRPr="00836BEA" w:rsidRDefault="00A06FB8" w:rsidP="00FA2AE9">
            <w:pPr>
              <w:widowControl w:val="0"/>
              <w:suppressAutoHyphens/>
              <w:ind w:hanging="49"/>
              <w:contextualSpacing/>
              <w:jc w:val="both"/>
              <w:rPr>
                <w:rFonts w:ascii="Times New Roman" w:hAnsi="Times New Roman" w:cs="Times New Roman"/>
                <w:sz w:val="24"/>
                <w:szCs w:val="24"/>
              </w:rPr>
            </w:pPr>
            <w:r w:rsidRPr="00836BEA">
              <w:rPr>
                <w:rFonts w:ascii="Times New Roman" w:hAnsi="Times New Roman" w:cs="Times New Roman"/>
                <w:sz w:val="24"/>
                <w:szCs w:val="24"/>
              </w:rPr>
              <w:t>В умовах воєнного стану досягнення встановлених цільових показників якості послуг є необхідною умовою надійного функціонування всіх галузей економіки України, військово-промислового комплексу, соціальних потреб населення тощо.</w:t>
            </w:r>
          </w:p>
          <w:p w14:paraId="42286518" w14:textId="77777777" w:rsidR="00A06FB8" w:rsidRPr="00A44A9E" w:rsidRDefault="00A06FB8" w:rsidP="00D20506">
            <w:pPr>
              <w:ind w:hanging="49"/>
              <w:jc w:val="both"/>
              <w:rPr>
                <w:rFonts w:ascii="Times New Roman" w:hAnsi="Times New Roman" w:cs="Times New Roman"/>
                <w:b/>
                <w:bCs/>
                <w:sz w:val="24"/>
                <w:szCs w:val="24"/>
              </w:rPr>
            </w:pPr>
          </w:p>
        </w:tc>
      </w:tr>
      <w:tr w:rsidR="009C1D60" w:rsidRPr="003D580E" w14:paraId="0AEE5B73" w14:textId="77777777" w:rsidTr="00300237">
        <w:tc>
          <w:tcPr>
            <w:tcW w:w="15168" w:type="dxa"/>
            <w:gridSpan w:val="3"/>
          </w:tcPr>
          <w:p w14:paraId="00139957" w14:textId="77777777" w:rsidR="009C1D60" w:rsidRPr="0040024F" w:rsidRDefault="009C1D60" w:rsidP="00AE7FF1">
            <w:pPr>
              <w:jc w:val="center"/>
              <w:rPr>
                <w:rFonts w:ascii="Times New Roman" w:hAnsi="Times New Roman" w:cs="Times New Roman"/>
                <w:b/>
                <w:bCs/>
                <w:i/>
                <w:sz w:val="26"/>
                <w:szCs w:val="26"/>
              </w:rPr>
            </w:pPr>
            <w:r w:rsidRPr="0040024F">
              <w:rPr>
                <w:rFonts w:ascii="Times New Roman" w:hAnsi="Times New Roman" w:cs="Times New Roman"/>
                <w:b/>
                <w:bCs/>
                <w:i/>
                <w:sz w:val="26"/>
                <w:szCs w:val="26"/>
              </w:rPr>
              <w:lastRenderedPageBreak/>
              <w:t xml:space="preserve">Постанова НКРЕКП від </w:t>
            </w:r>
            <w:r w:rsidR="00FC70AA">
              <w:rPr>
                <w:rFonts w:ascii="Times New Roman" w:hAnsi="Times New Roman" w:cs="Times New Roman"/>
                <w:b/>
                <w:bCs/>
                <w:i/>
                <w:sz w:val="26"/>
                <w:szCs w:val="26"/>
              </w:rPr>
              <w:t>0</w:t>
            </w:r>
            <w:r w:rsidRPr="0040024F">
              <w:rPr>
                <w:rFonts w:ascii="Times New Roman" w:hAnsi="Times New Roman" w:cs="Times New Roman"/>
                <w:b/>
                <w:bCs/>
                <w:i/>
                <w:sz w:val="26"/>
                <w:szCs w:val="26"/>
              </w:rPr>
              <w:t>5</w:t>
            </w:r>
            <w:r w:rsidR="00FC70AA">
              <w:rPr>
                <w:rFonts w:ascii="Times New Roman" w:hAnsi="Times New Roman" w:cs="Times New Roman"/>
                <w:b/>
                <w:bCs/>
                <w:i/>
                <w:sz w:val="26"/>
                <w:szCs w:val="26"/>
              </w:rPr>
              <w:t>.10.2</w:t>
            </w:r>
            <w:r w:rsidRPr="0040024F">
              <w:rPr>
                <w:rFonts w:ascii="Times New Roman" w:hAnsi="Times New Roman" w:cs="Times New Roman"/>
                <w:b/>
                <w:bCs/>
                <w:i/>
                <w:sz w:val="26"/>
                <w:szCs w:val="26"/>
              </w:rPr>
              <w:t>018 N 1175 «Про затвердження Порядку встановлення (формування) тарифів на послуги з розподілу електричної енергії»</w:t>
            </w:r>
          </w:p>
        </w:tc>
      </w:tr>
      <w:tr w:rsidR="007744BE" w:rsidRPr="003D580E" w14:paraId="74E70AA8" w14:textId="77777777" w:rsidTr="00853FA0">
        <w:tc>
          <w:tcPr>
            <w:tcW w:w="5387" w:type="dxa"/>
          </w:tcPr>
          <w:p w14:paraId="75371122" w14:textId="77777777" w:rsidR="007744BE" w:rsidRDefault="007744BE" w:rsidP="007744BE">
            <w:pPr>
              <w:jc w:val="both"/>
              <w:rPr>
                <w:rFonts w:ascii="Times New Roman" w:hAnsi="Times New Roman" w:cs="Times New Roman"/>
                <w:b/>
                <w:color w:val="333333"/>
                <w:sz w:val="26"/>
                <w:szCs w:val="26"/>
                <w:shd w:val="clear" w:color="auto" w:fill="FFFFFF"/>
              </w:rPr>
            </w:pPr>
            <w:r w:rsidRPr="006546AE">
              <w:rPr>
                <w:rFonts w:ascii="Times New Roman" w:hAnsi="Times New Roman" w:cs="Times New Roman"/>
                <w:b/>
                <w:color w:val="333333"/>
                <w:sz w:val="26"/>
                <w:szCs w:val="26"/>
                <w:shd w:val="clear" w:color="auto" w:fill="FFFFFF"/>
              </w:rPr>
              <w:t>Глава 5</w:t>
            </w:r>
          </w:p>
          <w:p w14:paraId="5C994259" w14:textId="77777777" w:rsidR="006B5FB6" w:rsidRPr="00836BEA" w:rsidRDefault="006B5FB6" w:rsidP="006B5FB6">
            <w:pPr>
              <w:pStyle w:val="a4"/>
              <w:ind w:left="29"/>
              <w:jc w:val="both"/>
              <w:rPr>
                <w:rFonts w:ascii="Times New Roman" w:hAnsi="Times New Roman" w:cs="Times New Roman"/>
                <w:b/>
                <w:color w:val="FF0000"/>
                <w:sz w:val="24"/>
                <w:szCs w:val="24"/>
              </w:rPr>
            </w:pPr>
            <w:r w:rsidRPr="00836BEA">
              <w:rPr>
                <w:rFonts w:ascii="Times New Roman" w:hAnsi="Times New Roman" w:cs="Times New Roman"/>
                <w:b/>
                <w:color w:val="FF0000"/>
                <w:sz w:val="24"/>
                <w:szCs w:val="24"/>
              </w:rPr>
              <w:t>Зміни не пропонувались</w:t>
            </w:r>
          </w:p>
          <w:p w14:paraId="7E9347D7" w14:textId="77777777" w:rsidR="003B07E0" w:rsidRDefault="003B07E0" w:rsidP="003B07E0">
            <w:pPr>
              <w:pStyle w:val="rvps14"/>
              <w:spacing w:before="0" w:beforeAutospacing="0" w:after="0" w:afterAutospacing="0"/>
              <w:jc w:val="both"/>
              <w:rPr>
                <w:color w:val="333333"/>
              </w:rPr>
            </w:pPr>
            <w:r>
              <w:rPr>
                <w:color w:val="333333"/>
              </w:rPr>
              <w:t xml:space="preserve">Пункт 5.4. абзац </w:t>
            </w:r>
          </w:p>
          <w:tbl>
            <w:tblPr>
              <w:tblW w:w="5000" w:type="pct"/>
              <w:shd w:val="clear" w:color="auto" w:fill="FFFFFF"/>
              <w:tblLayout w:type="fixed"/>
              <w:tblCellMar>
                <w:left w:w="0" w:type="dxa"/>
                <w:right w:w="0" w:type="dxa"/>
              </w:tblCellMar>
              <w:tblLook w:val="04A0" w:firstRow="1" w:lastRow="0" w:firstColumn="1" w:lastColumn="0" w:noHBand="0" w:noVBand="1"/>
            </w:tblPr>
            <w:tblGrid>
              <w:gridCol w:w="630"/>
              <w:gridCol w:w="219"/>
              <w:gridCol w:w="4322"/>
            </w:tblGrid>
            <w:tr w:rsidR="007744BE" w:rsidRPr="007744BE" w14:paraId="454E4A65" w14:textId="77777777" w:rsidTr="003B07E0">
              <w:tc>
                <w:tcPr>
                  <w:tcW w:w="630" w:type="dxa"/>
                  <w:shd w:val="clear" w:color="auto" w:fill="FFFFFF"/>
                  <w:hideMark/>
                </w:tcPr>
                <w:p w14:paraId="7337F871" w14:textId="77777777" w:rsidR="007744BE" w:rsidRPr="007744BE" w:rsidRDefault="007744BE" w:rsidP="007744BE">
                  <w:pPr>
                    <w:spacing w:before="150" w:after="150" w:line="240" w:lineRule="auto"/>
                    <w:jc w:val="center"/>
                    <w:rPr>
                      <w:rFonts w:ascii="Times New Roman" w:eastAsia="Times New Roman" w:hAnsi="Times New Roman" w:cs="Times New Roman"/>
                      <w:color w:val="333333"/>
                      <w:sz w:val="24"/>
                      <w:szCs w:val="24"/>
                      <w:lang w:eastAsia="uk-UA"/>
                    </w:rPr>
                  </w:pPr>
                  <w:r w:rsidRPr="007744BE">
                    <w:rPr>
                      <w:rFonts w:ascii="Times New Roman" w:eastAsia="Times New Roman" w:hAnsi="Times New Roman" w:cs="Times New Roman"/>
                      <w:noProof/>
                      <w:color w:val="0000FF"/>
                      <w:sz w:val="24"/>
                      <w:szCs w:val="24"/>
                      <w:lang w:eastAsia="uk-UA"/>
                    </w:rPr>
                    <w:drawing>
                      <wp:inline distT="0" distB="0" distL="0" distR="0" wp14:anchorId="315E7B6A" wp14:editId="10B1619C">
                        <wp:extent cx="390525" cy="257175"/>
                        <wp:effectExtent l="0" t="0" r="9525" b="9525"/>
                        <wp:docPr id="3" name="Рисунок 3" descr="https://zakon.rada.gov.ua/laws/file/imgs/99/p478167n136v3-26.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9/p478167n136v3-26.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p>
              </w:tc>
              <w:tc>
                <w:tcPr>
                  <w:tcW w:w="219" w:type="dxa"/>
                  <w:shd w:val="clear" w:color="auto" w:fill="FFFFFF"/>
                  <w:hideMark/>
                </w:tcPr>
                <w:p w14:paraId="4542F246" w14:textId="77777777" w:rsidR="007744BE" w:rsidRPr="007744BE" w:rsidRDefault="007744BE" w:rsidP="007744BE">
                  <w:pPr>
                    <w:spacing w:before="150" w:after="150" w:line="240" w:lineRule="auto"/>
                    <w:jc w:val="center"/>
                    <w:rPr>
                      <w:rFonts w:ascii="Times New Roman" w:eastAsia="Times New Roman" w:hAnsi="Times New Roman" w:cs="Times New Roman"/>
                      <w:color w:val="333333"/>
                      <w:sz w:val="24"/>
                      <w:szCs w:val="24"/>
                      <w:lang w:eastAsia="uk-UA"/>
                    </w:rPr>
                  </w:pPr>
                  <w:r w:rsidRPr="007744BE">
                    <w:rPr>
                      <w:rFonts w:ascii="Times New Roman" w:eastAsia="Times New Roman" w:hAnsi="Times New Roman" w:cs="Times New Roman"/>
                      <w:color w:val="333333"/>
                      <w:sz w:val="24"/>
                      <w:szCs w:val="24"/>
                      <w:lang w:eastAsia="uk-UA"/>
                    </w:rPr>
                    <w:t>-</w:t>
                  </w:r>
                </w:p>
              </w:tc>
              <w:tc>
                <w:tcPr>
                  <w:tcW w:w="4322" w:type="dxa"/>
                  <w:shd w:val="clear" w:color="auto" w:fill="FFFFFF"/>
                  <w:hideMark/>
                </w:tcPr>
                <w:p w14:paraId="34553E93" w14:textId="77777777" w:rsidR="007744BE" w:rsidRPr="007744BE" w:rsidRDefault="007744BE" w:rsidP="007744BE">
                  <w:pPr>
                    <w:spacing w:before="150" w:after="150" w:line="240" w:lineRule="auto"/>
                    <w:rPr>
                      <w:rFonts w:ascii="Times New Roman" w:eastAsia="Times New Roman" w:hAnsi="Times New Roman" w:cs="Times New Roman"/>
                      <w:color w:val="333333"/>
                      <w:sz w:val="24"/>
                      <w:szCs w:val="24"/>
                      <w:lang w:eastAsia="uk-UA"/>
                    </w:rPr>
                  </w:pPr>
                  <w:r w:rsidRPr="007744BE">
                    <w:rPr>
                      <w:rFonts w:ascii="Times New Roman" w:eastAsia="Times New Roman" w:hAnsi="Times New Roman" w:cs="Times New Roman"/>
                      <w:color w:val="333333"/>
                      <w:sz w:val="24"/>
                      <w:szCs w:val="24"/>
                      <w:lang w:eastAsia="uk-UA"/>
                    </w:rPr>
                    <w:t>прогнозований індекс цін виробників промислової продукції для року </w:t>
                  </w:r>
                  <w:r w:rsidRPr="007744BE">
                    <w:rPr>
                      <w:rFonts w:ascii="Times New Roman" w:eastAsia="Times New Roman" w:hAnsi="Times New Roman" w:cs="Times New Roman"/>
                      <w:i/>
                      <w:iCs/>
                      <w:color w:val="333333"/>
                      <w:sz w:val="24"/>
                      <w:szCs w:val="24"/>
                      <w:lang w:eastAsia="uk-UA"/>
                    </w:rPr>
                    <w:t>t</w:t>
                  </w:r>
                  <w:r w:rsidRPr="007744BE">
                    <w:rPr>
                      <w:rFonts w:ascii="Times New Roman" w:eastAsia="Times New Roman" w:hAnsi="Times New Roman" w:cs="Times New Roman"/>
                      <w:color w:val="333333"/>
                      <w:sz w:val="24"/>
                      <w:szCs w:val="24"/>
                      <w:lang w:eastAsia="uk-UA"/>
                    </w:rPr>
                    <w:t>, %;</w:t>
                  </w:r>
                </w:p>
              </w:tc>
            </w:tr>
          </w:tbl>
          <w:p w14:paraId="6788D8FC" w14:textId="77777777" w:rsidR="007744BE" w:rsidRPr="00B629CC" w:rsidRDefault="007744BE" w:rsidP="009C1D60">
            <w:pPr>
              <w:jc w:val="center"/>
              <w:rPr>
                <w:rFonts w:ascii="Times New Roman" w:hAnsi="Times New Roman" w:cs="Times New Roman"/>
                <w:b/>
                <w:sz w:val="23"/>
                <w:szCs w:val="23"/>
              </w:rPr>
            </w:pPr>
          </w:p>
        </w:tc>
        <w:tc>
          <w:tcPr>
            <w:tcW w:w="5387" w:type="dxa"/>
          </w:tcPr>
          <w:p w14:paraId="07F922A7" w14:textId="77777777" w:rsidR="007744BE" w:rsidRPr="00535375" w:rsidRDefault="007744BE" w:rsidP="007744BE">
            <w:pPr>
              <w:rPr>
                <w:rFonts w:ascii="Times New Roman" w:eastAsia="Times New Roman" w:hAnsi="Times New Roman" w:cs="Times New Roman"/>
                <w:b/>
                <w:sz w:val="24"/>
                <w:szCs w:val="24"/>
              </w:rPr>
            </w:pPr>
            <w:r w:rsidRPr="00535375">
              <w:rPr>
                <w:rFonts w:ascii="Times New Roman" w:eastAsia="Times New Roman" w:hAnsi="Times New Roman" w:cs="Times New Roman"/>
                <w:b/>
                <w:sz w:val="24"/>
                <w:szCs w:val="24"/>
              </w:rPr>
              <w:t>ПРАТ «</w:t>
            </w:r>
            <w:proofErr w:type="spellStart"/>
            <w:r w:rsidRPr="00535375">
              <w:rPr>
                <w:rFonts w:ascii="Times New Roman" w:eastAsia="Times New Roman" w:hAnsi="Times New Roman" w:cs="Times New Roman"/>
                <w:b/>
                <w:sz w:val="24"/>
                <w:szCs w:val="24"/>
              </w:rPr>
              <w:t>Львівобленерго</w:t>
            </w:r>
            <w:proofErr w:type="spellEnd"/>
            <w:r w:rsidRPr="00535375">
              <w:rPr>
                <w:rFonts w:ascii="Times New Roman" w:eastAsia="Times New Roman" w:hAnsi="Times New Roman" w:cs="Times New Roman"/>
                <w:b/>
                <w:sz w:val="24"/>
                <w:szCs w:val="24"/>
              </w:rPr>
              <w:t>» лист від 03.10.2023 № 122-07-5425</w:t>
            </w:r>
          </w:p>
          <w:p w14:paraId="7BB311BE" w14:textId="77777777" w:rsidR="007744BE" w:rsidRDefault="007744BE" w:rsidP="007744BE">
            <w:pPr>
              <w:pStyle w:val="rvps14"/>
              <w:spacing w:before="0" w:beforeAutospacing="0" w:after="0" w:afterAutospacing="0"/>
              <w:jc w:val="both"/>
              <w:rPr>
                <w:color w:val="333333"/>
              </w:rPr>
            </w:pPr>
            <w:r>
              <w:rPr>
                <w:color w:val="333333"/>
              </w:rPr>
              <w:t xml:space="preserve">Пункт 5.4. абзац </w:t>
            </w:r>
          </w:p>
          <w:p w14:paraId="1FBCA541" w14:textId="77777777" w:rsidR="00061ACA" w:rsidRDefault="00535375" w:rsidP="00061ACA">
            <w:pPr>
              <w:jc w:val="both"/>
              <w:rPr>
                <w:rFonts w:ascii="Times New Roman" w:hAnsi="Times New Roman" w:cs="Times New Roman"/>
                <w:color w:val="333333"/>
                <w:sz w:val="24"/>
                <w:szCs w:val="24"/>
              </w:rPr>
            </w:pPr>
            <w:r w:rsidRPr="008357B5">
              <w:rPr>
                <w:rFonts w:ascii="Times New Roman" w:hAnsi="Times New Roman" w:cs="Times New Roman"/>
                <w:color w:val="333333"/>
                <w:sz w:val="24"/>
                <w:szCs w:val="24"/>
              </w:rPr>
              <w:t xml:space="preserve"> </w:t>
            </w:r>
            <m:oMath>
              <m:sSubSup>
                <m:sSubSupPr>
                  <m:ctrlPr>
                    <w:rPr>
                      <w:rFonts w:ascii="Cambria Math" w:hAnsi="Cambria Math" w:cs="Times New Roman"/>
                      <w:i/>
                      <w:color w:val="333333"/>
                      <w:sz w:val="24"/>
                      <w:szCs w:val="24"/>
                    </w:rPr>
                  </m:ctrlPr>
                </m:sSubSupPr>
                <m:e>
                  <m:r>
                    <w:rPr>
                      <w:rFonts w:ascii="Cambria Math" w:hAnsi="Cambria Math" w:cs="Times New Roman"/>
                      <w:color w:val="333333"/>
                      <w:sz w:val="24"/>
                      <w:szCs w:val="24"/>
                    </w:rPr>
                    <m:t>ІЦВ</m:t>
                  </m:r>
                </m:e>
                <m:sub>
                  <m:r>
                    <w:rPr>
                      <w:rFonts w:ascii="Cambria Math" w:hAnsi="Cambria Math" w:cs="Times New Roman"/>
                      <w:color w:val="333333"/>
                      <w:sz w:val="24"/>
                      <w:szCs w:val="24"/>
                    </w:rPr>
                    <m:t>t</m:t>
                  </m:r>
                </m:sub>
                <m:sup>
                  <m:r>
                    <w:rPr>
                      <w:rFonts w:ascii="Cambria Math" w:hAnsi="Cambria Math" w:cs="Times New Roman"/>
                      <w:color w:val="333333"/>
                      <w:sz w:val="24"/>
                      <w:szCs w:val="24"/>
                    </w:rPr>
                    <m:t>n</m:t>
                  </m:r>
                </m:sup>
              </m:sSubSup>
            </m:oMath>
            <w:r w:rsidR="00087247" w:rsidRPr="00A84C1E">
              <w:rPr>
                <w:rFonts w:ascii="Times New Roman" w:eastAsiaTheme="minorEastAsia" w:hAnsi="Times New Roman" w:cs="Times New Roman"/>
                <w:color w:val="333333"/>
                <w:sz w:val="24"/>
                <w:szCs w:val="24"/>
                <w:lang w:val="ru-RU"/>
              </w:rPr>
              <w:t xml:space="preserve"> - </w:t>
            </w:r>
            <w:r w:rsidRPr="008357B5">
              <w:rPr>
                <w:rFonts w:ascii="Times New Roman" w:hAnsi="Times New Roman" w:cs="Times New Roman"/>
                <w:color w:val="333333"/>
                <w:sz w:val="24"/>
                <w:szCs w:val="24"/>
              </w:rPr>
              <w:t xml:space="preserve">прогнозований індекс цін виробників промислової продукції </w:t>
            </w:r>
            <w:proofErr w:type="gramStart"/>
            <w:r w:rsidRPr="008357B5">
              <w:rPr>
                <w:rFonts w:ascii="Times New Roman" w:hAnsi="Times New Roman" w:cs="Times New Roman"/>
                <w:color w:val="333333"/>
                <w:sz w:val="24"/>
                <w:szCs w:val="24"/>
              </w:rPr>
              <w:t>для року</w:t>
            </w:r>
            <w:proofErr w:type="gramEnd"/>
            <w:r w:rsidRPr="008357B5">
              <w:rPr>
                <w:rFonts w:ascii="Times New Roman" w:hAnsi="Times New Roman" w:cs="Times New Roman"/>
                <w:color w:val="333333"/>
                <w:sz w:val="24"/>
                <w:szCs w:val="24"/>
              </w:rPr>
              <w:t> </w:t>
            </w:r>
            <w:r w:rsidRPr="008357B5">
              <w:rPr>
                <w:rStyle w:val="rvts11"/>
                <w:rFonts w:ascii="Times New Roman" w:hAnsi="Times New Roman" w:cs="Times New Roman"/>
                <w:i/>
                <w:iCs/>
                <w:color w:val="333333"/>
                <w:sz w:val="24"/>
                <w:szCs w:val="24"/>
              </w:rPr>
              <w:t>t</w:t>
            </w:r>
            <w:r w:rsidRPr="008357B5">
              <w:rPr>
                <w:rFonts w:ascii="Times New Roman" w:hAnsi="Times New Roman" w:cs="Times New Roman"/>
                <w:color w:val="333333"/>
                <w:sz w:val="24"/>
                <w:szCs w:val="24"/>
              </w:rPr>
              <w:t xml:space="preserve">, % </w:t>
            </w:r>
            <w:r w:rsidRPr="008357B5">
              <w:rPr>
                <w:rFonts w:ascii="Times New Roman" w:hAnsi="Times New Roman" w:cs="Times New Roman"/>
                <w:b/>
                <w:color w:val="333333"/>
                <w:sz w:val="24"/>
                <w:szCs w:val="24"/>
              </w:rPr>
              <w:t>(на основі показників, які використані при формуванні бюджету України на наступний рік)</w:t>
            </w:r>
            <w:r w:rsidRPr="008357B5">
              <w:rPr>
                <w:rFonts w:ascii="Times New Roman" w:hAnsi="Times New Roman" w:cs="Times New Roman"/>
                <w:color w:val="333333"/>
                <w:sz w:val="24"/>
                <w:szCs w:val="24"/>
              </w:rPr>
              <w:t>;</w:t>
            </w:r>
          </w:p>
          <w:p w14:paraId="231C7293" w14:textId="77777777" w:rsidR="00C746AF" w:rsidRPr="00C746AF" w:rsidRDefault="00C746AF" w:rsidP="00C746AF">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15644194" w14:textId="77777777" w:rsidR="00061ACA" w:rsidRPr="00061ACA" w:rsidRDefault="00061ACA" w:rsidP="00061ACA">
            <w:pPr>
              <w:jc w:val="both"/>
              <w:rPr>
                <w:rFonts w:ascii="Times New Roman" w:hAnsi="Times New Roman" w:cs="Times New Roman"/>
                <w:i/>
                <w:color w:val="333333"/>
                <w:sz w:val="24"/>
                <w:szCs w:val="24"/>
              </w:rPr>
            </w:pPr>
            <w:r w:rsidRPr="00061ACA">
              <w:rPr>
                <w:rFonts w:ascii="Times New Roman" w:hAnsi="Times New Roman" w:cs="Times New Roman"/>
                <w:i/>
                <w:color w:val="333333"/>
                <w:sz w:val="24"/>
                <w:szCs w:val="24"/>
              </w:rPr>
              <w:t>У зв’язку із відсутністю актуалізованих даних щодо прогнозних макроекономічних показників економічного розвитку України</w:t>
            </w:r>
            <w:r w:rsidR="00B56267">
              <w:rPr>
                <w:rFonts w:ascii="Times New Roman" w:hAnsi="Times New Roman" w:cs="Times New Roman"/>
                <w:i/>
                <w:color w:val="333333"/>
                <w:sz w:val="24"/>
                <w:szCs w:val="24"/>
              </w:rPr>
              <w:t>,</w:t>
            </w:r>
            <w:r w:rsidRPr="00061ACA">
              <w:rPr>
                <w:rFonts w:ascii="Times New Roman" w:hAnsi="Times New Roman" w:cs="Times New Roman"/>
                <w:i/>
                <w:color w:val="333333"/>
                <w:sz w:val="24"/>
                <w:szCs w:val="24"/>
              </w:rPr>
              <w:t xml:space="preserve"> а також фактичної інформації на сайті Статистики України, необхідної для формування тарифів на розподіл електричної енергії, пропонує</w:t>
            </w:r>
            <w:r w:rsidR="007F26C5">
              <w:rPr>
                <w:rFonts w:ascii="Times New Roman" w:hAnsi="Times New Roman" w:cs="Times New Roman"/>
                <w:i/>
                <w:color w:val="333333"/>
                <w:sz w:val="24"/>
                <w:szCs w:val="24"/>
              </w:rPr>
              <w:t xml:space="preserve">ться </w:t>
            </w:r>
            <w:r w:rsidRPr="00061ACA">
              <w:rPr>
                <w:rFonts w:ascii="Times New Roman" w:hAnsi="Times New Roman" w:cs="Times New Roman"/>
                <w:i/>
                <w:color w:val="333333"/>
                <w:sz w:val="24"/>
                <w:szCs w:val="24"/>
              </w:rPr>
              <w:t>використовувати дані</w:t>
            </w:r>
            <w:r w:rsidR="00B56267">
              <w:rPr>
                <w:rFonts w:ascii="Times New Roman" w:hAnsi="Times New Roman" w:cs="Times New Roman"/>
                <w:i/>
                <w:color w:val="333333"/>
                <w:sz w:val="24"/>
                <w:szCs w:val="24"/>
              </w:rPr>
              <w:t>,</w:t>
            </w:r>
            <w:r w:rsidRPr="00061ACA">
              <w:rPr>
                <w:rFonts w:ascii="Times New Roman" w:hAnsi="Times New Roman" w:cs="Times New Roman"/>
                <w:i/>
                <w:color w:val="333333"/>
                <w:sz w:val="24"/>
                <w:szCs w:val="24"/>
              </w:rPr>
              <w:t xml:space="preserve"> використані при формуванні Державного бюджету України.</w:t>
            </w:r>
          </w:p>
        </w:tc>
        <w:tc>
          <w:tcPr>
            <w:tcW w:w="4394" w:type="dxa"/>
          </w:tcPr>
          <w:p w14:paraId="42348BE1" w14:textId="77777777" w:rsidR="007744BE" w:rsidRPr="00853FA0" w:rsidRDefault="008357B5" w:rsidP="008357B5">
            <w:pPr>
              <w:rPr>
                <w:rFonts w:ascii="Times New Roman" w:hAnsi="Times New Roman" w:cs="Times New Roman"/>
                <w:b/>
                <w:sz w:val="24"/>
                <w:szCs w:val="24"/>
              </w:rPr>
            </w:pPr>
            <w:r w:rsidRPr="00853FA0">
              <w:rPr>
                <w:rFonts w:ascii="Times New Roman" w:hAnsi="Times New Roman" w:cs="Times New Roman"/>
                <w:b/>
                <w:sz w:val="24"/>
                <w:szCs w:val="24"/>
              </w:rPr>
              <w:t>Потребує обговорення</w:t>
            </w:r>
          </w:p>
        </w:tc>
      </w:tr>
      <w:tr w:rsidR="009C1D60" w:rsidRPr="003D580E" w14:paraId="099B5F98" w14:textId="77777777" w:rsidTr="00853FA0">
        <w:tc>
          <w:tcPr>
            <w:tcW w:w="5387" w:type="dxa"/>
          </w:tcPr>
          <w:p w14:paraId="5E90B9A7" w14:textId="77777777" w:rsidR="009C1D60" w:rsidRPr="006546AE" w:rsidRDefault="009C1D60" w:rsidP="001F0A96">
            <w:pPr>
              <w:jc w:val="both"/>
              <w:rPr>
                <w:rFonts w:ascii="Times New Roman" w:hAnsi="Times New Roman" w:cs="Times New Roman"/>
                <w:b/>
                <w:color w:val="333333"/>
                <w:sz w:val="26"/>
                <w:szCs w:val="26"/>
                <w:shd w:val="clear" w:color="auto" w:fill="FFFFFF"/>
              </w:rPr>
            </w:pPr>
            <w:r w:rsidRPr="006546AE">
              <w:rPr>
                <w:rFonts w:ascii="Times New Roman" w:hAnsi="Times New Roman" w:cs="Times New Roman"/>
                <w:b/>
                <w:color w:val="333333"/>
                <w:sz w:val="26"/>
                <w:szCs w:val="26"/>
                <w:shd w:val="clear" w:color="auto" w:fill="FFFFFF"/>
              </w:rPr>
              <w:t>Глава 5</w:t>
            </w:r>
          </w:p>
          <w:p w14:paraId="712F27C9" w14:textId="77777777" w:rsidR="009C1D60" w:rsidRPr="004767B4" w:rsidRDefault="009C1D60" w:rsidP="007028EB">
            <w:pPr>
              <w:jc w:val="both"/>
              <w:rPr>
                <w:rFonts w:ascii="Times New Roman" w:hAnsi="Times New Roman" w:cs="Times New Roman"/>
                <w:color w:val="333333"/>
                <w:sz w:val="26"/>
                <w:szCs w:val="26"/>
                <w:shd w:val="clear" w:color="auto" w:fill="FFFFFF"/>
              </w:rPr>
            </w:pPr>
            <w:r w:rsidRPr="004767B4">
              <w:rPr>
                <w:rFonts w:ascii="Times New Roman" w:hAnsi="Times New Roman" w:cs="Times New Roman"/>
                <w:color w:val="333333"/>
                <w:sz w:val="26"/>
                <w:szCs w:val="26"/>
                <w:shd w:val="clear" w:color="auto" w:fill="FFFFFF"/>
              </w:rPr>
              <w:t>…………………………….</w:t>
            </w:r>
          </w:p>
          <w:p w14:paraId="39164E58" w14:textId="77777777" w:rsidR="009C1D60" w:rsidRPr="006546AE" w:rsidRDefault="009C1D60" w:rsidP="007028EB">
            <w:pPr>
              <w:jc w:val="both"/>
              <w:rPr>
                <w:rFonts w:ascii="Times New Roman" w:hAnsi="Times New Roman" w:cs="Times New Roman"/>
                <w:b/>
                <w:color w:val="333333"/>
                <w:sz w:val="26"/>
                <w:szCs w:val="26"/>
                <w:shd w:val="clear" w:color="auto" w:fill="FFFFFF"/>
              </w:rPr>
            </w:pPr>
            <w:r w:rsidRPr="006546AE">
              <w:rPr>
                <w:rFonts w:ascii="Times New Roman" w:hAnsi="Times New Roman" w:cs="Times New Roman"/>
                <w:b/>
                <w:color w:val="333333"/>
                <w:sz w:val="26"/>
                <w:szCs w:val="26"/>
                <w:shd w:val="clear" w:color="auto" w:fill="FFFFFF"/>
              </w:rPr>
              <w:t>пункт 5.12.</w:t>
            </w:r>
          </w:p>
          <w:p w14:paraId="27C8576B" w14:textId="77777777" w:rsidR="009C1D60" w:rsidRPr="004767B4" w:rsidRDefault="009C1D60" w:rsidP="007028EB">
            <w:pPr>
              <w:jc w:val="both"/>
              <w:rPr>
                <w:rFonts w:ascii="Times New Roman" w:hAnsi="Times New Roman" w:cs="Times New Roman"/>
                <w:color w:val="333333"/>
                <w:sz w:val="26"/>
                <w:szCs w:val="26"/>
                <w:shd w:val="clear" w:color="auto" w:fill="FFFFFF"/>
              </w:rPr>
            </w:pPr>
          </w:p>
          <w:tbl>
            <w:tblPr>
              <w:tblW w:w="498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0"/>
              <w:gridCol w:w="50"/>
              <w:gridCol w:w="4580"/>
            </w:tblGrid>
            <w:tr w:rsidR="009C1D60" w:rsidRPr="004767B4" w14:paraId="1C78965E" w14:textId="77777777" w:rsidTr="00300237">
              <w:tc>
                <w:tcPr>
                  <w:tcW w:w="745" w:type="dxa"/>
                  <w:tcBorders>
                    <w:top w:val="nil"/>
                    <w:left w:val="nil"/>
                    <w:bottom w:val="nil"/>
                    <w:right w:val="nil"/>
                  </w:tcBorders>
                  <w:shd w:val="clear" w:color="auto" w:fill="FFFFFF"/>
                  <w:hideMark/>
                </w:tcPr>
                <w:p w14:paraId="4BCE685B" w14:textId="77777777" w:rsidR="009C1D60" w:rsidRPr="004767B4" w:rsidRDefault="009C1D60" w:rsidP="00532293">
                  <w:pPr>
                    <w:spacing w:after="0" w:line="240" w:lineRule="auto"/>
                    <w:rPr>
                      <w:rFonts w:ascii="Times New Roman" w:eastAsia="Times New Roman" w:hAnsi="Times New Roman" w:cs="Times New Roman"/>
                      <w:color w:val="212529"/>
                      <w:sz w:val="24"/>
                      <w:szCs w:val="24"/>
                    </w:rPr>
                  </w:pPr>
                  <w:r w:rsidRPr="004767B4">
                    <w:rPr>
                      <w:rFonts w:ascii="Times New Roman" w:eastAsia="Times New Roman" w:hAnsi="Times New Roman" w:cs="Times New Roman"/>
                      <w:noProof/>
                      <w:color w:val="0056B3"/>
                      <w:sz w:val="24"/>
                      <w:szCs w:val="24"/>
                    </w:rPr>
                    <w:drawing>
                      <wp:inline distT="0" distB="0" distL="0" distR="0" wp14:anchorId="7FFA57D0" wp14:editId="4207C4F7">
                        <wp:extent cx="259080" cy="224155"/>
                        <wp:effectExtent l="0" t="0" r="7620" b="4445"/>
                        <wp:docPr id="41" name="Рисунок 41" descr="https://zakon.rada.gov.ua/laws/file/imgs/100/p478167n529v1-56.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100/p478167n529v1-56.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24155"/>
                                </a:xfrm>
                                <a:prstGeom prst="rect">
                                  <a:avLst/>
                                </a:prstGeom>
                                <a:noFill/>
                                <a:ln>
                                  <a:noFill/>
                                </a:ln>
                              </pic:spPr>
                            </pic:pic>
                          </a:graphicData>
                        </a:graphic>
                      </wp:inline>
                    </w:drawing>
                  </w:r>
                </w:p>
              </w:tc>
              <w:tc>
                <w:tcPr>
                  <w:tcW w:w="50" w:type="dxa"/>
                  <w:tcBorders>
                    <w:top w:val="nil"/>
                    <w:left w:val="nil"/>
                    <w:bottom w:val="nil"/>
                    <w:right w:val="nil"/>
                  </w:tcBorders>
                  <w:shd w:val="clear" w:color="auto" w:fill="FFFFFF"/>
                  <w:hideMark/>
                </w:tcPr>
                <w:p w14:paraId="488645A6" w14:textId="77777777" w:rsidR="009C1D60" w:rsidRPr="004767B4" w:rsidRDefault="009C1D60" w:rsidP="00532293">
                  <w:pPr>
                    <w:spacing w:after="0" w:line="240" w:lineRule="auto"/>
                    <w:jc w:val="center"/>
                    <w:rPr>
                      <w:rFonts w:ascii="Times New Roman" w:eastAsia="Times New Roman" w:hAnsi="Times New Roman" w:cs="Times New Roman"/>
                      <w:color w:val="212529"/>
                      <w:sz w:val="24"/>
                      <w:szCs w:val="24"/>
                    </w:rPr>
                  </w:pPr>
                  <w:r w:rsidRPr="004767B4">
                    <w:rPr>
                      <w:rFonts w:ascii="Times New Roman" w:eastAsia="Times New Roman" w:hAnsi="Times New Roman" w:cs="Times New Roman"/>
                      <w:color w:val="212529"/>
                      <w:sz w:val="24"/>
                      <w:szCs w:val="24"/>
                    </w:rPr>
                    <w:t>-</w:t>
                  </w:r>
                </w:p>
              </w:tc>
              <w:tc>
                <w:tcPr>
                  <w:tcW w:w="6755" w:type="dxa"/>
                  <w:tcBorders>
                    <w:top w:val="nil"/>
                    <w:left w:val="nil"/>
                    <w:bottom w:val="nil"/>
                    <w:right w:val="nil"/>
                  </w:tcBorders>
                  <w:shd w:val="clear" w:color="auto" w:fill="FFFFFF"/>
                  <w:hideMark/>
                </w:tcPr>
                <w:p w14:paraId="622ABBEE" w14:textId="77777777" w:rsidR="009C1D60" w:rsidRPr="004767B4" w:rsidRDefault="009C1D60" w:rsidP="00532293">
                  <w:pPr>
                    <w:spacing w:after="0" w:line="240" w:lineRule="auto"/>
                    <w:jc w:val="both"/>
                    <w:rPr>
                      <w:rFonts w:ascii="Times New Roman" w:hAnsi="Times New Roman" w:cs="Times New Roman"/>
                      <w:color w:val="538135" w:themeColor="accent6" w:themeShade="BF"/>
                      <w:sz w:val="26"/>
                      <w:szCs w:val="26"/>
                    </w:rPr>
                  </w:pPr>
                  <w:bookmarkStart w:id="1" w:name="_Hlk115116547"/>
                  <w:r w:rsidRPr="004767B4">
                    <w:rPr>
                      <w:rFonts w:ascii="Times New Roman" w:eastAsia="Times New Roman" w:hAnsi="Times New Roman" w:cs="Times New Roman"/>
                      <w:color w:val="212529"/>
                      <w:sz w:val="26"/>
                      <w:szCs w:val="26"/>
                    </w:rPr>
                    <w:t xml:space="preserve">дорівнює регуляторній амортизації на активи, створені на дату переходу до </w:t>
                  </w:r>
                  <w:r w:rsidRPr="004767B4">
                    <w:rPr>
                      <w:rFonts w:ascii="Times New Roman" w:eastAsia="Times New Roman" w:hAnsi="Times New Roman" w:cs="Times New Roman"/>
                      <w:color w:val="212529"/>
                      <w:sz w:val="26"/>
                      <w:szCs w:val="26"/>
                    </w:rPr>
                    <w:lastRenderedPageBreak/>
                    <w:t>стимулюючого регулювання (</w:t>
                  </w:r>
                  <w:proofErr w:type="spellStart"/>
                  <w:r w:rsidRPr="004767B4">
                    <w:rPr>
                      <w:rFonts w:ascii="Times New Roman" w:eastAsia="Times New Roman" w:hAnsi="Times New Roman" w:cs="Times New Roman"/>
                      <w:color w:val="212529"/>
                      <w:sz w:val="26"/>
                      <w:szCs w:val="26"/>
                    </w:rPr>
                    <w:t>Ао</w:t>
                  </w:r>
                  <w:proofErr w:type="spellEnd"/>
                  <w:r w:rsidRPr="004767B4">
                    <w:rPr>
                      <w:rFonts w:ascii="Times New Roman" w:eastAsia="Times New Roman" w:hAnsi="Times New Roman" w:cs="Times New Roman"/>
                      <w:color w:val="212529"/>
                      <w:sz w:val="26"/>
                      <w:szCs w:val="26"/>
                    </w:rPr>
                    <w:t xml:space="preserve">), розрахованій згідно з Порядком визначення регуляторної бази активів. Якщо </w:t>
                  </w:r>
                  <w:proofErr w:type="spellStart"/>
                  <w:r w:rsidRPr="004767B4">
                    <w:rPr>
                      <w:rFonts w:ascii="Times New Roman" w:eastAsia="Times New Roman" w:hAnsi="Times New Roman" w:cs="Times New Roman"/>
                      <w:color w:val="212529"/>
                      <w:sz w:val="26"/>
                      <w:szCs w:val="26"/>
                    </w:rPr>
                    <w:t>Ао</w:t>
                  </w:r>
                  <w:proofErr w:type="spellEnd"/>
                  <w:r w:rsidRPr="004767B4">
                    <w:rPr>
                      <w:rFonts w:ascii="Times New Roman" w:eastAsia="Times New Roman" w:hAnsi="Times New Roman" w:cs="Times New Roman"/>
                      <w:color w:val="212529"/>
                      <w:sz w:val="26"/>
                      <w:szCs w:val="26"/>
                    </w:rPr>
                    <w:t xml:space="preserve"> перевищує рівень амортизації, врахований в діючих тарифах на дату переходу до стимулюючого регулювання, на величину понад 50 %, то </w:t>
                  </w:r>
                  <w:proofErr w:type="spellStart"/>
                  <w:r w:rsidRPr="004767B4">
                    <w:rPr>
                      <w:rFonts w:ascii="Times New Roman" w:eastAsia="Times New Roman" w:hAnsi="Times New Roman" w:cs="Times New Roman"/>
                      <w:color w:val="212529"/>
                      <w:sz w:val="26"/>
                      <w:szCs w:val="26"/>
                    </w:rPr>
                    <w:t>Аст</w:t>
                  </w:r>
                  <w:proofErr w:type="spellEnd"/>
                  <w:r w:rsidRPr="004767B4">
                    <w:rPr>
                      <w:rFonts w:ascii="Times New Roman" w:eastAsia="Times New Roman" w:hAnsi="Times New Roman" w:cs="Times New Roman"/>
                      <w:color w:val="212529"/>
                      <w:sz w:val="26"/>
                      <w:szCs w:val="26"/>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w:t>
                  </w:r>
                  <w:r w:rsidRPr="007028EB">
                    <w:rPr>
                      <w:rFonts w:ascii="Times New Roman" w:eastAsia="Times New Roman" w:hAnsi="Times New Roman" w:cs="Times New Roman"/>
                      <w:color w:val="212529"/>
                      <w:sz w:val="26"/>
                      <w:szCs w:val="26"/>
                    </w:rPr>
                    <w:t>наступні роки - від рівня амортизації  А</w:t>
                  </w:r>
                  <w:r w:rsidRPr="007028EB">
                    <w:rPr>
                      <w:rFonts w:ascii="Times New Roman" w:eastAsia="Times New Roman" w:hAnsi="Times New Roman" w:cs="Times New Roman"/>
                      <w:color w:val="212529"/>
                      <w:sz w:val="26"/>
                      <w:szCs w:val="26"/>
                      <w:vertAlign w:val="superscript"/>
                    </w:rPr>
                    <w:t>ст</w:t>
                  </w:r>
                  <w:r w:rsidRPr="007028EB">
                    <w:rPr>
                      <w:rFonts w:ascii="Times New Roman" w:eastAsia="Times New Roman" w:hAnsi="Times New Roman" w:cs="Times New Roman"/>
                      <w:color w:val="212529"/>
                      <w:sz w:val="26"/>
                      <w:szCs w:val="26"/>
                      <w:vertAlign w:val="subscript"/>
                    </w:rPr>
                    <w:t>t-1</w:t>
                  </w:r>
                  <w:r w:rsidRPr="007028EB">
                    <w:rPr>
                      <w:rFonts w:ascii="Times New Roman" w:eastAsia="Times New Roman" w:hAnsi="Times New Roman" w:cs="Times New Roman"/>
                      <w:color w:val="212529"/>
                      <w:sz w:val="26"/>
                      <w:szCs w:val="26"/>
                    </w:rPr>
                    <w:t xml:space="preserve">, врахованого в тарифах попереднього року) до досягнення рівня </w:t>
                  </w:r>
                  <w:proofErr w:type="spellStart"/>
                  <w:r w:rsidRPr="007028EB">
                    <w:rPr>
                      <w:rFonts w:ascii="Times New Roman" w:eastAsia="Times New Roman" w:hAnsi="Times New Roman" w:cs="Times New Roman"/>
                      <w:color w:val="212529"/>
                      <w:sz w:val="26"/>
                      <w:szCs w:val="26"/>
                    </w:rPr>
                    <w:t>Ао</w:t>
                  </w:r>
                  <w:proofErr w:type="spellEnd"/>
                  <w:r w:rsidRPr="007028EB">
                    <w:rPr>
                      <w:rFonts w:ascii="Times New Roman" w:eastAsia="Times New Roman" w:hAnsi="Times New Roman" w:cs="Times New Roman"/>
                      <w:color w:val="212529"/>
                      <w:sz w:val="26"/>
                      <w:szCs w:val="26"/>
                    </w:rPr>
                    <w:t xml:space="preserve"> (</w:t>
                  </w:r>
                  <w:bookmarkStart w:id="2" w:name="_Hlk115116534"/>
                  <w:r w:rsidRPr="007028EB">
                    <w:rPr>
                      <w:rFonts w:ascii="Times New Roman" w:eastAsia="Times New Roman" w:hAnsi="Times New Roman" w:cs="Times New Roman"/>
                      <w:color w:val="212529"/>
                      <w:sz w:val="26"/>
                      <w:szCs w:val="26"/>
                    </w:rPr>
                    <w:t>на 2023</w:t>
                  </w:r>
                  <w:r>
                    <w:rPr>
                      <w:rFonts w:ascii="Times New Roman" w:hAnsi="Times New Roman" w:cs="Times New Roman"/>
                      <w:color w:val="4472C4" w:themeColor="accent1"/>
                      <w:sz w:val="26"/>
                      <w:szCs w:val="26"/>
                    </w:rPr>
                    <w:t xml:space="preserve"> </w:t>
                  </w:r>
                  <w:r w:rsidRPr="00224497">
                    <w:rPr>
                      <w:rFonts w:ascii="Times New Roman" w:hAnsi="Times New Roman" w:cs="Times New Roman"/>
                      <w:b/>
                      <w:sz w:val="26"/>
                      <w:szCs w:val="26"/>
                    </w:rPr>
                    <w:t>та</w:t>
                  </w:r>
                  <w:r w:rsidRPr="00224497">
                    <w:rPr>
                      <w:rFonts w:ascii="Times New Roman" w:eastAsia="Times New Roman" w:hAnsi="Times New Roman" w:cs="Times New Roman"/>
                      <w:sz w:val="24"/>
                      <w:szCs w:val="24"/>
                      <w:lang w:eastAsia="uk-UA"/>
                    </w:rPr>
                    <w:t xml:space="preserve"> </w:t>
                  </w:r>
                  <w:r w:rsidRPr="00224497">
                    <w:rPr>
                      <w:rFonts w:ascii="Times New Roman" w:hAnsi="Times New Roman" w:cs="Times New Roman"/>
                      <w:b/>
                      <w:sz w:val="26"/>
                      <w:szCs w:val="26"/>
                    </w:rPr>
                    <w:t>2024 роки</w:t>
                  </w:r>
                  <w:r w:rsidRPr="00224497">
                    <w:rPr>
                      <w:rFonts w:ascii="Times New Roman" w:hAnsi="Times New Roman" w:cs="Times New Roman"/>
                      <w:sz w:val="26"/>
                      <w:szCs w:val="26"/>
                    </w:rPr>
                    <w:t xml:space="preserve"> </w:t>
                  </w:r>
                  <w:r w:rsidRPr="007028EB">
                    <w:rPr>
                      <w:rFonts w:ascii="Times New Roman" w:eastAsia="Times New Roman" w:hAnsi="Times New Roman" w:cs="Times New Roman"/>
                      <w:color w:val="212529"/>
                      <w:sz w:val="26"/>
                      <w:szCs w:val="26"/>
                    </w:rPr>
                    <w:t>амортизація на активи, створені на</w:t>
                  </w:r>
                  <w:r w:rsidRPr="007028EB">
                    <w:rPr>
                      <w:rFonts w:ascii="Times New Roman" w:eastAsia="Times New Roman" w:hAnsi="Times New Roman" w:cs="Times New Roman"/>
                      <w:noProof/>
                      <w:color w:val="212529"/>
                      <w:sz w:val="26"/>
                      <w:szCs w:val="26"/>
                    </w:rPr>
                    <w:drawing>
                      <wp:inline distT="0" distB="0" distL="0" distR="0" wp14:anchorId="3F1C220E" wp14:editId="35534343">
                        <wp:extent cx="34290" cy="207010"/>
                        <wp:effectExtent l="0" t="0" r="3810" b="2540"/>
                        <wp:docPr id="42" name="Рисунок 42" descr="https://zakon.rada.gov.ua/laws/file/imgs/100/p478167n529v1-55.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100/p478167n529v1-55.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 cy="207010"/>
                                </a:xfrm>
                                <a:prstGeom prst="rect">
                                  <a:avLst/>
                                </a:prstGeom>
                                <a:noFill/>
                                <a:ln>
                                  <a:noFill/>
                                </a:ln>
                              </pic:spPr>
                            </pic:pic>
                          </a:graphicData>
                        </a:graphic>
                      </wp:inline>
                    </w:drawing>
                  </w:r>
                  <w:r w:rsidRPr="007028EB">
                    <w:rPr>
                      <w:rFonts w:ascii="Times New Roman" w:eastAsia="Times New Roman" w:hAnsi="Times New Roman" w:cs="Times New Roman"/>
                      <w:color w:val="212529"/>
                      <w:sz w:val="26"/>
                      <w:szCs w:val="26"/>
                    </w:rPr>
                    <w:t> дату переходу до стимулюючого регулювання (</w:t>
                  </w:r>
                  <w:proofErr w:type="spellStart"/>
                  <w:r w:rsidRPr="007028EB">
                    <w:rPr>
                      <w:rFonts w:ascii="Times New Roman" w:eastAsia="Times New Roman" w:hAnsi="Times New Roman" w:cs="Times New Roman"/>
                      <w:color w:val="212529"/>
                      <w:sz w:val="26"/>
                      <w:szCs w:val="26"/>
                    </w:rPr>
                    <w:t>Аст</w:t>
                  </w:r>
                  <w:r w:rsidRPr="007028EB">
                    <w:rPr>
                      <w:rFonts w:ascii="Times New Roman" w:eastAsia="Times New Roman" w:hAnsi="Times New Roman" w:cs="Times New Roman"/>
                      <w:color w:val="212529"/>
                      <w:sz w:val="26"/>
                      <w:szCs w:val="26"/>
                      <w:vertAlign w:val="subscript"/>
                    </w:rPr>
                    <w:t>t</w:t>
                  </w:r>
                  <w:proofErr w:type="spellEnd"/>
                  <w:r w:rsidRPr="007028EB">
                    <w:rPr>
                      <w:rFonts w:ascii="Times New Roman" w:eastAsia="Times New Roman" w:hAnsi="Times New Roman" w:cs="Times New Roman"/>
                      <w:color w:val="212529"/>
                      <w:sz w:val="26"/>
                      <w:szCs w:val="26"/>
                    </w:rPr>
                    <w:t>) не перевищує</w:t>
                  </w:r>
                  <w:r w:rsidRPr="004767B4">
                    <w:rPr>
                      <w:rFonts w:ascii="Times New Roman" w:eastAsia="Times New Roman" w:hAnsi="Times New Roman" w:cs="Times New Roman"/>
                      <w:color w:val="212529"/>
                      <w:sz w:val="26"/>
                      <w:szCs w:val="26"/>
                    </w:rPr>
                    <w:t xml:space="preserve"> </w:t>
                  </w:r>
                  <w:proofErr w:type="spellStart"/>
                  <w:r w:rsidRPr="004767B4">
                    <w:rPr>
                      <w:rFonts w:ascii="Times New Roman" w:eastAsia="Times New Roman" w:hAnsi="Times New Roman" w:cs="Times New Roman"/>
                      <w:color w:val="212529"/>
                      <w:sz w:val="26"/>
                      <w:szCs w:val="26"/>
                    </w:rPr>
                    <w:t>Аст</w:t>
                  </w:r>
                  <w:proofErr w:type="spellEnd"/>
                  <w:r w:rsidRPr="004767B4">
                    <w:rPr>
                      <w:rFonts w:ascii="Times New Roman" w:eastAsia="Times New Roman" w:hAnsi="Times New Roman" w:cs="Times New Roman"/>
                      <w:color w:val="212529"/>
                      <w:sz w:val="26"/>
                      <w:szCs w:val="26"/>
                    </w:rPr>
                    <w:t xml:space="preserve"> </w:t>
                  </w:r>
                  <w:r w:rsidRPr="004767B4">
                    <w:rPr>
                      <w:rFonts w:ascii="Times New Roman" w:eastAsia="Times New Roman" w:hAnsi="Times New Roman" w:cs="Times New Roman"/>
                      <w:color w:val="212529"/>
                      <w:sz w:val="26"/>
                      <w:szCs w:val="26"/>
                      <w:vertAlign w:val="subscript"/>
                    </w:rPr>
                    <w:t>t-1</w:t>
                  </w:r>
                  <w:r w:rsidRPr="004767B4">
                    <w:rPr>
                      <w:rFonts w:ascii="Times New Roman" w:eastAsia="Times New Roman" w:hAnsi="Times New Roman" w:cs="Times New Roman"/>
                      <w:color w:val="212529"/>
                      <w:sz w:val="26"/>
                      <w:szCs w:val="26"/>
                    </w:rPr>
                    <w:t xml:space="preserve">, враховану в тарифах 2022 </w:t>
                  </w:r>
                  <w:r w:rsidRPr="00224497">
                    <w:rPr>
                      <w:rFonts w:ascii="Times New Roman" w:hAnsi="Times New Roman" w:cs="Times New Roman"/>
                      <w:b/>
                      <w:sz w:val="26"/>
                      <w:szCs w:val="26"/>
                    </w:rPr>
                    <w:t>та 2023 рок</w:t>
                  </w:r>
                  <w:r>
                    <w:rPr>
                      <w:rFonts w:ascii="Times New Roman" w:hAnsi="Times New Roman" w:cs="Times New Roman"/>
                      <w:b/>
                      <w:sz w:val="26"/>
                      <w:szCs w:val="26"/>
                    </w:rPr>
                    <w:t>ів</w:t>
                  </w:r>
                  <w:r w:rsidRPr="00224497">
                    <w:rPr>
                      <w:rFonts w:ascii="Times New Roman" w:hAnsi="Times New Roman" w:cs="Times New Roman"/>
                      <w:b/>
                      <w:sz w:val="26"/>
                      <w:szCs w:val="26"/>
                    </w:rPr>
                    <w:t xml:space="preserve"> відповідно</w:t>
                  </w:r>
                  <w:r w:rsidRPr="004767B4">
                    <w:rPr>
                      <w:rFonts w:ascii="Times New Roman" w:eastAsia="Times New Roman" w:hAnsi="Times New Roman" w:cs="Times New Roman"/>
                      <w:color w:val="212529"/>
                      <w:sz w:val="26"/>
                      <w:szCs w:val="26"/>
                    </w:rPr>
                    <w:t>);</w:t>
                  </w:r>
                  <w:r w:rsidRPr="004767B4">
                    <w:rPr>
                      <w:rFonts w:ascii="Times New Roman" w:hAnsi="Times New Roman" w:cs="Times New Roman"/>
                      <w:color w:val="4472C4" w:themeColor="accent1"/>
                      <w:sz w:val="26"/>
                      <w:szCs w:val="26"/>
                    </w:rPr>
                    <w:t xml:space="preserve"> </w:t>
                  </w:r>
                  <w:bookmarkEnd w:id="1"/>
                  <w:bookmarkEnd w:id="2"/>
                </w:p>
              </w:tc>
            </w:tr>
          </w:tbl>
          <w:p w14:paraId="592D661E" w14:textId="77777777" w:rsidR="009C1D60" w:rsidRPr="00B93A5C" w:rsidRDefault="009C1D60" w:rsidP="00853FA0">
            <w:pPr>
              <w:jc w:val="both"/>
              <w:rPr>
                <w:rFonts w:ascii="Times New Roman" w:hAnsi="Times New Roman" w:cs="Times New Roman"/>
                <w:sz w:val="26"/>
                <w:szCs w:val="26"/>
                <w:shd w:val="clear" w:color="auto" w:fill="FFFFFF"/>
              </w:rPr>
            </w:pPr>
            <w:r w:rsidRPr="004767B4">
              <w:rPr>
                <w:rFonts w:ascii="Times New Roman" w:hAnsi="Times New Roman" w:cs="Times New Roman"/>
                <w:sz w:val="26"/>
                <w:szCs w:val="26"/>
                <w:shd w:val="clear" w:color="auto" w:fill="FFFFFF"/>
              </w:rPr>
              <w:lastRenderedPageBreak/>
              <w:t>……………………………</w:t>
            </w:r>
          </w:p>
        </w:tc>
        <w:tc>
          <w:tcPr>
            <w:tcW w:w="5387" w:type="dxa"/>
          </w:tcPr>
          <w:p w14:paraId="3DB38229" w14:textId="77777777" w:rsidR="00F75820" w:rsidRPr="00C63FFB" w:rsidRDefault="00F75820" w:rsidP="00F75820">
            <w:pPr>
              <w:pStyle w:val="1"/>
              <w:jc w:val="both"/>
              <w:rPr>
                <w:rFonts w:ascii="Times New Roman" w:hAnsi="Times New Roman"/>
                <w:b/>
                <w:sz w:val="24"/>
                <w:szCs w:val="24"/>
                <w:lang w:val="uk-UA"/>
              </w:rPr>
            </w:pPr>
            <w:r w:rsidRPr="00C63FFB">
              <w:rPr>
                <w:rFonts w:ascii="Times New Roman" w:hAnsi="Times New Roman"/>
                <w:b/>
                <w:color w:val="333333"/>
                <w:sz w:val="26"/>
                <w:szCs w:val="26"/>
                <w:shd w:val="clear" w:color="auto" w:fill="FFFFFF"/>
                <w:lang w:val="ru-RU"/>
              </w:rPr>
              <w:lastRenderedPageBreak/>
              <w:t xml:space="preserve">ПАТ «ЗАПОРІЖЖЯОБЛЕНЕРГО» </w:t>
            </w:r>
            <w:r w:rsidRPr="00C63FFB">
              <w:rPr>
                <w:rFonts w:ascii="Times New Roman" w:hAnsi="Times New Roman"/>
                <w:b/>
                <w:sz w:val="24"/>
                <w:szCs w:val="24"/>
                <w:lang w:val="uk-UA"/>
              </w:rPr>
              <w:t>лист від 02.10.2023 № 001-003/2107</w:t>
            </w:r>
          </w:p>
          <w:p w14:paraId="2A954300" w14:textId="77777777" w:rsidR="00950059" w:rsidRPr="00C63FFB" w:rsidRDefault="00950059" w:rsidP="00950059">
            <w:pPr>
              <w:rPr>
                <w:rFonts w:ascii="Times New Roman" w:eastAsia="Times New Roman" w:hAnsi="Times New Roman" w:cs="Times New Roman"/>
                <w:b/>
                <w:sz w:val="24"/>
                <w:szCs w:val="24"/>
              </w:rPr>
            </w:pPr>
            <w:r w:rsidRPr="00C63FFB">
              <w:rPr>
                <w:rFonts w:ascii="Times New Roman" w:eastAsia="Times New Roman" w:hAnsi="Times New Roman" w:cs="Times New Roman"/>
                <w:b/>
                <w:sz w:val="24"/>
                <w:szCs w:val="24"/>
              </w:rPr>
              <w:t>ПРАТ «</w:t>
            </w:r>
            <w:proofErr w:type="spellStart"/>
            <w:r w:rsidRPr="00C63FFB">
              <w:rPr>
                <w:rFonts w:ascii="Times New Roman" w:eastAsia="Times New Roman" w:hAnsi="Times New Roman" w:cs="Times New Roman"/>
                <w:b/>
                <w:sz w:val="24"/>
                <w:szCs w:val="24"/>
              </w:rPr>
              <w:t>Львівобленерго</w:t>
            </w:r>
            <w:proofErr w:type="spellEnd"/>
            <w:r w:rsidRPr="00C63FFB">
              <w:rPr>
                <w:rFonts w:ascii="Times New Roman" w:eastAsia="Times New Roman" w:hAnsi="Times New Roman" w:cs="Times New Roman"/>
                <w:b/>
                <w:sz w:val="24"/>
                <w:szCs w:val="24"/>
              </w:rPr>
              <w:t>» лист від 03.10.2023 № 122-07-5425</w:t>
            </w:r>
          </w:p>
          <w:p w14:paraId="3B382440" w14:textId="77777777" w:rsidR="00950059" w:rsidRPr="0096708C" w:rsidRDefault="00950059" w:rsidP="00F75820">
            <w:pPr>
              <w:pStyle w:val="1"/>
              <w:jc w:val="both"/>
              <w:rPr>
                <w:rFonts w:ascii="Times New Roman" w:hAnsi="Times New Roman"/>
                <w:b/>
                <w:sz w:val="24"/>
                <w:szCs w:val="24"/>
                <w:u w:val="single"/>
                <w:lang w:val="uk-UA"/>
              </w:rPr>
            </w:pPr>
          </w:p>
          <w:p w14:paraId="73D38F80" w14:textId="77777777" w:rsidR="0096708C" w:rsidRPr="009B6375" w:rsidRDefault="0096708C" w:rsidP="0095221A">
            <w:pPr>
              <w:pStyle w:val="ad"/>
              <w:widowControl w:val="0"/>
              <w:snapToGrid w:val="0"/>
              <w:spacing w:before="0" w:beforeAutospacing="0" w:after="0" w:afterAutospacing="0"/>
              <w:jc w:val="both"/>
              <w:rPr>
                <w:b/>
                <w:sz w:val="26"/>
                <w:szCs w:val="26"/>
              </w:rPr>
            </w:pPr>
            <w:r w:rsidRPr="009B6375">
              <w:rPr>
                <w:b/>
                <w:bCs/>
                <w:sz w:val="26"/>
                <w:szCs w:val="26"/>
                <w:lang w:val="uk-UA"/>
              </w:rPr>
              <w:t xml:space="preserve">Пропонується пункт 5.12. залишити в </w:t>
            </w:r>
            <w:r w:rsidRPr="009B6375">
              <w:rPr>
                <w:b/>
                <w:bCs/>
                <w:sz w:val="26"/>
                <w:szCs w:val="26"/>
                <w:lang w:val="uk-UA"/>
              </w:rPr>
              <w:lastRenderedPageBreak/>
              <w:t>чинній редакції:</w:t>
            </w:r>
          </w:p>
          <w:p w14:paraId="1635230E" w14:textId="77777777" w:rsidR="0096708C" w:rsidRPr="009B6375" w:rsidRDefault="0096708C" w:rsidP="008357B5">
            <w:pPr>
              <w:pStyle w:val="ad"/>
              <w:widowControl w:val="0"/>
              <w:snapToGrid w:val="0"/>
              <w:spacing w:before="0" w:beforeAutospacing="0" w:after="0" w:afterAutospacing="0"/>
              <w:jc w:val="both"/>
              <w:rPr>
                <w:sz w:val="26"/>
                <w:szCs w:val="26"/>
              </w:rPr>
            </w:pPr>
            <w:r w:rsidRPr="009B6375">
              <w:rPr>
                <w:bCs/>
                <w:sz w:val="26"/>
                <w:szCs w:val="26"/>
                <w:lang w:val="uk-UA"/>
              </w:rPr>
              <w:t>«</w:t>
            </w:r>
            <w:r w:rsidR="008357B5">
              <w:rPr>
                <w:bCs/>
                <w:color w:val="000000"/>
                <w:sz w:val="26"/>
                <w:szCs w:val="26"/>
                <w:lang w:val="uk-UA"/>
              </w:rPr>
              <w:t>…………………………………</w:t>
            </w:r>
          </w:p>
          <w:p w14:paraId="0F8E85D0" w14:textId="77777777" w:rsidR="00C21CAB" w:rsidRDefault="0096708C" w:rsidP="00853FA0">
            <w:pPr>
              <w:jc w:val="both"/>
              <w:rPr>
                <w:rFonts w:ascii="Times New Roman" w:hAnsi="Times New Roman" w:cs="Times New Roman"/>
                <w:bCs/>
                <w:color w:val="000000"/>
                <w:sz w:val="26"/>
                <w:szCs w:val="26"/>
              </w:rPr>
            </w:pPr>
            <w:r w:rsidRPr="00B56267">
              <w:rPr>
                <w:rFonts w:ascii="Times New Roman" w:hAnsi="Times New Roman" w:cs="Times New Roman"/>
                <w:bCs/>
                <w:color w:val="000000"/>
                <w:sz w:val="26"/>
                <w:szCs w:val="26"/>
              </w:rPr>
              <w:t>де</w:t>
            </w:r>
            <w:r w:rsidRPr="009B6375">
              <w:rPr>
                <w:bCs/>
                <w:color w:val="000000"/>
                <w:sz w:val="26"/>
                <w:szCs w:val="26"/>
              </w:rPr>
              <w:t xml:space="preserve"> </w:t>
            </w:r>
            <w:r w:rsidRPr="009B6375">
              <w:rPr>
                <w:noProof/>
                <w:sz w:val="26"/>
                <w:szCs w:val="26"/>
              </w:rPr>
              <w:drawing>
                <wp:inline distT="0" distB="0" distL="0" distR="0" wp14:anchorId="56482274" wp14:editId="285E9010">
                  <wp:extent cx="257175" cy="219075"/>
                  <wp:effectExtent l="0" t="0" r="9525" b="9525"/>
                  <wp:docPr id="1" name="Рисунок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5">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l="-2521" t="-1891" r="-2521" b="-1891"/>
                          <a:stretch>
                            <a:fillRect/>
                          </a:stretch>
                        </pic:blipFill>
                        <pic:spPr bwMode="auto">
                          <a:xfrm>
                            <a:off x="0" y="0"/>
                            <a:ext cx="257175" cy="219075"/>
                          </a:xfrm>
                          <a:prstGeom prst="rect">
                            <a:avLst/>
                          </a:prstGeom>
                          <a:noFill/>
                          <a:ln>
                            <a:noFill/>
                          </a:ln>
                        </pic:spPr>
                      </pic:pic>
                    </a:graphicData>
                  </a:graphic>
                </wp:inline>
              </w:drawing>
            </w:r>
            <w:r w:rsidRPr="009B6375">
              <w:rPr>
                <w:bCs/>
                <w:color w:val="000000"/>
                <w:sz w:val="26"/>
                <w:szCs w:val="26"/>
              </w:rPr>
              <w:t xml:space="preserve"> </w:t>
            </w:r>
            <w:r w:rsidRPr="009B6375">
              <w:rPr>
                <w:rFonts w:ascii="Times New Roman" w:hAnsi="Times New Roman" w:cs="Times New Roman"/>
                <w:bCs/>
                <w:color w:val="000000"/>
                <w:sz w:val="26"/>
                <w:szCs w:val="26"/>
              </w:rPr>
              <w:t>- дорівнює регуляторній амортизації на активи, створені на дату переходу до стимулюючого регулювання (</w:t>
            </w:r>
            <w:proofErr w:type="spellStart"/>
            <w:r w:rsidRPr="009B6375">
              <w:rPr>
                <w:rFonts w:ascii="Times New Roman" w:hAnsi="Times New Roman" w:cs="Times New Roman"/>
                <w:bCs/>
                <w:color w:val="000000"/>
                <w:sz w:val="26"/>
                <w:szCs w:val="26"/>
              </w:rPr>
              <w:t>А</w:t>
            </w:r>
            <w:r w:rsidRPr="009B6375">
              <w:rPr>
                <w:rFonts w:ascii="Times New Roman" w:hAnsi="Times New Roman" w:cs="Times New Roman"/>
                <w:b/>
                <w:bCs/>
                <w:color w:val="000000"/>
                <w:sz w:val="26"/>
                <w:szCs w:val="26"/>
                <w:vertAlign w:val="subscript"/>
              </w:rPr>
              <w:t>о</w:t>
            </w:r>
            <w:proofErr w:type="spellEnd"/>
            <w:r w:rsidRPr="009B6375">
              <w:rPr>
                <w:rFonts w:ascii="Times New Roman" w:hAnsi="Times New Roman" w:cs="Times New Roman"/>
                <w:bCs/>
                <w:color w:val="000000"/>
                <w:sz w:val="26"/>
                <w:szCs w:val="26"/>
              </w:rPr>
              <w:t xml:space="preserve">), розрахованій згідно з Порядком визначення регуляторної бази активів. Якщо </w:t>
            </w:r>
            <w:proofErr w:type="spellStart"/>
            <w:r w:rsidRPr="009B6375">
              <w:rPr>
                <w:rFonts w:ascii="Times New Roman" w:hAnsi="Times New Roman" w:cs="Times New Roman"/>
                <w:bCs/>
                <w:color w:val="000000"/>
                <w:sz w:val="26"/>
                <w:szCs w:val="26"/>
              </w:rPr>
              <w:t>А</w:t>
            </w:r>
            <w:r w:rsidRPr="009B6375">
              <w:rPr>
                <w:rFonts w:ascii="Times New Roman" w:hAnsi="Times New Roman" w:cs="Times New Roman"/>
                <w:b/>
                <w:bCs/>
                <w:color w:val="000000"/>
                <w:sz w:val="26"/>
                <w:szCs w:val="26"/>
                <w:vertAlign w:val="subscript"/>
              </w:rPr>
              <w:t>о</w:t>
            </w:r>
            <w:proofErr w:type="spellEnd"/>
            <w:r w:rsidRPr="009B6375">
              <w:rPr>
                <w:rFonts w:ascii="Times New Roman" w:hAnsi="Times New Roman" w:cs="Times New Roman"/>
                <w:bCs/>
                <w:color w:val="000000"/>
                <w:sz w:val="26"/>
                <w:szCs w:val="26"/>
              </w:rPr>
              <w:t xml:space="preserve"> перевищує рівень амортизації, врахований в діючих тарифах на дату переходу до стимулюючого регулювання, на величину понад 50 %, то </w:t>
            </w:r>
            <w:proofErr w:type="spellStart"/>
            <w:r w:rsidRPr="009B6375">
              <w:rPr>
                <w:rFonts w:ascii="Times New Roman" w:hAnsi="Times New Roman" w:cs="Times New Roman"/>
                <w:bCs/>
                <w:color w:val="000000"/>
                <w:sz w:val="26"/>
                <w:szCs w:val="26"/>
              </w:rPr>
              <w:t>А</w:t>
            </w:r>
            <w:r w:rsidRPr="009B6375">
              <w:rPr>
                <w:rFonts w:ascii="Times New Roman" w:hAnsi="Times New Roman" w:cs="Times New Roman"/>
                <w:b/>
                <w:bCs/>
                <w:color w:val="000000"/>
                <w:sz w:val="26"/>
                <w:szCs w:val="26"/>
                <w:vertAlign w:val="superscript"/>
              </w:rPr>
              <w:t>ст</w:t>
            </w:r>
            <w:proofErr w:type="spellEnd"/>
            <w:r w:rsidRPr="009B6375">
              <w:rPr>
                <w:rFonts w:ascii="Times New Roman" w:hAnsi="Times New Roman" w:cs="Times New Roman"/>
                <w:bCs/>
                <w:color w:val="000000"/>
                <w:sz w:val="26"/>
                <w:szCs w:val="26"/>
              </w:rPr>
              <w:t>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w:t>
            </w:r>
            <w:r w:rsidRPr="009B6375">
              <w:rPr>
                <w:rFonts w:ascii="Times New Roman" w:hAnsi="Times New Roman" w:cs="Times New Roman"/>
                <w:b/>
                <w:bCs/>
                <w:color w:val="000000"/>
                <w:sz w:val="26"/>
                <w:szCs w:val="26"/>
              </w:rPr>
              <w:t>А</w:t>
            </w:r>
            <w:r w:rsidRPr="009B6375">
              <w:rPr>
                <w:rFonts w:ascii="Times New Roman" w:hAnsi="Times New Roman" w:cs="Times New Roman"/>
                <w:b/>
                <w:bCs/>
                <w:color w:val="000000"/>
                <w:sz w:val="26"/>
                <w:szCs w:val="26"/>
                <w:vertAlign w:val="superscript"/>
              </w:rPr>
              <w:t>ст</w:t>
            </w:r>
            <w:r w:rsidRPr="009B6375">
              <w:rPr>
                <w:rFonts w:ascii="Times New Roman" w:hAnsi="Times New Roman" w:cs="Times New Roman"/>
                <w:b/>
                <w:bCs/>
                <w:color w:val="000000"/>
                <w:sz w:val="26"/>
                <w:szCs w:val="26"/>
                <w:vertAlign w:val="subscript"/>
              </w:rPr>
              <w:t>t-1</w:t>
            </w:r>
            <w:r w:rsidRPr="009B6375">
              <w:rPr>
                <w:rFonts w:ascii="Times New Roman" w:hAnsi="Times New Roman" w:cs="Times New Roman"/>
                <w:bCs/>
                <w:color w:val="000000"/>
                <w:sz w:val="26"/>
                <w:szCs w:val="26"/>
              </w:rPr>
              <w:t xml:space="preserve">, врахованого в тарифах попереднього року) до досягнення рівня </w:t>
            </w:r>
            <w:proofErr w:type="spellStart"/>
            <w:r w:rsidRPr="009B6375">
              <w:rPr>
                <w:rFonts w:ascii="Times New Roman" w:hAnsi="Times New Roman" w:cs="Times New Roman"/>
                <w:bCs/>
                <w:color w:val="000000"/>
                <w:sz w:val="26"/>
                <w:szCs w:val="26"/>
              </w:rPr>
              <w:t>А</w:t>
            </w:r>
            <w:r w:rsidRPr="009B6375">
              <w:rPr>
                <w:rFonts w:ascii="Times New Roman" w:hAnsi="Times New Roman" w:cs="Times New Roman"/>
                <w:b/>
                <w:bCs/>
                <w:color w:val="000000"/>
                <w:sz w:val="26"/>
                <w:szCs w:val="26"/>
                <w:vertAlign w:val="subscript"/>
              </w:rPr>
              <w:t>о</w:t>
            </w:r>
            <w:proofErr w:type="spellEnd"/>
            <w:r w:rsidRPr="009B6375">
              <w:rPr>
                <w:rFonts w:ascii="Times New Roman" w:hAnsi="Times New Roman" w:cs="Times New Roman"/>
                <w:bCs/>
                <w:color w:val="000000"/>
                <w:sz w:val="26"/>
                <w:szCs w:val="26"/>
              </w:rPr>
              <w:t> (на 2023 рік амортизація на активи, створені на дату переходу до стимулюючого регулювання (</w:t>
            </w:r>
            <w:proofErr w:type="spellStart"/>
            <w:r w:rsidRPr="009B6375">
              <w:rPr>
                <w:rFonts w:ascii="Times New Roman" w:hAnsi="Times New Roman" w:cs="Times New Roman"/>
                <w:b/>
                <w:bCs/>
                <w:color w:val="000000"/>
                <w:sz w:val="26"/>
                <w:szCs w:val="26"/>
              </w:rPr>
              <w:t>А</w:t>
            </w:r>
            <w:r w:rsidRPr="009B6375">
              <w:rPr>
                <w:rFonts w:ascii="Times New Roman" w:hAnsi="Times New Roman" w:cs="Times New Roman"/>
                <w:b/>
                <w:bCs/>
                <w:color w:val="000000"/>
                <w:sz w:val="26"/>
                <w:szCs w:val="26"/>
                <w:vertAlign w:val="subscript"/>
              </w:rPr>
              <w:t>t</w:t>
            </w:r>
            <w:r w:rsidRPr="009B6375">
              <w:rPr>
                <w:rFonts w:ascii="Times New Roman" w:hAnsi="Times New Roman" w:cs="Times New Roman"/>
                <w:b/>
                <w:bCs/>
                <w:color w:val="000000"/>
                <w:sz w:val="26"/>
                <w:szCs w:val="26"/>
                <w:vertAlign w:val="superscript"/>
              </w:rPr>
              <w:t>ст</w:t>
            </w:r>
            <w:proofErr w:type="spellEnd"/>
            <w:r w:rsidRPr="009B6375">
              <w:rPr>
                <w:rFonts w:ascii="Times New Roman" w:hAnsi="Times New Roman" w:cs="Times New Roman"/>
                <w:bCs/>
                <w:color w:val="000000"/>
                <w:sz w:val="26"/>
                <w:szCs w:val="26"/>
              </w:rPr>
              <w:t>) не перевищує </w:t>
            </w:r>
            <w:r w:rsidRPr="009B6375">
              <w:rPr>
                <w:rFonts w:ascii="Times New Roman" w:hAnsi="Times New Roman" w:cs="Times New Roman"/>
                <w:b/>
                <w:bCs/>
                <w:color w:val="000000"/>
                <w:sz w:val="26"/>
                <w:szCs w:val="26"/>
              </w:rPr>
              <w:t>А</w:t>
            </w:r>
            <w:r w:rsidRPr="009B6375">
              <w:rPr>
                <w:rFonts w:ascii="Times New Roman" w:hAnsi="Times New Roman" w:cs="Times New Roman"/>
                <w:b/>
                <w:bCs/>
                <w:color w:val="000000"/>
                <w:sz w:val="26"/>
                <w:szCs w:val="26"/>
                <w:vertAlign w:val="superscript"/>
              </w:rPr>
              <w:t>ст</w:t>
            </w:r>
            <w:r w:rsidRPr="009B6375">
              <w:rPr>
                <w:rFonts w:ascii="Times New Roman" w:hAnsi="Times New Roman" w:cs="Times New Roman"/>
                <w:b/>
                <w:bCs/>
                <w:color w:val="000000"/>
                <w:sz w:val="26"/>
                <w:szCs w:val="26"/>
                <w:vertAlign w:val="subscript"/>
              </w:rPr>
              <w:t>t-1</w:t>
            </w:r>
            <w:r w:rsidRPr="009B6375">
              <w:rPr>
                <w:rFonts w:ascii="Times New Roman" w:hAnsi="Times New Roman" w:cs="Times New Roman"/>
                <w:bCs/>
                <w:color w:val="000000"/>
                <w:sz w:val="26"/>
                <w:szCs w:val="26"/>
              </w:rPr>
              <w:t>, враховану в тарифах 2022 року);»</w:t>
            </w:r>
          </w:p>
          <w:p w14:paraId="69B0391A" w14:textId="77777777" w:rsidR="007F26C5" w:rsidRPr="007F26C5" w:rsidRDefault="007F26C5" w:rsidP="007F26C5">
            <w:pPr>
              <w:pStyle w:val="1"/>
              <w:jc w:val="both"/>
              <w:rPr>
                <w:rFonts w:ascii="Times New Roman" w:hAnsi="Times New Roman"/>
                <w:i/>
                <w:sz w:val="24"/>
                <w:szCs w:val="24"/>
                <w:lang w:val="uk-UA"/>
              </w:rPr>
            </w:pPr>
            <w:r w:rsidRPr="007F26C5">
              <w:rPr>
                <w:rFonts w:ascii="Times New Roman" w:hAnsi="Times New Roman"/>
                <w:i/>
                <w:sz w:val="24"/>
                <w:szCs w:val="24"/>
                <w:lang w:val="uk-UA"/>
              </w:rPr>
              <w:t>Обґрунтування</w:t>
            </w:r>
          </w:p>
          <w:p w14:paraId="288B91A8" w14:textId="77777777" w:rsidR="00061ACA" w:rsidRPr="001C4C0B" w:rsidRDefault="00061ACA" w:rsidP="00061ACA">
            <w:pPr>
              <w:jc w:val="both"/>
              <w:rPr>
                <w:rFonts w:ascii="Times New Roman" w:hAnsi="Times New Roman" w:cs="Times New Roman"/>
                <w:bCs/>
                <w:color w:val="000000"/>
                <w:sz w:val="26"/>
                <w:szCs w:val="26"/>
              </w:rPr>
            </w:pPr>
            <w:r w:rsidRPr="007F26C5">
              <w:rPr>
                <w:rFonts w:ascii="Times New Roman" w:hAnsi="Times New Roman" w:cs="Times New Roman"/>
                <w:i/>
                <w:sz w:val="24"/>
                <w:szCs w:val="24"/>
              </w:rPr>
              <w:t>Для забезпечення стабільного фінансового стану операторів систем розподілу електричної енергії на період дії в Україні воєнного стану, уникнення дефіциту обігових коштів для забезпечення повноцінних розрахунків на ринку електричної енергії та виконання інших договірних зобов’язань. Крім того а</w:t>
            </w:r>
            <w:r w:rsidRPr="007F26C5">
              <w:rPr>
                <w:rFonts w:ascii="Times New Roman" w:hAnsi="Times New Roman" w:cs="Times New Roman"/>
                <w:bCs/>
                <w:i/>
                <w:color w:val="000000"/>
                <w:sz w:val="24"/>
                <w:szCs w:val="24"/>
              </w:rPr>
              <w:t>мортизація від РБА</w:t>
            </w:r>
            <w:r w:rsidR="00B56267">
              <w:rPr>
                <w:rFonts w:ascii="Times New Roman" w:hAnsi="Times New Roman" w:cs="Times New Roman"/>
                <w:bCs/>
                <w:i/>
                <w:color w:val="000000"/>
                <w:sz w:val="24"/>
                <w:szCs w:val="24"/>
              </w:rPr>
              <w:t>,</w:t>
            </w:r>
            <w:r w:rsidRPr="007F26C5">
              <w:rPr>
                <w:rFonts w:ascii="Times New Roman" w:hAnsi="Times New Roman" w:cs="Times New Roman"/>
                <w:bCs/>
                <w:i/>
                <w:color w:val="000000"/>
                <w:sz w:val="24"/>
                <w:szCs w:val="24"/>
              </w:rPr>
              <w:t xml:space="preserve"> створеної на момент переходу до стимулюючого регулювання</w:t>
            </w:r>
            <w:r w:rsidR="00B56267">
              <w:rPr>
                <w:rFonts w:ascii="Times New Roman" w:hAnsi="Times New Roman" w:cs="Times New Roman"/>
                <w:bCs/>
                <w:i/>
                <w:color w:val="000000"/>
                <w:sz w:val="24"/>
                <w:szCs w:val="24"/>
              </w:rPr>
              <w:t>,</w:t>
            </w:r>
            <w:r w:rsidRPr="007F26C5">
              <w:rPr>
                <w:rFonts w:ascii="Times New Roman" w:hAnsi="Times New Roman" w:cs="Times New Roman"/>
                <w:bCs/>
                <w:i/>
                <w:color w:val="000000"/>
                <w:sz w:val="24"/>
                <w:szCs w:val="24"/>
              </w:rPr>
              <w:t xml:space="preserve"> є  основним джерелом фінансування інвестиційної програми. Також необхідно збільшувати обсяги інвестиційних програм у зв’язку із потребою підвищення рівня надійності </w:t>
            </w:r>
            <w:r w:rsidRPr="007F26C5">
              <w:rPr>
                <w:rFonts w:ascii="Times New Roman" w:hAnsi="Times New Roman" w:cs="Times New Roman"/>
                <w:bCs/>
                <w:i/>
                <w:color w:val="000000"/>
                <w:sz w:val="24"/>
                <w:szCs w:val="24"/>
              </w:rPr>
              <w:lastRenderedPageBreak/>
              <w:t xml:space="preserve">(в </w:t>
            </w:r>
            <w:proofErr w:type="spellStart"/>
            <w:r w:rsidRPr="007F26C5">
              <w:rPr>
                <w:rFonts w:ascii="Times New Roman" w:hAnsi="Times New Roman" w:cs="Times New Roman"/>
                <w:bCs/>
                <w:i/>
                <w:color w:val="000000"/>
                <w:sz w:val="24"/>
                <w:szCs w:val="24"/>
              </w:rPr>
              <w:t>т.ч</w:t>
            </w:r>
            <w:proofErr w:type="spellEnd"/>
            <w:r w:rsidRPr="007F26C5">
              <w:rPr>
                <w:rFonts w:ascii="Times New Roman" w:hAnsi="Times New Roman" w:cs="Times New Roman"/>
                <w:bCs/>
                <w:i/>
                <w:color w:val="000000"/>
                <w:sz w:val="24"/>
                <w:szCs w:val="24"/>
              </w:rPr>
              <w:t>. відновлення електричних мереж), оновлення електричного обладнання (у зв’язку із вимушеним використанням під час здійснень аварійних відключень) та ростом вартості обладнання, матеріалів  послуг.</w:t>
            </w:r>
          </w:p>
        </w:tc>
        <w:tc>
          <w:tcPr>
            <w:tcW w:w="4394" w:type="dxa"/>
          </w:tcPr>
          <w:p w14:paraId="0D5FB380" w14:textId="77777777" w:rsidR="002C29C2" w:rsidRPr="002C29C2" w:rsidRDefault="002C29C2" w:rsidP="008357B5">
            <w:pPr>
              <w:widowControl w:val="0"/>
              <w:suppressAutoHyphens/>
              <w:spacing w:after="160" w:line="259" w:lineRule="auto"/>
              <w:ind w:hanging="49"/>
              <w:contextualSpacing/>
              <w:jc w:val="both"/>
              <w:rPr>
                <w:rFonts w:ascii="Times New Roman" w:hAnsi="Times New Roman" w:cs="Times New Roman"/>
                <w:b/>
                <w:bCs/>
                <w:sz w:val="24"/>
                <w:szCs w:val="24"/>
              </w:rPr>
            </w:pPr>
            <w:r w:rsidRPr="002C29C2">
              <w:rPr>
                <w:rFonts w:ascii="Times New Roman" w:hAnsi="Times New Roman" w:cs="Times New Roman"/>
                <w:b/>
                <w:bCs/>
                <w:sz w:val="24"/>
                <w:szCs w:val="24"/>
              </w:rPr>
              <w:lastRenderedPageBreak/>
              <w:t>Не враховується</w:t>
            </w:r>
          </w:p>
          <w:p w14:paraId="2B75E455" w14:textId="77777777" w:rsidR="002C29C2" w:rsidRPr="002C29C2" w:rsidRDefault="002C29C2" w:rsidP="008357B5">
            <w:pPr>
              <w:widowControl w:val="0"/>
              <w:suppressAutoHyphens/>
              <w:spacing w:after="160" w:line="259" w:lineRule="auto"/>
              <w:ind w:hanging="49"/>
              <w:contextualSpacing/>
              <w:jc w:val="both"/>
              <w:rPr>
                <w:rFonts w:ascii="Times New Roman" w:hAnsi="Times New Roman" w:cs="Times New Roman"/>
                <w:sz w:val="24"/>
                <w:szCs w:val="24"/>
              </w:rPr>
            </w:pPr>
            <w:r w:rsidRPr="002C29C2">
              <w:rPr>
                <w:rFonts w:ascii="Times New Roman" w:hAnsi="Times New Roman" w:cs="Times New Roman"/>
                <w:b/>
                <w:bCs/>
                <w:sz w:val="24"/>
                <w:szCs w:val="24"/>
              </w:rPr>
              <w:t>Недостатньо обґрунтована пропозиція</w:t>
            </w:r>
            <w:r w:rsidRPr="002C29C2">
              <w:rPr>
                <w:rFonts w:ascii="Times New Roman" w:hAnsi="Times New Roman" w:cs="Times New Roman"/>
                <w:sz w:val="24"/>
                <w:szCs w:val="24"/>
              </w:rPr>
              <w:t>.</w:t>
            </w:r>
          </w:p>
          <w:p w14:paraId="64C55882" w14:textId="77777777" w:rsidR="002C29C2" w:rsidRPr="002C29C2" w:rsidRDefault="002C29C2" w:rsidP="008357B5">
            <w:pPr>
              <w:widowControl w:val="0"/>
              <w:suppressAutoHyphens/>
              <w:ind w:hanging="49"/>
              <w:contextualSpacing/>
              <w:jc w:val="both"/>
              <w:rPr>
                <w:rFonts w:ascii="Times New Roman" w:hAnsi="Times New Roman" w:cs="Times New Roman"/>
                <w:sz w:val="24"/>
                <w:szCs w:val="24"/>
              </w:rPr>
            </w:pPr>
            <w:r w:rsidRPr="002C29C2">
              <w:rPr>
                <w:rFonts w:ascii="Times New Roman" w:hAnsi="Times New Roman" w:cs="Times New Roman"/>
                <w:sz w:val="24"/>
                <w:szCs w:val="24"/>
              </w:rPr>
              <w:t xml:space="preserve">На сьогодні врахування збільшеної амортизації на активи які створені до переходу на стимулююче регулювання (тобто активи створені за рахунок </w:t>
            </w:r>
            <w:r w:rsidRPr="002C29C2">
              <w:rPr>
                <w:rFonts w:ascii="Times New Roman" w:hAnsi="Times New Roman" w:cs="Times New Roman"/>
                <w:sz w:val="24"/>
                <w:szCs w:val="24"/>
              </w:rPr>
              <w:lastRenderedPageBreak/>
              <w:t>тарифних коштів – коштів споживачів) є не доречним, з урахуванням того, що Компанії не залуча</w:t>
            </w:r>
            <w:r w:rsidR="006D5B88">
              <w:rPr>
                <w:rFonts w:ascii="Times New Roman" w:hAnsi="Times New Roman" w:cs="Times New Roman"/>
                <w:sz w:val="24"/>
                <w:szCs w:val="24"/>
              </w:rPr>
              <w:t>ю</w:t>
            </w:r>
            <w:r w:rsidRPr="002C29C2">
              <w:rPr>
                <w:rFonts w:ascii="Times New Roman" w:hAnsi="Times New Roman" w:cs="Times New Roman"/>
                <w:sz w:val="24"/>
                <w:szCs w:val="24"/>
              </w:rPr>
              <w:t>ть кошти для капіталовкладень у період воєнного стану.</w:t>
            </w:r>
          </w:p>
          <w:p w14:paraId="01E165F2" w14:textId="77777777" w:rsidR="009C1D60" w:rsidRDefault="00B56267" w:rsidP="00B56267">
            <w:pPr>
              <w:widowControl w:val="0"/>
              <w:suppressAutoHyphens/>
              <w:ind w:firstLine="33"/>
              <w:contextualSpacing/>
              <w:jc w:val="both"/>
              <w:rPr>
                <w:rFonts w:ascii="Times New Roman" w:hAnsi="Times New Roman" w:cs="Times New Roman"/>
                <w:b/>
                <w:color w:val="333333"/>
                <w:sz w:val="26"/>
                <w:szCs w:val="26"/>
                <w:shd w:val="clear" w:color="auto" w:fill="FFFFFF"/>
              </w:rPr>
            </w:pPr>
            <w:r w:rsidRPr="006D5B88">
              <w:rPr>
                <w:rFonts w:ascii="Times New Roman" w:eastAsia="SimSun" w:hAnsi="Times New Roman" w:cs="Times New Roman"/>
                <w:sz w:val="24"/>
                <w:szCs w:val="24"/>
                <w:lang w:bidi="ta-IN"/>
              </w:rPr>
              <w:t xml:space="preserve">Запропонована пропозиція має розглядатися </w:t>
            </w:r>
            <w:r w:rsidRPr="006D5B88">
              <w:rPr>
                <w:rFonts w:ascii="Times New Roman" w:hAnsi="Times New Roman" w:cs="Times New Roman"/>
                <w:sz w:val="24"/>
                <w:szCs w:val="24"/>
              </w:rPr>
              <w:t xml:space="preserve"> з урахуванням балансу інтересів учасників ринку та споживачів, особливо в умовах воєнного часу.</w:t>
            </w:r>
          </w:p>
          <w:p w14:paraId="3F10ABE9"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7D9FEFEC"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7BC41F40"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2DEFD775"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65296B0F"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00FD0A33"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067D01A6"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04B4FCD9"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2E54D101"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06E2E876" w14:textId="77777777" w:rsidR="002C29C2" w:rsidRDefault="002C29C2" w:rsidP="002C29C2">
            <w:pPr>
              <w:widowControl w:val="0"/>
              <w:suppressAutoHyphens/>
              <w:ind w:firstLine="313"/>
              <w:contextualSpacing/>
              <w:jc w:val="both"/>
              <w:rPr>
                <w:rFonts w:ascii="Times New Roman" w:hAnsi="Times New Roman" w:cs="Times New Roman"/>
                <w:b/>
                <w:color w:val="333333"/>
                <w:sz w:val="26"/>
                <w:szCs w:val="26"/>
                <w:shd w:val="clear" w:color="auto" w:fill="FFFFFF"/>
              </w:rPr>
            </w:pPr>
          </w:p>
          <w:p w14:paraId="49FCB7C1" w14:textId="77777777" w:rsidR="0042668B" w:rsidRDefault="0042668B" w:rsidP="002C29C2">
            <w:pPr>
              <w:ind w:firstLine="465"/>
              <w:jc w:val="both"/>
              <w:rPr>
                <w:rFonts w:ascii="Times New Roman" w:hAnsi="Times New Roman" w:cs="Times New Roman"/>
                <w:b/>
                <w:bCs/>
                <w:sz w:val="24"/>
                <w:szCs w:val="24"/>
              </w:rPr>
            </w:pPr>
          </w:p>
          <w:p w14:paraId="7F224C7D" w14:textId="77777777" w:rsidR="0042668B" w:rsidRDefault="0042668B" w:rsidP="00853FA0">
            <w:pPr>
              <w:jc w:val="both"/>
              <w:rPr>
                <w:rFonts w:ascii="Times New Roman" w:hAnsi="Times New Roman" w:cs="Times New Roman"/>
                <w:b/>
                <w:bCs/>
                <w:sz w:val="24"/>
                <w:szCs w:val="24"/>
              </w:rPr>
            </w:pPr>
          </w:p>
          <w:p w14:paraId="61DD4E65" w14:textId="77777777" w:rsidR="0042668B" w:rsidRDefault="0042668B" w:rsidP="002C29C2">
            <w:pPr>
              <w:ind w:firstLine="465"/>
              <w:jc w:val="both"/>
              <w:rPr>
                <w:rFonts w:ascii="Times New Roman" w:hAnsi="Times New Roman" w:cs="Times New Roman"/>
                <w:b/>
                <w:bCs/>
                <w:sz w:val="24"/>
                <w:szCs w:val="24"/>
              </w:rPr>
            </w:pPr>
          </w:p>
          <w:p w14:paraId="0215639E" w14:textId="77777777" w:rsidR="00C21CAB" w:rsidRPr="006546AE" w:rsidRDefault="00C21CAB" w:rsidP="00853FA0">
            <w:pPr>
              <w:ind w:firstLine="465"/>
              <w:jc w:val="both"/>
              <w:rPr>
                <w:rFonts w:ascii="Times New Roman" w:hAnsi="Times New Roman" w:cs="Times New Roman"/>
                <w:b/>
                <w:color w:val="333333"/>
                <w:sz w:val="26"/>
                <w:szCs w:val="26"/>
                <w:shd w:val="clear" w:color="auto" w:fill="FFFFFF"/>
              </w:rPr>
            </w:pPr>
          </w:p>
        </w:tc>
      </w:tr>
      <w:tr w:rsidR="00853FA0" w:rsidRPr="003D580E" w14:paraId="2971B10B" w14:textId="77777777" w:rsidTr="00853FA0">
        <w:tc>
          <w:tcPr>
            <w:tcW w:w="5387" w:type="dxa"/>
          </w:tcPr>
          <w:p w14:paraId="28AF10BB" w14:textId="77777777" w:rsidR="00853FA0" w:rsidRPr="006546AE" w:rsidRDefault="00853FA0" w:rsidP="00853FA0">
            <w:pPr>
              <w:ind w:firstLine="28"/>
              <w:contextualSpacing/>
              <w:jc w:val="both"/>
              <w:rPr>
                <w:rFonts w:ascii="Times New Roman" w:hAnsi="Times New Roman" w:cs="Times New Roman"/>
                <w:b/>
                <w:sz w:val="26"/>
                <w:szCs w:val="26"/>
                <w:lang w:eastAsia="ru-RU"/>
              </w:rPr>
            </w:pPr>
            <w:r w:rsidRPr="006546AE">
              <w:rPr>
                <w:rFonts w:ascii="Times New Roman" w:hAnsi="Times New Roman" w:cs="Times New Roman"/>
                <w:b/>
                <w:sz w:val="26"/>
                <w:szCs w:val="26"/>
                <w:lang w:eastAsia="ru-RU"/>
              </w:rPr>
              <w:lastRenderedPageBreak/>
              <w:t xml:space="preserve">пункт 5.19. </w:t>
            </w:r>
          </w:p>
          <w:p w14:paraId="5F219D7B" w14:textId="77777777" w:rsidR="00B93A5C" w:rsidRDefault="00B93A5C" w:rsidP="00853FA0">
            <w:pPr>
              <w:pStyle w:val="a4"/>
              <w:ind w:left="29"/>
              <w:jc w:val="both"/>
              <w:rPr>
                <w:rFonts w:ascii="Times New Roman" w:hAnsi="Times New Roman" w:cs="Times New Roman"/>
                <w:sz w:val="26"/>
                <w:szCs w:val="26"/>
              </w:rPr>
            </w:pPr>
            <w:r>
              <w:rPr>
                <w:rFonts w:ascii="Times New Roman" w:hAnsi="Times New Roman" w:cs="Times New Roman"/>
                <w:sz w:val="26"/>
                <w:szCs w:val="26"/>
              </w:rPr>
              <w:t>…………………………………….</w:t>
            </w:r>
          </w:p>
          <w:p w14:paraId="27A3542F" w14:textId="77777777" w:rsidR="00853FA0" w:rsidRDefault="00853FA0" w:rsidP="00853FA0">
            <w:pPr>
              <w:pStyle w:val="a4"/>
              <w:ind w:left="29"/>
              <w:jc w:val="both"/>
              <w:rPr>
                <w:rFonts w:ascii="Times New Roman" w:hAnsi="Times New Roman" w:cs="Times New Roman"/>
                <w:sz w:val="26"/>
                <w:szCs w:val="26"/>
              </w:rPr>
            </w:pPr>
            <w:r w:rsidRPr="00E73BB5">
              <w:rPr>
                <w:rFonts w:ascii="Times New Roman" w:hAnsi="Times New Roman" w:cs="Times New Roman"/>
                <w:sz w:val="26"/>
                <w:szCs w:val="26"/>
              </w:rPr>
              <w:t xml:space="preserve">На 2022 рік для ліцензіатів, які перейшли на стимулююче регулювання з 2021 року </w:t>
            </w:r>
            <w:proofErr w:type="spellStart"/>
            <w:r w:rsidRPr="00E73BB5">
              <w:rPr>
                <w:rFonts w:ascii="Times New Roman" w:hAnsi="Times New Roman" w:cs="Times New Roman"/>
                <w:sz w:val="26"/>
                <w:szCs w:val="26"/>
              </w:rPr>
              <w:t>SAIDIм</w:t>
            </w:r>
            <w:proofErr w:type="spellEnd"/>
            <w:r w:rsidRPr="00E73BB5">
              <w:rPr>
                <w:rFonts w:ascii="Times New Roman" w:hAnsi="Times New Roman" w:cs="Times New Roman"/>
                <w:sz w:val="26"/>
                <w:szCs w:val="26"/>
              </w:rPr>
              <w:t>(с)рt-2 залишаються на рівні 2021 року, а для ліцензіатів, які перейшли на стимулююче регулювання з 2022 року, - на базовому рівні</w:t>
            </w:r>
          </w:p>
          <w:p w14:paraId="3FE15ECC" w14:textId="77777777" w:rsidR="00853FA0" w:rsidRDefault="00853FA0" w:rsidP="00853FA0">
            <w:pPr>
              <w:pStyle w:val="a4"/>
              <w:ind w:left="29"/>
              <w:jc w:val="both"/>
              <w:rPr>
                <w:rFonts w:ascii="Times New Roman" w:hAnsi="Times New Roman" w:cs="Times New Roman"/>
                <w:i/>
                <w:sz w:val="26"/>
                <w:szCs w:val="26"/>
                <w:lang w:eastAsia="ru-RU"/>
              </w:rPr>
            </w:pPr>
            <w:r>
              <w:rPr>
                <w:rFonts w:ascii="Times New Roman" w:hAnsi="Times New Roman" w:cs="Times New Roman"/>
                <w:sz w:val="26"/>
                <w:szCs w:val="26"/>
              </w:rPr>
              <w:t>…</w:t>
            </w:r>
          </w:p>
          <w:p w14:paraId="43FE9C24" w14:textId="77777777" w:rsidR="00853FA0" w:rsidRDefault="00853FA0" w:rsidP="00853FA0">
            <w:pPr>
              <w:ind w:firstLine="567"/>
              <w:contextualSpacing/>
              <w:jc w:val="both"/>
              <w:rPr>
                <w:rFonts w:ascii="Times New Roman" w:hAnsi="Times New Roman" w:cs="Times New Roman"/>
                <w:sz w:val="28"/>
                <w:szCs w:val="28"/>
                <w:lang w:eastAsia="ru-RU"/>
              </w:rPr>
            </w:pPr>
            <w:r w:rsidRPr="005A7CED">
              <w:rPr>
                <w:rFonts w:ascii="Times New Roman" w:hAnsi="Times New Roman" w:cs="Times New Roman"/>
                <w:i/>
                <w:sz w:val="26"/>
                <w:szCs w:val="26"/>
                <w:lang w:eastAsia="ru-RU"/>
              </w:rPr>
              <w:t>N</w:t>
            </w:r>
            <w:r w:rsidRPr="005A7CED">
              <w:rPr>
                <w:rFonts w:ascii="Times New Roman" w:hAnsi="Times New Roman" w:cs="Times New Roman"/>
                <w:sz w:val="26"/>
                <w:szCs w:val="26"/>
                <w:lang w:eastAsia="ru-RU"/>
              </w:rPr>
              <w:t xml:space="preserve"> – порядковий номер року t з початку переходу до стимулюючого регулювання</w:t>
            </w:r>
            <w:r>
              <w:rPr>
                <w:rFonts w:ascii="Times New Roman" w:hAnsi="Times New Roman" w:cs="Times New Roman"/>
                <w:sz w:val="26"/>
                <w:szCs w:val="26"/>
                <w:lang w:eastAsia="ru-RU"/>
              </w:rPr>
              <w:t xml:space="preserve"> </w:t>
            </w:r>
            <w:r w:rsidRPr="00224497">
              <w:rPr>
                <w:rFonts w:ascii="Times New Roman" w:hAnsi="Times New Roman" w:cs="Times New Roman"/>
                <w:b/>
                <w:sz w:val="26"/>
                <w:szCs w:val="26"/>
                <w:lang w:eastAsia="ru-RU"/>
              </w:rPr>
              <w:t>(з 2023 року при визначенні порядкового номеру року t з початку переходу до стимулюючого регулювання  2022 рік не враховується)</w:t>
            </w:r>
            <w:r w:rsidRPr="00224497">
              <w:rPr>
                <w:rFonts w:ascii="Times New Roman" w:hAnsi="Times New Roman" w:cs="Times New Roman"/>
                <w:sz w:val="26"/>
                <w:szCs w:val="26"/>
                <w:lang w:eastAsia="ru-RU"/>
              </w:rPr>
              <w:t>;</w:t>
            </w:r>
          </w:p>
          <w:p w14:paraId="19B8D75D" w14:textId="77777777" w:rsidR="00853FA0" w:rsidRPr="00277F30" w:rsidRDefault="00853FA0" w:rsidP="00853FA0">
            <w:pPr>
              <w:ind w:firstLine="567"/>
              <w:contextualSpacing/>
              <w:jc w:val="both"/>
              <w:rPr>
                <w:rFonts w:ascii="Times New Roman" w:hAnsi="Times New Roman" w:cs="Times New Roman"/>
                <w:b/>
                <w:bCs/>
                <w:sz w:val="26"/>
                <w:szCs w:val="26"/>
                <w:lang w:eastAsia="ru-RU"/>
              </w:rPr>
            </w:pPr>
            <w:r w:rsidRPr="005A7CED">
              <w:rPr>
                <w:rFonts w:ascii="Times New Roman" w:hAnsi="Times New Roman" w:cs="Times New Roman"/>
                <w:i/>
                <w:sz w:val="26"/>
                <w:szCs w:val="26"/>
                <w:lang w:eastAsia="ru-RU"/>
              </w:rPr>
              <w:t>NN</w:t>
            </w:r>
            <w:r w:rsidRPr="005A7CED">
              <w:rPr>
                <w:rFonts w:ascii="Times New Roman" w:hAnsi="Times New Roman" w:cs="Times New Roman"/>
                <w:sz w:val="26"/>
                <w:szCs w:val="26"/>
                <w:lang w:eastAsia="ru-RU"/>
              </w:rPr>
              <w:t xml:space="preserve"> – номер року з початку переходу до стимулюючого регулювання, у якому має бути досягнутий встановлений НКРЕКП цільовий показник якості послуг </w:t>
            </w:r>
            <w:r w:rsidRPr="00224497">
              <w:rPr>
                <w:rFonts w:ascii="Times New Roman" w:hAnsi="Times New Roman" w:cs="Times New Roman"/>
                <w:strike/>
                <w:sz w:val="26"/>
                <w:szCs w:val="26"/>
                <w:lang w:eastAsia="ru-RU"/>
              </w:rPr>
              <w:t>(</w:t>
            </w:r>
            <w:r w:rsidRPr="00224497">
              <w:rPr>
                <w:rFonts w:ascii="Times New Roman" w:hAnsi="Times New Roman" w:cs="Times New Roman"/>
                <w:b/>
                <w:bCs/>
                <w:strike/>
                <w:sz w:val="26"/>
                <w:szCs w:val="26"/>
                <w:lang w:eastAsia="ru-RU"/>
              </w:rPr>
              <w:t>з 2023 року при визначенні порядкового номеру року t з початку переходу до стимулюючого регулювання 2022 рік не враховується);</w:t>
            </w:r>
          </w:p>
          <w:p w14:paraId="632ACCCC" w14:textId="77777777" w:rsidR="00853FA0" w:rsidRPr="005A7CED" w:rsidRDefault="00853FA0" w:rsidP="00853FA0">
            <w:pPr>
              <w:ind w:firstLine="567"/>
              <w:contextualSpacing/>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p w14:paraId="7BFF88EB" w14:textId="77777777" w:rsidR="00853FA0" w:rsidRPr="00224497" w:rsidRDefault="00853FA0" w:rsidP="00853FA0">
            <w:pPr>
              <w:pStyle w:val="a4"/>
              <w:ind w:left="29"/>
              <w:jc w:val="both"/>
              <w:rPr>
                <w:rFonts w:ascii="Times New Roman" w:hAnsi="Times New Roman" w:cs="Times New Roman"/>
                <w:b/>
                <w:bCs/>
                <w:i/>
                <w:sz w:val="26"/>
                <w:szCs w:val="26"/>
              </w:rPr>
            </w:pPr>
            <w:r w:rsidRPr="005A7CED">
              <w:rPr>
                <w:rFonts w:ascii="Times New Roman" w:hAnsi="Times New Roman" w:cs="Times New Roman"/>
                <w:sz w:val="26"/>
                <w:szCs w:val="26"/>
                <w:lang w:eastAsia="ru-RU"/>
              </w:rPr>
              <w:t xml:space="preserve">Коригування необхідного доходу відповідно до даних виконання цільового завдання щодо досягнення показників якості послуг за 2022 </w:t>
            </w:r>
            <w:r w:rsidRPr="00224497">
              <w:rPr>
                <w:rFonts w:ascii="Times New Roman" w:hAnsi="Times New Roman" w:cs="Times New Roman"/>
                <w:b/>
                <w:sz w:val="26"/>
                <w:szCs w:val="26"/>
                <w:shd w:val="clear" w:color="auto" w:fill="FFFFFF"/>
              </w:rPr>
              <w:t xml:space="preserve">та 2023 </w:t>
            </w:r>
            <w:r w:rsidRPr="00224497">
              <w:rPr>
                <w:rFonts w:ascii="Times New Roman" w:hAnsi="Times New Roman" w:cs="Times New Roman"/>
                <w:b/>
                <w:bCs/>
                <w:sz w:val="26"/>
                <w:szCs w:val="26"/>
                <w:lang w:eastAsia="ru-RU"/>
              </w:rPr>
              <w:t>роки</w:t>
            </w:r>
            <w:r w:rsidRPr="00224497">
              <w:rPr>
                <w:rFonts w:ascii="Times New Roman" w:hAnsi="Times New Roman" w:cs="Times New Roman"/>
                <w:sz w:val="26"/>
                <w:szCs w:val="26"/>
                <w:lang w:eastAsia="ru-RU"/>
              </w:rPr>
              <w:t xml:space="preserve"> </w:t>
            </w:r>
            <w:r w:rsidRPr="005A7CED">
              <w:rPr>
                <w:rFonts w:ascii="Times New Roman" w:hAnsi="Times New Roman" w:cs="Times New Roman"/>
                <w:sz w:val="26"/>
                <w:szCs w:val="26"/>
                <w:lang w:eastAsia="ru-RU"/>
              </w:rPr>
              <w:t>не застосовується.»;</w:t>
            </w:r>
          </w:p>
        </w:tc>
        <w:tc>
          <w:tcPr>
            <w:tcW w:w="5387" w:type="dxa"/>
          </w:tcPr>
          <w:p w14:paraId="1534A545" w14:textId="77777777" w:rsidR="00853FA0" w:rsidRPr="00C63FFB" w:rsidRDefault="00853FA0" w:rsidP="00853FA0">
            <w:pPr>
              <w:jc w:val="both"/>
              <w:rPr>
                <w:rFonts w:ascii="Times New Roman" w:hAnsi="Times New Roman" w:cs="Times New Roman"/>
                <w:b/>
                <w:sz w:val="26"/>
                <w:szCs w:val="26"/>
                <w:shd w:val="clear" w:color="auto" w:fill="FFFFFF"/>
              </w:rPr>
            </w:pPr>
            <w:r w:rsidRPr="00C63FFB">
              <w:rPr>
                <w:rFonts w:ascii="Times New Roman" w:hAnsi="Times New Roman"/>
                <w:b/>
                <w:color w:val="333333"/>
                <w:sz w:val="26"/>
                <w:szCs w:val="26"/>
                <w:shd w:val="clear" w:color="auto" w:fill="FFFFFF"/>
              </w:rPr>
              <w:t>АТ «ДТЕК Одеські електромережі» лист від 02.10.2023 № 101/04/03-9306, ПрАТ «ДТЕК Київські електромережі» лист від 02.10.2023 № 1/06/31081,</w:t>
            </w:r>
            <w:r w:rsidRPr="00C63FFB">
              <w:rPr>
                <w:rFonts w:ascii="Times New Roman" w:hAnsi="Times New Roman" w:cs="Times New Roman"/>
                <w:b/>
                <w:sz w:val="26"/>
                <w:szCs w:val="26"/>
                <w:shd w:val="clear" w:color="auto" w:fill="FFFFFF"/>
              </w:rPr>
              <w:t xml:space="preserve"> АТ «ДТЕК ДНІПРОВСЬКІ ЕЛЕКТРОМЕРЕЖІ» </w:t>
            </w:r>
            <w:r w:rsidRPr="00C63FFB">
              <w:rPr>
                <w:rFonts w:ascii="Times New Roman" w:hAnsi="Times New Roman"/>
                <w:b/>
                <w:sz w:val="24"/>
                <w:szCs w:val="24"/>
              </w:rPr>
              <w:t>лист від 02.10.2023 № 48916/1001</w:t>
            </w:r>
          </w:p>
          <w:p w14:paraId="1FB51253" w14:textId="77777777" w:rsidR="00853FA0" w:rsidRDefault="00B93A5C" w:rsidP="00853FA0">
            <w:pPr>
              <w:ind w:firstLine="567"/>
              <w:contextualSpacing/>
              <w:jc w:val="both"/>
              <w:rPr>
                <w:rFonts w:ascii="Times New Roman" w:hAnsi="Times New Roman" w:cs="Times New Roman"/>
                <w:i/>
                <w:sz w:val="26"/>
                <w:szCs w:val="26"/>
                <w:lang w:eastAsia="ru-RU"/>
              </w:rPr>
            </w:pPr>
            <w:r>
              <w:rPr>
                <w:rFonts w:ascii="Times New Roman" w:hAnsi="Times New Roman" w:cs="Times New Roman"/>
                <w:i/>
                <w:sz w:val="26"/>
                <w:szCs w:val="26"/>
                <w:lang w:eastAsia="ru-RU"/>
              </w:rPr>
              <w:t>……………………………….</w:t>
            </w:r>
          </w:p>
          <w:p w14:paraId="008CADDB" w14:textId="77777777" w:rsidR="00853FA0" w:rsidRDefault="00853FA0" w:rsidP="00853FA0">
            <w:pPr>
              <w:jc w:val="both"/>
              <w:rPr>
                <w:rFonts w:ascii="Times New Roman" w:hAnsi="Times New Roman" w:cs="Times New Roman"/>
                <w:sz w:val="26"/>
                <w:szCs w:val="26"/>
              </w:rPr>
            </w:pPr>
            <w:r w:rsidRPr="00FE19E8">
              <w:rPr>
                <w:rFonts w:ascii="Times New Roman" w:hAnsi="Times New Roman" w:cs="Times New Roman"/>
                <w:sz w:val="26"/>
                <w:szCs w:val="26"/>
              </w:rPr>
              <w:t xml:space="preserve">На 2022 </w:t>
            </w:r>
            <w:r w:rsidRPr="00FE19E8">
              <w:rPr>
                <w:rFonts w:ascii="Times New Roman" w:hAnsi="Times New Roman" w:cs="Times New Roman"/>
                <w:b/>
                <w:bCs/>
                <w:sz w:val="26"/>
                <w:szCs w:val="26"/>
              </w:rPr>
              <w:t>та 2023 рік</w:t>
            </w:r>
            <w:r w:rsidRPr="00FE19E8">
              <w:rPr>
                <w:rFonts w:ascii="Times New Roman" w:hAnsi="Times New Roman" w:cs="Times New Roman"/>
                <w:sz w:val="26"/>
                <w:szCs w:val="26"/>
              </w:rPr>
              <w:t xml:space="preserve"> для ліцензіатів, які перейшли на стимулююче регулювання з 2021 року </w:t>
            </w:r>
            <w:r w:rsidRPr="00FE19E8">
              <w:rPr>
                <w:rFonts w:ascii="Times New Roman" w:hAnsi="Times New Roman" w:cs="Times New Roman"/>
                <w:color w:val="212529"/>
                <w:sz w:val="26"/>
                <w:szCs w:val="26"/>
                <w:lang w:val="en-US"/>
              </w:rPr>
              <w:t>SAIDI</w:t>
            </w:r>
            <w:r w:rsidRPr="00FE19E8">
              <w:rPr>
                <w:rFonts w:ascii="Times New Roman" w:hAnsi="Times New Roman" w:cs="Times New Roman"/>
                <w:color w:val="212529"/>
                <w:sz w:val="26"/>
                <w:szCs w:val="26"/>
                <w:vertAlign w:val="superscript"/>
              </w:rPr>
              <w:t>м(с)р</w:t>
            </w:r>
            <w:r w:rsidRPr="00FE19E8">
              <w:rPr>
                <w:rFonts w:ascii="Times New Roman" w:hAnsi="Times New Roman" w:cs="Times New Roman"/>
                <w:color w:val="212529"/>
                <w:sz w:val="26"/>
                <w:szCs w:val="26"/>
                <w:vertAlign w:val="subscript"/>
              </w:rPr>
              <w:t>t-2</w:t>
            </w:r>
            <w:r w:rsidRPr="00FE19E8">
              <w:rPr>
                <w:rFonts w:ascii="Times New Roman" w:hAnsi="Times New Roman" w:cs="Times New Roman"/>
                <w:sz w:val="26"/>
                <w:szCs w:val="26"/>
              </w:rPr>
              <w:t xml:space="preserve"> залишаються на рівні 2021 року, а для ліцензіатів, які перейшли на стимулююче регулювання з 2022 року, - на базовому рівні</w:t>
            </w:r>
          </w:p>
          <w:p w14:paraId="2FF66AC6" w14:textId="77777777" w:rsidR="007F26C5" w:rsidRPr="007F26C5" w:rsidRDefault="007F26C5" w:rsidP="007F26C5">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1B6AFAF6" w14:textId="77777777" w:rsidR="00061ACA" w:rsidRPr="00061ACA" w:rsidRDefault="00061ACA" w:rsidP="00853FA0">
            <w:pPr>
              <w:jc w:val="both"/>
              <w:rPr>
                <w:rFonts w:ascii="Times New Roman" w:hAnsi="Times New Roman" w:cs="Times New Roman"/>
                <w:i/>
                <w:sz w:val="28"/>
                <w:szCs w:val="26"/>
              </w:rPr>
            </w:pPr>
            <w:r w:rsidRPr="00061ACA">
              <w:rPr>
                <w:rFonts w:ascii="Times New Roman" w:hAnsi="Times New Roman" w:cs="Times New Roman"/>
                <w:i/>
                <w:color w:val="000000" w:themeColor="text1"/>
                <w:sz w:val="24"/>
              </w:rPr>
              <w:t xml:space="preserve">Виконання завдання щодо зменшення SAIDI </w:t>
            </w:r>
            <w:r w:rsidR="007F26C5" w:rsidRPr="00061ACA">
              <w:rPr>
                <w:rFonts w:ascii="Times New Roman" w:hAnsi="Times New Roman" w:cs="Times New Roman"/>
                <w:i/>
                <w:color w:val="000000" w:themeColor="text1"/>
                <w:sz w:val="24"/>
              </w:rPr>
              <w:t>ускладняється</w:t>
            </w:r>
            <w:r w:rsidRPr="00061ACA">
              <w:rPr>
                <w:rFonts w:ascii="Times New Roman" w:hAnsi="Times New Roman" w:cs="Times New Roman"/>
                <w:i/>
                <w:color w:val="000000" w:themeColor="text1"/>
                <w:sz w:val="24"/>
              </w:rPr>
              <w:t xml:space="preserve"> через зовнішні чинники, пов’язані з воєнними діями.</w:t>
            </w:r>
          </w:p>
          <w:p w14:paraId="722A63DA" w14:textId="77777777" w:rsidR="00B93A5C" w:rsidRPr="00A30735" w:rsidRDefault="00B93A5C" w:rsidP="00853FA0">
            <w:pPr>
              <w:jc w:val="both"/>
              <w:rPr>
                <w:rFonts w:ascii="Times New Roman" w:hAnsi="Times New Roman" w:cs="Times New Roman"/>
                <w:bCs/>
                <w:color w:val="000000"/>
                <w:sz w:val="26"/>
                <w:szCs w:val="26"/>
              </w:rPr>
            </w:pPr>
            <w:r>
              <w:rPr>
                <w:rFonts w:ascii="Times New Roman" w:hAnsi="Times New Roman" w:cs="Times New Roman"/>
                <w:sz w:val="26"/>
                <w:szCs w:val="26"/>
              </w:rPr>
              <w:t>………………………………</w:t>
            </w:r>
          </w:p>
          <w:p w14:paraId="5F459865" w14:textId="77777777" w:rsidR="00853FA0" w:rsidRDefault="00853FA0" w:rsidP="00853FA0">
            <w:pPr>
              <w:contextualSpacing/>
              <w:jc w:val="both"/>
              <w:rPr>
                <w:rFonts w:ascii="Times New Roman" w:hAnsi="Times New Roman" w:cs="Times New Roman"/>
                <w:b/>
                <w:color w:val="333333"/>
                <w:sz w:val="26"/>
                <w:szCs w:val="26"/>
                <w:shd w:val="clear" w:color="auto" w:fill="FFFFFF"/>
              </w:rPr>
            </w:pPr>
          </w:p>
          <w:p w14:paraId="0BF43608" w14:textId="77777777" w:rsidR="00853FA0" w:rsidRPr="00224497" w:rsidRDefault="00853FA0" w:rsidP="00883C27">
            <w:pPr>
              <w:pStyle w:val="a4"/>
              <w:ind w:left="29"/>
              <w:jc w:val="both"/>
              <w:rPr>
                <w:rFonts w:ascii="Times New Roman" w:hAnsi="Times New Roman" w:cs="Times New Roman"/>
                <w:b/>
                <w:bCs/>
                <w:i/>
                <w:sz w:val="26"/>
                <w:szCs w:val="26"/>
              </w:rPr>
            </w:pPr>
          </w:p>
        </w:tc>
        <w:tc>
          <w:tcPr>
            <w:tcW w:w="4394" w:type="dxa"/>
          </w:tcPr>
          <w:p w14:paraId="32C9947E" w14:textId="77777777" w:rsidR="00853FA0" w:rsidRPr="00836BEA" w:rsidRDefault="00853FA0" w:rsidP="00853FA0">
            <w:pPr>
              <w:jc w:val="both"/>
              <w:rPr>
                <w:rFonts w:ascii="Times New Roman" w:hAnsi="Times New Roman" w:cs="Times New Roman"/>
                <w:b/>
                <w:bCs/>
                <w:sz w:val="24"/>
                <w:szCs w:val="24"/>
              </w:rPr>
            </w:pPr>
            <w:r w:rsidRPr="00836BEA">
              <w:rPr>
                <w:rFonts w:ascii="Times New Roman" w:hAnsi="Times New Roman" w:cs="Times New Roman"/>
                <w:b/>
                <w:bCs/>
                <w:sz w:val="24"/>
                <w:szCs w:val="24"/>
              </w:rPr>
              <w:t>Не враховується</w:t>
            </w:r>
          </w:p>
          <w:p w14:paraId="7A527977" w14:textId="77777777" w:rsidR="00853FA0" w:rsidRPr="00836BEA" w:rsidRDefault="00853FA0" w:rsidP="00853FA0">
            <w:pPr>
              <w:jc w:val="both"/>
              <w:rPr>
                <w:rFonts w:ascii="Times New Roman" w:hAnsi="Times New Roman" w:cs="Times New Roman"/>
                <w:b/>
                <w:bCs/>
                <w:sz w:val="24"/>
                <w:szCs w:val="24"/>
              </w:rPr>
            </w:pPr>
            <w:r w:rsidRPr="00836BEA">
              <w:rPr>
                <w:rFonts w:ascii="Times New Roman" w:hAnsi="Times New Roman" w:cs="Times New Roman"/>
                <w:b/>
                <w:bCs/>
                <w:sz w:val="24"/>
                <w:szCs w:val="24"/>
              </w:rPr>
              <w:t>Недостатньо обґрунтована позиція</w:t>
            </w:r>
          </w:p>
          <w:p w14:paraId="490AC650" w14:textId="77777777" w:rsidR="00853FA0" w:rsidRPr="00836BEA" w:rsidRDefault="00853FA0" w:rsidP="00853FA0">
            <w:pPr>
              <w:widowControl w:val="0"/>
              <w:suppressAutoHyphens/>
              <w:contextualSpacing/>
              <w:jc w:val="both"/>
              <w:rPr>
                <w:rFonts w:ascii="Times New Roman" w:hAnsi="Times New Roman" w:cs="Times New Roman"/>
                <w:sz w:val="24"/>
                <w:szCs w:val="24"/>
              </w:rPr>
            </w:pPr>
            <w:r w:rsidRPr="00836BEA">
              <w:rPr>
                <w:rFonts w:ascii="Times New Roman" w:hAnsi="Times New Roman" w:cs="Times New Roman"/>
                <w:sz w:val="24"/>
                <w:szCs w:val="24"/>
              </w:rPr>
              <w:t>В умовах воєнного стану досягнення встановлених цільових показників якості послуг є необхідною умовою надійного функціонування всіх галузей економіки України, військово-промислового комплексу, соціальних потреб населення тощо.</w:t>
            </w:r>
          </w:p>
          <w:p w14:paraId="3D66BD1C" w14:textId="77777777" w:rsidR="00853FA0" w:rsidRPr="00224497" w:rsidRDefault="00853FA0" w:rsidP="006D5B88">
            <w:pPr>
              <w:widowControl w:val="0"/>
              <w:suppressAutoHyphens/>
              <w:contextualSpacing/>
              <w:jc w:val="both"/>
              <w:rPr>
                <w:rFonts w:ascii="Times New Roman" w:hAnsi="Times New Roman" w:cs="Times New Roman"/>
                <w:b/>
                <w:bCs/>
                <w:i/>
                <w:sz w:val="26"/>
                <w:szCs w:val="26"/>
              </w:rPr>
            </w:pPr>
          </w:p>
        </w:tc>
      </w:tr>
      <w:tr w:rsidR="009C1D60" w:rsidRPr="003D580E" w14:paraId="1A67F707" w14:textId="77777777" w:rsidTr="00300237">
        <w:tc>
          <w:tcPr>
            <w:tcW w:w="15168" w:type="dxa"/>
            <w:gridSpan w:val="3"/>
          </w:tcPr>
          <w:p w14:paraId="09A1AC9F" w14:textId="77777777" w:rsidR="009C1D60" w:rsidRPr="00224497" w:rsidRDefault="009C1D60" w:rsidP="0001379B">
            <w:pPr>
              <w:pStyle w:val="a4"/>
              <w:ind w:left="29"/>
              <w:jc w:val="center"/>
              <w:rPr>
                <w:rFonts w:ascii="Times New Roman" w:hAnsi="Times New Roman" w:cs="Times New Roman"/>
                <w:b/>
                <w:bCs/>
                <w:i/>
                <w:sz w:val="26"/>
                <w:szCs w:val="26"/>
              </w:rPr>
            </w:pPr>
            <w:r w:rsidRPr="00224497">
              <w:rPr>
                <w:rFonts w:ascii="Times New Roman" w:hAnsi="Times New Roman" w:cs="Times New Roman"/>
                <w:b/>
                <w:bCs/>
                <w:i/>
                <w:sz w:val="26"/>
                <w:szCs w:val="26"/>
              </w:rPr>
              <w:t>Постанова НКРЕКП  від 27.07.2017 № 981 «Про затвердження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w:t>
            </w:r>
          </w:p>
        </w:tc>
      </w:tr>
      <w:tr w:rsidR="00F42350" w:rsidRPr="003D580E" w14:paraId="1E28A32F" w14:textId="77777777" w:rsidTr="00853FA0">
        <w:tc>
          <w:tcPr>
            <w:tcW w:w="5387" w:type="dxa"/>
          </w:tcPr>
          <w:p w14:paraId="217C81EA" w14:textId="77777777" w:rsidR="008D2457" w:rsidRPr="00E73BB5" w:rsidRDefault="008D2457" w:rsidP="008D2457">
            <w:pPr>
              <w:pStyle w:val="a4"/>
              <w:ind w:left="29"/>
              <w:jc w:val="both"/>
              <w:rPr>
                <w:rFonts w:ascii="Times New Roman" w:hAnsi="Times New Roman" w:cs="Times New Roman"/>
                <w:b/>
                <w:color w:val="FF0000"/>
                <w:sz w:val="26"/>
                <w:szCs w:val="26"/>
              </w:rPr>
            </w:pPr>
            <w:r w:rsidRPr="00E73BB5">
              <w:rPr>
                <w:rFonts w:ascii="Times New Roman" w:hAnsi="Times New Roman" w:cs="Times New Roman"/>
                <w:b/>
                <w:color w:val="FF0000"/>
                <w:sz w:val="26"/>
                <w:szCs w:val="26"/>
              </w:rPr>
              <w:lastRenderedPageBreak/>
              <w:t xml:space="preserve">Зміни до пункту 3 </w:t>
            </w:r>
            <w:r>
              <w:rPr>
                <w:rFonts w:ascii="Times New Roman" w:hAnsi="Times New Roman" w:cs="Times New Roman"/>
                <w:b/>
                <w:color w:val="FF0000"/>
                <w:sz w:val="26"/>
                <w:szCs w:val="26"/>
              </w:rPr>
              <w:t xml:space="preserve">Постанови </w:t>
            </w:r>
            <w:r w:rsidRPr="00E73BB5">
              <w:rPr>
                <w:rFonts w:ascii="Times New Roman" w:hAnsi="Times New Roman" w:cs="Times New Roman"/>
                <w:b/>
                <w:color w:val="FF0000"/>
                <w:sz w:val="26"/>
                <w:szCs w:val="26"/>
              </w:rPr>
              <w:t>не пропонувались</w:t>
            </w:r>
          </w:p>
          <w:p w14:paraId="4090B497" w14:textId="77777777" w:rsidR="008D2457" w:rsidRPr="00E73BB5" w:rsidRDefault="008D2457" w:rsidP="008D2457">
            <w:pPr>
              <w:jc w:val="both"/>
              <w:rPr>
                <w:rFonts w:ascii="Times New Roman" w:hAnsi="Times New Roman" w:cs="Times New Roman"/>
                <w:bCs/>
                <w:color w:val="000000" w:themeColor="text1"/>
                <w:sz w:val="26"/>
                <w:szCs w:val="26"/>
              </w:rPr>
            </w:pPr>
            <w:r w:rsidRPr="00E73BB5">
              <w:rPr>
                <w:rFonts w:ascii="Times New Roman" w:hAnsi="Times New Roman" w:cs="Times New Roman"/>
                <w:bCs/>
                <w:color w:val="000000" w:themeColor="text1"/>
                <w:sz w:val="26"/>
                <w:szCs w:val="26"/>
              </w:rPr>
              <w:t>3. Зупинити на період дії в Україні воєнного стану дію пунктів 2.5 та 2.6 глави 2 Положення.</w:t>
            </w:r>
          </w:p>
          <w:p w14:paraId="0A6CE2BF" w14:textId="77777777" w:rsidR="00F42350" w:rsidRPr="0096708C" w:rsidRDefault="00F42350" w:rsidP="00883C27">
            <w:pPr>
              <w:pStyle w:val="a4"/>
              <w:ind w:left="29"/>
              <w:jc w:val="both"/>
              <w:rPr>
                <w:rFonts w:ascii="Times New Roman" w:hAnsi="Times New Roman" w:cs="Times New Roman"/>
                <w:b/>
                <w:color w:val="FF0000"/>
                <w:sz w:val="26"/>
                <w:szCs w:val="26"/>
              </w:rPr>
            </w:pPr>
          </w:p>
        </w:tc>
        <w:tc>
          <w:tcPr>
            <w:tcW w:w="5387" w:type="dxa"/>
            <w:shd w:val="clear" w:color="auto" w:fill="auto"/>
          </w:tcPr>
          <w:p w14:paraId="0E435D5B" w14:textId="77777777" w:rsidR="00EB6F91" w:rsidRPr="00C63FFB" w:rsidRDefault="00EB6F91" w:rsidP="00EB6F91">
            <w:pPr>
              <w:jc w:val="both"/>
              <w:rPr>
                <w:rFonts w:ascii="Times New Roman" w:hAnsi="Times New Roman" w:cs="Times New Roman"/>
                <w:b/>
                <w:sz w:val="26"/>
                <w:szCs w:val="26"/>
                <w:shd w:val="clear" w:color="auto" w:fill="FFFFFF"/>
              </w:rPr>
            </w:pPr>
            <w:r w:rsidRPr="00C63FFB">
              <w:rPr>
                <w:rFonts w:ascii="Times New Roman" w:hAnsi="Times New Roman"/>
                <w:b/>
                <w:color w:val="333333"/>
                <w:sz w:val="26"/>
                <w:szCs w:val="26"/>
                <w:shd w:val="clear" w:color="auto" w:fill="FFFFFF"/>
              </w:rPr>
              <w:t>АТ «ДТЕК Одеські електромережі» лист від 02.10.2023 № 101/04/03-9306, ПрАТ «ДТЕК Київські електромережі» лист від 02.10.2023 № 1/06/31081,</w:t>
            </w:r>
            <w:r w:rsidRPr="00C63FFB">
              <w:rPr>
                <w:rFonts w:ascii="Times New Roman" w:hAnsi="Times New Roman" w:cs="Times New Roman"/>
                <w:b/>
                <w:sz w:val="26"/>
                <w:szCs w:val="26"/>
                <w:shd w:val="clear" w:color="auto" w:fill="FFFFFF"/>
              </w:rPr>
              <w:t xml:space="preserve"> АТ «ДТЕК ДНІПРОВСЬКІ ЕЛЕКТРОМЕРЕЖІ» </w:t>
            </w:r>
            <w:r w:rsidRPr="00C63FFB">
              <w:rPr>
                <w:rFonts w:ascii="Times New Roman" w:hAnsi="Times New Roman"/>
                <w:b/>
                <w:sz w:val="24"/>
                <w:szCs w:val="24"/>
              </w:rPr>
              <w:t>лист від 02.10.2023 №</w:t>
            </w:r>
            <w:r w:rsidR="008A46E1">
              <w:rPr>
                <w:rFonts w:ascii="Times New Roman" w:hAnsi="Times New Roman"/>
                <w:b/>
                <w:sz w:val="24"/>
                <w:szCs w:val="24"/>
              </w:rPr>
              <w:t> </w:t>
            </w:r>
            <w:r w:rsidRPr="00C63FFB">
              <w:rPr>
                <w:rFonts w:ascii="Times New Roman" w:hAnsi="Times New Roman"/>
                <w:b/>
                <w:sz w:val="24"/>
                <w:szCs w:val="24"/>
              </w:rPr>
              <w:t>48916/1001</w:t>
            </w:r>
          </w:p>
          <w:p w14:paraId="496126BA" w14:textId="77777777" w:rsidR="008D2457" w:rsidRPr="00E73BB5" w:rsidRDefault="008D2457" w:rsidP="008D2457">
            <w:pPr>
              <w:jc w:val="both"/>
              <w:rPr>
                <w:rFonts w:ascii="Times New Roman" w:hAnsi="Times New Roman" w:cs="Times New Roman"/>
                <w:bCs/>
                <w:color w:val="000000" w:themeColor="text1"/>
                <w:sz w:val="26"/>
                <w:szCs w:val="26"/>
              </w:rPr>
            </w:pPr>
            <w:r w:rsidRPr="00E73BB5">
              <w:rPr>
                <w:rFonts w:ascii="Times New Roman" w:hAnsi="Times New Roman" w:cs="Times New Roman"/>
                <w:bCs/>
                <w:color w:val="000000" w:themeColor="text1"/>
                <w:sz w:val="26"/>
                <w:szCs w:val="26"/>
              </w:rPr>
              <w:t>3. Зупинити на період дії в Україні воєнного стану дію пунктів 2.5 та 2.6 глави 2 Положення.</w:t>
            </w:r>
          </w:p>
          <w:p w14:paraId="2F179007" w14:textId="77777777" w:rsidR="008D2457" w:rsidRDefault="008D2457" w:rsidP="008D2457">
            <w:pPr>
              <w:jc w:val="both"/>
              <w:rPr>
                <w:rFonts w:ascii="Times New Roman" w:hAnsi="Times New Roman" w:cs="Times New Roman"/>
                <w:b/>
                <w:color w:val="000000" w:themeColor="text1"/>
                <w:sz w:val="26"/>
                <w:szCs w:val="26"/>
              </w:rPr>
            </w:pPr>
            <w:r w:rsidRPr="00E73BB5">
              <w:rPr>
                <w:rFonts w:ascii="Times New Roman" w:hAnsi="Times New Roman" w:cs="Times New Roman"/>
                <w:b/>
                <w:color w:val="000000" w:themeColor="text1"/>
                <w:sz w:val="26"/>
                <w:szCs w:val="26"/>
              </w:rPr>
              <w:t>На період воєнного стану запроваджується наступна норма:</w:t>
            </w:r>
          </w:p>
          <w:p w14:paraId="35FD29F2" w14:textId="77777777" w:rsidR="008D2457" w:rsidRDefault="008D2457" w:rsidP="008D2457">
            <w:pPr>
              <w:jc w:val="both"/>
              <w:rPr>
                <w:rFonts w:ascii="Times New Roman" w:hAnsi="Times New Roman" w:cs="Times New Roman"/>
                <w:color w:val="333333"/>
                <w:sz w:val="26"/>
                <w:szCs w:val="26"/>
                <w:lang w:val="ru-RU"/>
              </w:rPr>
            </w:pPr>
            <w:r w:rsidRPr="00E73BB5">
              <w:rPr>
                <w:rFonts w:ascii="Times New Roman" w:hAnsi="Times New Roman" w:cs="Times New Roman"/>
                <w:b/>
                <w:bCs/>
                <w:color w:val="333333"/>
                <w:sz w:val="26"/>
                <w:szCs w:val="26"/>
              </w:rPr>
              <w:t>У разі зміни структури споживання та</w:t>
            </w:r>
            <w:r w:rsidRPr="00E73BB5">
              <w:rPr>
                <w:rFonts w:ascii="Times New Roman" w:hAnsi="Times New Roman" w:cs="Times New Roman"/>
                <w:b/>
                <w:bCs/>
                <w:color w:val="333333"/>
                <w:sz w:val="26"/>
                <w:szCs w:val="26"/>
                <w:lang w:val="ru-RU"/>
              </w:rPr>
              <w:t>/</w:t>
            </w:r>
            <w:r w:rsidRPr="00E73BB5">
              <w:rPr>
                <w:rFonts w:ascii="Times New Roman" w:hAnsi="Times New Roman" w:cs="Times New Roman"/>
                <w:b/>
                <w:bCs/>
                <w:color w:val="333333"/>
                <w:sz w:val="26"/>
                <w:szCs w:val="26"/>
              </w:rPr>
              <w:t>або зміни режимів роботи електричних мереж, що призвели до зміни ЕКПТВЕ більше ніж на 25 % по 1 та/або 2 класах(у) напруги порівняно із ЕКПТВЕ, зафіксованим при розрахунку ЕКПТВЕ на прогнозний період, ЕКПТВЕ затверджуються відповідно до розрахунків за фактичними даними</w:t>
            </w:r>
            <w:r w:rsidRPr="00E73BB5">
              <w:rPr>
                <w:rFonts w:ascii="Times New Roman" w:hAnsi="Times New Roman" w:cs="Times New Roman"/>
                <w:color w:val="333333"/>
                <w:sz w:val="26"/>
                <w:szCs w:val="26"/>
                <w:lang w:val="ru-RU"/>
              </w:rPr>
              <w:t>.</w:t>
            </w:r>
          </w:p>
          <w:p w14:paraId="4C3EF4BE" w14:textId="77777777" w:rsidR="007F26C5" w:rsidRPr="007F26C5" w:rsidRDefault="007F26C5" w:rsidP="007F26C5">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263FEFF9" w14:textId="77777777" w:rsidR="008A46E1" w:rsidRPr="008A46E1" w:rsidRDefault="008A46E1" w:rsidP="008A46E1">
            <w:pPr>
              <w:shd w:val="clear" w:color="auto" w:fill="FFFFFF"/>
              <w:jc w:val="both"/>
              <w:textAlignment w:val="baseline"/>
              <w:rPr>
                <w:rFonts w:ascii="Times New Roman" w:hAnsi="Times New Roman" w:cs="Times New Roman"/>
                <w:bCs/>
                <w:i/>
                <w:color w:val="000000" w:themeColor="text1"/>
                <w:sz w:val="24"/>
              </w:rPr>
            </w:pPr>
            <w:r w:rsidRPr="008A46E1">
              <w:rPr>
                <w:rFonts w:ascii="Times New Roman" w:hAnsi="Times New Roman" w:cs="Times New Roman"/>
                <w:bCs/>
                <w:i/>
                <w:color w:val="000000" w:themeColor="text1"/>
                <w:sz w:val="24"/>
              </w:rPr>
              <w:t>Протягом 2022-2023 років відбулось:</w:t>
            </w:r>
          </w:p>
          <w:p w14:paraId="7DE5D9DA" w14:textId="77777777" w:rsidR="008A46E1" w:rsidRPr="008A46E1" w:rsidRDefault="008A46E1" w:rsidP="008A46E1">
            <w:pPr>
              <w:shd w:val="clear" w:color="auto" w:fill="FFFFFF"/>
              <w:jc w:val="both"/>
              <w:textAlignment w:val="baseline"/>
              <w:rPr>
                <w:rFonts w:ascii="Times New Roman" w:hAnsi="Times New Roman" w:cs="Times New Roman"/>
                <w:bCs/>
                <w:i/>
                <w:color w:val="000000" w:themeColor="text1"/>
                <w:sz w:val="24"/>
              </w:rPr>
            </w:pPr>
            <w:r w:rsidRPr="008A46E1">
              <w:rPr>
                <w:rFonts w:ascii="Times New Roman" w:hAnsi="Times New Roman" w:cs="Times New Roman"/>
                <w:bCs/>
                <w:i/>
                <w:color w:val="000000" w:themeColor="text1"/>
                <w:sz w:val="24"/>
              </w:rPr>
              <w:t xml:space="preserve">- різке зниження споживання </w:t>
            </w:r>
            <w:proofErr w:type="spellStart"/>
            <w:r w:rsidRPr="008A46E1">
              <w:rPr>
                <w:rFonts w:ascii="Times New Roman" w:hAnsi="Times New Roman" w:cs="Times New Roman"/>
                <w:bCs/>
                <w:i/>
                <w:color w:val="000000" w:themeColor="text1"/>
                <w:sz w:val="24"/>
              </w:rPr>
              <w:t>маловтратними</w:t>
            </w:r>
            <w:proofErr w:type="spellEnd"/>
            <w:r w:rsidRPr="008A46E1">
              <w:rPr>
                <w:rFonts w:ascii="Times New Roman" w:hAnsi="Times New Roman" w:cs="Times New Roman"/>
                <w:bCs/>
                <w:i/>
                <w:color w:val="000000" w:themeColor="text1"/>
                <w:sz w:val="24"/>
              </w:rPr>
              <w:t xml:space="preserve"> промисловими підприємствами, що спричинило зростання відсотку ТВЕ в мережах 150-35 кВ;</w:t>
            </w:r>
          </w:p>
          <w:p w14:paraId="75E37B73" w14:textId="77777777" w:rsidR="008A46E1" w:rsidRPr="008A46E1" w:rsidRDefault="008A46E1" w:rsidP="008A46E1">
            <w:pPr>
              <w:shd w:val="clear" w:color="auto" w:fill="FFFFFF"/>
              <w:jc w:val="both"/>
              <w:textAlignment w:val="baseline"/>
              <w:rPr>
                <w:rFonts w:ascii="Times New Roman" w:hAnsi="Times New Roman" w:cs="Times New Roman"/>
                <w:bCs/>
                <w:i/>
                <w:color w:val="000000" w:themeColor="text1"/>
                <w:sz w:val="24"/>
              </w:rPr>
            </w:pPr>
            <w:r w:rsidRPr="008A46E1">
              <w:rPr>
                <w:rFonts w:ascii="Times New Roman" w:hAnsi="Times New Roman" w:cs="Times New Roman"/>
                <w:bCs/>
                <w:i/>
                <w:color w:val="000000" w:themeColor="text1"/>
                <w:sz w:val="24"/>
              </w:rPr>
              <w:t xml:space="preserve">- зміна режимів роботи електричних мереж, що спричиняє додаткові ТВЕ на транзит її від джерел генерації до підстанцій НЕК Укренерго та споживачів. </w:t>
            </w:r>
          </w:p>
          <w:p w14:paraId="3303E357" w14:textId="77777777" w:rsidR="00F42350" w:rsidRPr="00E73554" w:rsidRDefault="008A46E1" w:rsidP="008A46E1">
            <w:pPr>
              <w:shd w:val="clear" w:color="auto" w:fill="FFFFFF"/>
              <w:jc w:val="both"/>
              <w:textAlignment w:val="baseline"/>
              <w:rPr>
                <w:rFonts w:ascii="Times New Roman" w:hAnsi="Times New Roman"/>
                <w:b/>
                <w:sz w:val="24"/>
                <w:szCs w:val="24"/>
                <w:u w:val="single"/>
              </w:rPr>
            </w:pPr>
            <w:proofErr w:type="spellStart"/>
            <w:r w:rsidRPr="008A46E1">
              <w:rPr>
                <w:rFonts w:ascii="Times New Roman" w:hAnsi="Times New Roman" w:cs="Times New Roman"/>
                <w:bCs/>
                <w:i/>
                <w:color w:val="000000" w:themeColor="text1"/>
                <w:sz w:val="24"/>
              </w:rPr>
              <w:t>Неперегляд</w:t>
            </w:r>
            <w:proofErr w:type="spellEnd"/>
            <w:r w:rsidRPr="008A46E1">
              <w:rPr>
                <w:rFonts w:ascii="Times New Roman" w:hAnsi="Times New Roman" w:cs="Times New Roman"/>
                <w:bCs/>
                <w:i/>
                <w:color w:val="000000" w:themeColor="text1"/>
                <w:sz w:val="24"/>
              </w:rPr>
              <w:t xml:space="preserve"> ЕКПТВЕ відповідно до фактичних показників призводить до суттєвих збитків за цією статтею витрат</w:t>
            </w:r>
            <w:r w:rsidRPr="008A46E1">
              <w:rPr>
                <w:rFonts w:ascii="Times New Roman" w:hAnsi="Times New Roman" w:cs="Times New Roman"/>
                <w:b/>
                <w:i/>
                <w:color w:val="000000" w:themeColor="text1"/>
                <w:sz w:val="24"/>
              </w:rPr>
              <w:t>.</w:t>
            </w:r>
          </w:p>
        </w:tc>
        <w:tc>
          <w:tcPr>
            <w:tcW w:w="4394" w:type="dxa"/>
          </w:tcPr>
          <w:p w14:paraId="37353E1F" w14:textId="77777777" w:rsidR="003526A2" w:rsidRPr="00836BEA" w:rsidRDefault="003526A2" w:rsidP="003526A2">
            <w:pPr>
              <w:jc w:val="both"/>
              <w:rPr>
                <w:rFonts w:ascii="Times New Roman" w:hAnsi="Times New Roman" w:cs="Times New Roman"/>
                <w:b/>
                <w:bCs/>
                <w:sz w:val="24"/>
                <w:szCs w:val="24"/>
              </w:rPr>
            </w:pPr>
            <w:r w:rsidRPr="00836BEA">
              <w:rPr>
                <w:rFonts w:ascii="Times New Roman" w:hAnsi="Times New Roman" w:cs="Times New Roman"/>
                <w:b/>
                <w:bCs/>
                <w:sz w:val="24"/>
                <w:szCs w:val="24"/>
              </w:rPr>
              <w:t>Не враховується</w:t>
            </w:r>
          </w:p>
          <w:p w14:paraId="109D09F9" w14:textId="77777777" w:rsidR="00E96918" w:rsidRPr="007C5DBA" w:rsidRDefault="00E96918" w:rsidP="00E96918">
            <w:pPr>
              <w:pStyle w:val="a4"/>
              <w:ind w:left="29"/>
              <w:jc w:val="both"/>
              <w:rPr>
                <w:rFonts w:ascii="Times New Roman" w:hAnsi="Times New Roman" w:cs="Times New Roman"/>
                <w:b/>
                <w:sz w:val="26"/>
                <w:szCs w:val="26"/>
              </w:rPr>
            </w:pPr>
            <w:r w:rsidRPr="007C5DBA">
              <w:rPr>
                <w:rFonts w:ascii="Times New Roman" w:hAnsi="Times New Roman" w:cs="Times New Roman"/>
                <w:b/>
                <w:sz w:val="26"/>
                <w:szCs w:val="26"/>
              </w:rPr>
              <w:t>Зміни до пункту 3 Постанови не пропонувались</w:t>
            </w:r>
          </w:p>
          <w:p w14:paraId="73945FB5" w14:textId="77777777" w:rsidR="00F42350" w:rsidRPr="00CF29A3" w:rsidRDefault="00F42350" w:rsidP="00A92167">
            <w:pPr>
              <w:shd w:val="clear" w:color="auto" w:fill="FFFFFF"/>
              <w:spacing w:after="150"/>
              <w:ind w:firstLine="450"/>
              <w:jc w:val="both"/>
              <w:rPr>
                <w:rFonts w:ascii="Times New Roman" w:eastAsia="Times New Roman" w:hAnsi="Times New Roman" w:cs="Times New Roman"/>
                <w:b/>
                <w:bCs/>
                <w:color w:val="333333"/>
                <w:sz w:val="24"/>
                <w:szCs w:val="24"/>
                <w:lang w:eastAsia="uk-UA"/>
              </w:rPr>
            </w:pPr>
            <w:bookmarkStart w:id="3" w:name="_GoBack"/>
            <w:bookmarkEnd w:id="3"/>
          </w:p>
        </w:tc>
      </w:tr>
      <w:tr w:rsidR="009C1D60" w:rsidRPr="003D580E" w14:paraId="106B283F" w14:textId="77777777" w:rsidTr="00853FA0">
        <w:tc>
          <w:tcPr>
            <w:tcW w:w="5387" w:type="dxa"/>
          </w:tcPr>
          <w:p w14:paraId="18090271" w14:textId="77777777" w:rsidR="009C1D60" w:rsidRDefault="0096708C" w:rsidP="00883C27">
            <w:pPr>
              <w:pStyle w:val="a4"/>
              <w:ind w:left="29"/>
              <w:jc w:val="both"/>
              <w:rPr>
                <w:rFonts w:ascii="Times New Roman" w:hAnsi="Times New Roman" w:cs="Times New Roman"/>
                <w:b/>
                <w:color w:val="FF0000"/>
                <w:sz w:val="26"/>
                <w:szCs w:val="26"/>
              </w:rPr>
            </w:pPr>
            <w:r w:rsidRPr="0096708C">
              <w:rPr>
                <w:rFonts w:ascii="Times New Roman" w:hAnsi="Times New Roman" w:cs="Times New Roman"/>
                <w:b/>
                <w:color w:val="FF0000"/>
                <w:sz w:val="26"/>
                <w:szCs w:val="26"/>
              </w:rPr>
              <w:t>Зміни до підпункту 2</w:t>
            </w:r>
            <w:r>
              <w:rPr>
                <w:rFonts w:ascii="Times New Roman" w:hAnsi="Times New Roman" w:cs="Times New Roman"/>
                <w:b/>
                <w:color w:val="FF0000"/>
                <w:sz w:val="26"/>
                <w:szCs w:val="26"/>
              </w:rPr>
              <w:t>.5</w:t>
            </w:r>
            <w:r w:rsidRPr="0096708C">
              <w:rPr>
                <w:rFonts w:ascii="Times New Roman" w:hAnsi="Times New Roman" w:cs="Times New Roman"/>
                <w:b/>
                <w:color w:val="FF0000"/>
                <w:sz w:val="26"/>
                <w:szCs w:val="26"/>
              </w:rPr>
              <w:t xml:space="preserve"> глави 1 не пропонувались</w:t>
            </w:r>
          </w:p>
          <w:p w14:paraId="2CAF5DA7" w14:textId="77777777" w:rsidR="00845077" w:rsidRPr="00845077" w:rsidRDefault="00845077" w:rsidP="00883C27">
            <w:pPr>
              <w:pStyle w:val="a4"/>
              <w:ind w:left="29"/>
              <w:jc w:val="both"/>
              <w:rPr>
                <w:rFonts w:ascii="Times New Roman" w:hAnsi="Times New Roman" w:cs="Times New Roman"/>
                <w:sz w:val="26"/>
                <w:szCs w:val="26"/>
              </w:rPr>
            </w:pPr>
            <w:r w:rsidRPr="00845077">
              <w:rPr>
                <w:rFonts w:ascii="Times New Roman" w:hAnsi="Times New Roman" w:cs="Times New Roman"/>
                <w:sz w:val="26"/>
                <w:szCs w:val="26"/>
              </w:rPr>
              <w:t xml:space="preserve">2.5. У разі відхилення через форс-мажорні обставини (обставини непереборної сили) у </w:t>
            </w:r>
            <w:r w:rsidRPr="00845077">
              <w:rPr>
                <w:rFonts w:ascii="Times New Roman" w:hAnsi="Times New Roman" w:cs="Times New Roman"/>
                <w:sz w:val="26"/>
                <w:szCs w:val="26"/>
              </w:rPr>
              <w:lastRenderedPageBreak/>
              <w:t xml:space="preserve">поточному розрахунковому періоді розрахованих нормативних значень технологічних витрат електроенергії (далі - НЗТВЕ), засвідчених у встановленому порядку та підтверджених протоколом затвердження НХТВЕ, на прогнозний період більше ніж на 10 % (включно) по 1 та/або 2 класах(у) відносно НЗТВЕ останнього завершеного річного періоду, підтверджених протоколом затвердження НХТВЕ, внаслідок зміни структури балансу електричної енергії, пов'язаної зі зміною схеми нормального режиму мережі, які підтверджені оператором системи передачі та/або центральним органом виконавчої влади, що реалізує державну політику у сфері нагляду (контролю) в галузі електроенергетики після надання </w:t>
            </w:r>
            <w:proofErr w:type="spellStart"/>
            <w:r w:rsidRPr="00845077">
              <w:rPr>
                <w:rFonts w:ascii="Times New Roman" w:hAnsi="Times New Roman" w:cs="Times New Roman"/>
                <w:sz w:val="26"/>
                <w:szCs w:val="26"/>
              </w:rPr>
              <w:t>обґрунтовувальних</w:t>
            </w:r>
            <w:proofErr w:type="spellEnd"/>
            <w:r w:rsidRPr="00845077">
              <w:rPr>
                <w:rFonts w:ascii="Times New Roman" w:hAnsi="Times New Roman" w:cs="Times New Roman"/>
                <w:sz w:val="26"/>
                <w:szCs w:val="26"/>
              </w:rPr>
              <w:t xml:space="preserve"> матеріалів та розрахунків, ЕКПТВЕ приймаються відповідно до розрахованих значень НЗТВЕ, підтверджених протоколом затвердження НХТВЕ, але не вище ніж на 10 % від діючих ЕКПТВЕ, виключно на період зміни схеми нормального режиму мережі.</w:t>
            </w:r>
          </w:p>
        </w:tc>
        <w:tc>
          <w:tcPr>
            <w:tcW w:w="5387" w:type="dxa"/>
            <w:shd w:val="clear" w:color="auto" w:fill="auto"/>
          </w:tcPr>
          <w:p w14:paraId="5EA896C6" w14:textId="77777777" w:rsidR="0096708C" w:rsidRPr="00C63FFB" w:rsidRDefault="0096708C" w:rsidP="0096708C">
            <w:pPr>
              <w:pStyle w:val="1"/>
              <w:jc w:val="both"/>
              <w:rPr>
                <w:rFonts w:ascii="Times New Roman" w:hAnsi="Times New Roman"/>
                <w:b/>
                <w:sz w:val="24"/>
                <w:szCs w:val="24"/>
                <w:lang w:val="uk-UA"/>
              </w:rPr>
            </w:pPr>
            <w:r w:rsidRPr="00C63FFB">
              <w:rPr>
                <w:rFonts w:ascii="Times New Roman" w:hAnsi="Times New Roman"/>
                <w:b/>
                <w:sz w:val="24"/>
                <w:szCs w:val="24"/>
                <w:lang w:val="uk-UA"/>
              </w:rPr>
              <w:lastRenderedPageBreak/>
              <w:t xml:space="preserve">АТ «ХАРКІВОБЛЕНЕРГО» лист від 27.09.2023 </w:t>
            </w:r>
            <w:r w:rsidRPr="00C63FFB">
              <w:rPr>
                <w:rFonts w:ascii="Times New Roman" w:hAnsi="Times New Roman"/>
                <w:b/>
                <w:sz w:val="24"/>
                <w:szCs w:val="24"/>
                <w:highlight w:val="yellow"/>
                <w:lang w:val="uk-UA"/>
              </w:rPr>
              <w:br/>
            </w:r>
            <w:r w:rsidRPr="00C63FFB">
              <w:rPr>
                <w:rFonts w:ascii="Times New Roman" w:hAnsi="Times New Roman"/>
                <w:b/>
                <w:sz w:val="24"/>
                <w:szCs w:val="24"/>
                <w:lang w:val="uk-UA"/>
              </w:rPr>
              <w:t>№ 01-25/5771</w:t>
            </w:r>
          </w:p>
          <w:p w14:paraId="04AD123C" w14:textId="77777777" w:rsidR="0096708C" w:rsidRDefault="0096708C" w:rsidP="0096708C">
            <w:pPr>
              <w:jc w:val="both"/>
              <w:rPr>
                <w:rFonts w:ascii="Times New Roman" w:hAnsi="Times New Roman"/>
                <w:sz w:val="24"/>
                <w:szCs w:val="24"/>
              </w:rPr>
            </w:pPr>
            <w:r w:rsidRPr="00285E46">
              <w:rPr>
                <w:rFonts w:ascii="Times New Roman" w:hAnsi="Times New Roman"/>
                <w:b/>
                <w:bCs/>
                <w:sz w:val="24"/>
                <w:szCs w:val="24"/>
              </w:rPr>
              <w:t>Повернути дію пункту 2.5</w:t>
            </w:r>
            <w:r w:rsidRPr="00285E46">
              <w:rPr>
                <w:rFonts w:ascii="Times New Roman" w:hAnsi="Times New Roman"/>
                <w:sz w:val="24"/>
                <w:szCs w:val="24"/>
              </w:rPr>
              <w:t xml:space="preserve"> (</w:t>
            </w:r>
            <w:r w:rsidRPr="00285E46">
              <w:rPr>
                <w:rFonts w:ascii="Times New Roman" w:hAnsi="Times New Roman"/>
                <w:i/>
                <w:iCs/>
                <w:sz w:val="24"/>
                <w:szCs w:val="24"/>
              </w:rPr>
              <w:t xml:space="preserve">скасувати постанову НКРЕКП від 02.12.2022 № 1598 «Про внесення </w:t>
            </w:r>
            <w:r w:rsidRPr="00285E46">
              <w:rPr>
                <w:rFonts w:ascii="Times New Roman" w:hAnsi="Times New Roman"/>
                <w:i/>
                <w:iCs/>
                <w:sz w:val="24"/>
                <w:szCs w:val="24"/>
              </w:rPr>
              <w:lastRenderedPageBreak/>
              <w:t>змін до постанови НКРЕКП від 27 липня 2017 року № 981» в частині призупинення на період дії в Україні воєнного стану</w:t>
            </w:r>
            <w:r>
              <w:rPr>
                <w:rFonts w:ascii="Times New Roman" w:hAnsi="Times New Roman"/>
                <w:i/>
                <w:iCs/>
                <w:sz w:val="24"/>
                <w:szCs w:val="24"/>
              </w:rPr>
              <w:t xml:space="preserve"> зазначеного пункту</w:t>
            </w:r>
            <w:r>
              <w:rPr>
                <w:rFonts w:ascii="Times New Roman" w:hAnsi="Times New Roman"/>
                <w:sz w:val="24"/>
                <w:szCs w:val="24"/>
              </w:rPr>
              <w:t>)</w:t>
            </w:r>
          </w:p>
          <w:p w14:paraId="7EA13546" w14:textId="77777777" w:rsidR="008A46E1" w:rsidRPr="007F26C5" w:rsidRDefault="007F26C5" w:rsidP="007F26C5">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0985C874" w14:textId="77777777" w:rsidR="008A46E1" w:rsidRPr="008A46E1" w:rsidRDefault="008A46E1" w:rsidP="0096708C">
            <w:pPr>
              <w:jc w:val="both"/>
              <w:rPr>
                <w:rFonts w:ascii="Times New Roman" w:hAnsi="Times New Roman"/>
                <w:i/>
                <w:sz w:val="24"/>
                <w:szCs w:val="24"/>
              </w:rPr>
            </w:pPr>
            <w:r w:rsidRPr="008A46E1">
              <w:rPr>
                <w:rFonts w:ascii="Times New Roman" w:hAnsi="Times New Roman"/>
                <w:i/>
                <w:sz w:val="24"/>
                <w:szCs w:val="24"/>
              </w:rPr>
              <w:t>З метою врахування об’єктивного, обґрунтованого (враховуючи наявність підтверджуючого висновку) збільшення фактичного значення технологічних витрат електроенергії (особливо у військовий стан) пропонуємо повернути дію п. 2.5, 2.6 та здійснити перерахунок показників ЕКПТВЕ для 1го та 2го класів напруги на 2024 рік виходячи з фактичних обсягів за 2020-2022 роки для подальшого їх врахування в тарифах на послуги з розподілу електричної енергії.</w:t>
            </w:r>
          </w:p>
          <w:p w14:paraId="6C67ADBB" w14:textId="77777777" w:rsidR="009C1D60" w:rsidRPr="00A92167" w:rsidRDefault="009C1D60" w:rsidP="00A92167">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394" w:type="dxa"/>
          </w:tcPr>
          <w:p w14:paraId="6080C37C" w14:textId="77777777" w:rsidR="003526A2" w:rsidRPr="00836BEA" w:rsidRDefault="003526A2" w:rsidP="003526A2">
            <w:pPr>
              <w:jc w:val="both"/>
              <w:rPr>
                <w:rFonts w:ascii="Times New Roman" w:hAnsi="Times New Roman" w:cs="Times New Roman"/>
                <w:b/>
                <w:bCs/>
                <w:sz w:val="24"/>
                <w:szCs w:val="24"/>
              </w:rPr>
            </w:pPr>
            <w:r w:rsidRPr="00836BEA">
              <w:rPr>
                <w:rFonts w:ascii="Times New Roman" w:hAnsi="Times New Roman" w:cs="Times New Roman"/>
                <w:b/>
                <w:bCs/>
                <w:sz w:val="24"/>
                <w:szCs w:val="24"/>
              </w:rPr>
              <w:lastRenderedPageBreak/>
              <w:t>Не враховується</w:t>
            </w:r>
          </w:p>
          <w:p w14:paraId="46D86342" w14:textId="77777777" w:rsidR="00E96918" w:rsidRPr="007C5DBA" w:rsidRDefault="00E96918" w:rsidP="00E96918">
            <w:pPr>
              <w:pStyle w:val="a4"/>
              <w:ind w:left="29"/>
              <w:jc w:val="both"/>
              <w:rPr>
                <w:rFonts w:ascii="Times New Roman" w:hAnsi="Times New Roman" w:cs="Times New Roman"/>
                <w:b/>
                <w:sz w:val="26"/>
                <w:szCs w:val="26"/>
              </w:rPr>
            </w:pPr>
            <w:r w:rsidRPr="007C5DBA">
              <w:rPr>
                <w:rFonts w:ascii="Times New Roman" w:hAnsi="Times New Roman" w:cs="Times New Roman"/>
                <w:b/>
                <w:sz w:val="26"/>
                <w:szCs w:val="26"/>
              </w:rPr>
              <w:t>Зміни до підпункту 2.5 глави 1 не пропонувались</w:t>
            </w:r>
          </w:p>
          <w:p w14:paraId="7664B470" w14:textId="77777777" w:rsidR="009C1D60" w:rsidRPr="00A92167" w:rsidRDefault="009C1D60" w:rsidP="00A92167">
            <w:pPr>
              <w:shd w:val="clear" w:color="auto" w:fill="FFFFFF"/>
              <w:spacing w:after="150"/>
              <w:ind w:firstLine="450"/>
              <w:jc w:val="both"/>
              <w:rPr>
                <w:rFonts w:ascii="Times New Roman" w:eastAsia="Times New Roman" w:hAnsi="Times New Roman" w:cs="Times New Roman"/>
                <w:color w:val="333333"/>
                <w:sz w:val="24"/>
                <w:szCs w:val="24"/>
                <w:lang w:eastAsia="uk-UA"/>
              </w:rPr>
            </w:pPr>
          </w:p>
        </w:tc>
      </w:tr>
      <w:tr w:rsidR="004213FE" w:rsidRPr="003D580E" w14:paraId="23A235D1" w14:textId="77777777" w:rsidTr="00853FA0">
        <w:tc>
          <w:tcPr>
            <w:tcW w:w="5387" w:type="dxa"/>
          </w:tcPr>
          <w:p w14:paraId="79F3C097" w14:textId="77777777" w:rsidR="004213FE" w:rsidRDefault="004213FE" w:rsidP="004213FE">
            <w:pPr>
              <w:pStyle w:val="a4"/>
              <w:ind w:left="29"/>
              <w:jc w:val="both"/>
              <w:rPr>
                <w:rFonts w:ascii="Times New Roman" w:hAnsi="Times New Roman" w:cs="Times New Roman"/>
                <w:b/>
                <w:color w:val="FF0000"/>
                <w:sz w:val="26"/>
                <w:szCs w:val="26"/>
              </w:rPr>
            </w:pPr>
            <w:r w:rsidRPr="0096708C">
              <w:rPr>
                <w:rFonts w:ascii="Times New Roman" w:hAnsi="Times New Roman" w:cs="Times New Roman"/>
                <w:b/>
                <w:color w:val="FF0000"/>
                <w:sz w:val="26"/>
                <w:szCs w:val="26"/>
              </w:rPr>
              <w:lastRenderedPageBreak/>
              <w:t>Зміни до підпункту 2</w:t>
            </w:r>
            <w:r>
              <w:rPr>
                <w:rFonts w:ascii="Times New Roman" w:hAnsi="Times New Roman" w:cs="Times New Roman"/>
                <w:b/>
                <w:color w:val="FF0000"/>
                <w:sz w:val="26"/>
                <w:szCs w:val="26"/>
              </w:rPr>
              <w:t>.6</w:t>
            </w:r>
            <w:r w:rsidRPr="0096708C">
              <w:rPr>
                <w:rFonts w:ascii="Times New Roman" w:hAnsi="Times New Roman" w:cs="Times New Roman"/>
                <w:b/>
                <w:color w:val="FF0000"/>
                <w:sz w:val="26"/>
                <w:szCs w:val="26"/>
              </w:rPr>
              <w:t xml:space="preserve"> глави 1 не пропонувались</w:t>
            </w:r>
          </w:p>
          <w:p w14:paraId="17305A8B" w14:textId="77777777" w:rsidR="004213FE" w:rsidRPr="0096708C" w:rsidRDefault="004213FE" w:rsidP="004213FE">
            <w:pPr>
              <w:pStyle w:val="a4"/>
              <w:ind w:left="29"/>
              <w:jc w:val="both"/>
              <w:rPr>
                <w:rFonts w:ascii="Times New Roman" w:hAnsi="Times New Roman" w:cs="Times New Roman"/>
                <w:b/>
                <w:color w:val="FF0000"/>
                <w:sz w:val="26"/>
                <w:szCs w:val="26"/>
              </w:rPr>
            </w:pPr>
            <w:r w:rsidRPr="00845077">
              <w:rPr>
                <w:rFonts w:ascii="Times New Roman" w:hAnsi="Times New Roman" w:cs="Times New Roman"/>
                <w:sz w:val="26"/>
                <w:szCs w:val="26"/>
              </w:rPr>
              <w:t xml:space="preserve">2.6. У разі зміни структури споживання за останній завершений річний період, що призвела до зміни ЕКПТВЕ більше ніж на 10 % по 1 та/або 2 класах(у) напруги порівняно із ЕКПТВЕ, зафіксованим при розрахунку ЕКПТВЕ на прогнозний період, ЕКПТВЕ затверджуються відповідно до розрахунків за фактичними даними попереднього річного </w:t>
            </w:r>
            <w:r w:rsidRPr="00845077">
              <w:rPr>
                <w:rFonts w:ascii="Times New Roman" w:hAnsi="Times New Roman" w:cs="Times New Roman"/>
                <w:sz w:val="26"/>
                <w:szCs w:val="26"/>
              </w:rPr>
              <w:lastRenderedPageBreak/>
              <w:t>періоду, але не більше ніж на 10 % від діючих ЕКПТВЕ.</w:t>
            </w:r>
          </w:p>
        </w:tc>
        <w:tc>
          <w:tcPr>
            <w:tcW w:w="5387" w:type="dxa"/>
            <w:shd w:val="clear" w:color="auto" w:fill="auto"/>
          </w:tcPr>
          <w:p w14:paraId="350E3960" w14:textId="77777777" w:rsidR="004213FE" w:rsidRPr="00C63FFB" w:rsidRDefault="004213FE" w:rsidP="004213FE">
            <w:pPr>
              <w:pStyle w:val="1"/>
              <w:jc w:val="both"/>
              <w:rPr>
                <w:rFonts w:ascii="Times New Roman" w:hAnsi="Times New Roman"/>
                <w:b/>
                <w:sz w:val="24"/>
                <w:szCs w:val="24"/>
                <w:lang w:val="uk-UA"/>
              </w:rPr>
            </w:pPr>
            <w:r w:rsidRPr="00C63FFB">
              <w:rPr>
                <w:rFonts w:ascii="Times New Roman" w:hAnsi="Times New Roman"/>
                <w:b/>
                <w:sz w:val="24"/>
                <w:szCs w:val="24"/>
                <w:lang w:val="uk-UA"/>
              </w:rPr>
              <w:lastRenderedPageBreak/>
              <w:t xml:space="preserve">АТ «ХАРКІВОБЛЕНЕРГО» лист від 27.09.2023 </w:t>
            </w:r>
            <w:r w:rsidRPr="00C63FFB">
              <w:rPr>
                <w:rFonts w:ascii="Times New Roman" w:hAnsi="Times New Roman"/>
                <w:b/>
                <w:sz w:val="24"/>
                <w:szCs w:val="24"/>
                <w:highlight w:val="yellow"/>
                <w:lang w:val="uk-UA"/>
              </w:rPr>
              <w:br/>
            </w:r>
            <w:r w:rsidRPr="00C63FFB">
              <w:rPr>
                <w:rFonts w:ascii="Times New Roman" w:hAnsi="Times New Roman"/>
                <w:b/>
                <w:sz w:val="24"/>
                <w:szCs w:val="24"/>
                <w:lang w:val="uk-UA"/>
              </w:rPr>
              <w:t>№ 01-25/5771</w:t>
            </w:r>
          </w:p>
          <w:p w14:paraId="7DBBD829" w14:textId="77777777" w:rsidR="004213FE" w:rsidRDefault="004213FE" w:rsidP="004213FE">
            <w:pPr>
              <w:jc w:val="both"/>
              <w:rPr>
                <w:rFonts w:ascii="Times New Roman" w:hAnsi="Times New Roman"/>
                <w:sz w:val="24"/>
                <w:szCs w:val="24"/>
              </w:rPr>
            </w:pPr>
            <w:r w:rsidRPr="00285E46">
              <w:rPr>
                <w:rFonts w:ascii="Times New Roman" w:hAnsi="Times New Roman"/>
                <w:b/>
                <w:bCs/>
                <w:sz w:val="24"/>
                <w:szCs w:val="24"/>
              </w:rPr>
              <w:t>Повернути дію пункту 2.</w:t>
            </w:r>
            <w:r>
              <w:rPr>
                <w:rFonts w:ascii="Times New Roman" w:hAnsi="Times New Roman"/>
                <w:b/>
                <w:bCs/>
                <w:sz w:val="24"/>
                <w:szCs w:val="24"/>
              </w:rPr>
              <w:t>6</w:t>
            </w:r>
            <w:r w:rsidRPr="00285E46">
              <w:rPr>
                <w:rFonts w:ascii="Times New Roman" w:hAnsi="Times New Roman"/>
                <w:sz w:val="24"/>
                <w:szCs w:val="24"/>
              </w:rPr>
              <w:t xml:space="preserve"> (</w:t>
            </w:r>
            <w:r w:rsidRPr="00285E46">
              <w:rPr>
                <w:rFonts w:ascii="Times New Roman" w:hAnsi="Times New Roman"/>
                <w:i/>
                <w:iCs/>
                <w:sz w:val="24"/>
                <w:szCs w:val="24"/>
              </w:rPr>
              <w:t>скасувати постанову НКРЕКП від 02.12.2022 № 1598 «Про внесення змін до постанови НКРЕКП від 27 липня 2017 року № 981» в частині призупинення на період дії в Україні воєнного стану</w:t>
            </w:r>
            <w:r>
              <w:rPr>
                <w:rFonts w:ascii="Times New Roman" w:hAnsi="Times New Roman"/>
                <w:i/>
                <w:iCs/>
                <w:sz w:val="24"/>
                <w:szCs w:val="24"/>
              </w:rPr>
              <w:t xml:space="preserve"> зазначеного пункту</w:t>
            </w:r>
            <w:r>
              <w:rPr>
                <w:rFonts w:ascii="Times New Roman" w:hAnsi="Times New Roman"/>
                <w:sz w:val="24"/>
                <w:szCs w:val="24"/>
              </w:rPr>
              <w:t>)</w:t>
            </w:r>
          </w:p>
          <w:p w14:paraId="2A609741" w14:textId="77777777" w:rsidR="008A46E1" w:rsidRPr="007F26C5" w:rsidRDefault="007F26C5" w:rsidP="007F26C5">
            <w:pPr>
              <w:pStyle w:val="1"/>
              <w:jc w:val="both"/>
              <w:rPr>
                <w:rFonts w:ascii="Times New Roman" w:hAnsi="Times New Roman"/>
                <w:i/>
                <w:sz w:val="24"/>
                <w:lang w:val="uk-UA"/>
              </w:rPr>
            </w:pPr>
            <w:r w:rsidRPr="00C746AF">
              <w:rPr>
                <w:rFonts w:ascii="Times New Roman" w:hAnsi="Times New Roman"/>
                <w:i/>
                <w:sz w:val="24"/>
                <w:lang w:val="uk-UA"/>
              </w:rPr>
              <w:t>Обґрунтування</w:t>
            </w:r>
          </w:p>
          <w:p w14:paraId="569763EA" w14:textId="77777777" w:rsidR="004213FE" w:rsidRPr="008A46E1" w:rsidRDefault="008A46E1" w:rsidP="008A46E1">
            <w:pPr>
              <w:jc w:val="both"/>
              <w:rPr>
                <w:rFonts w:ascii="Times New Roman" w:hAnsi="Times New Roman"/>
                <w:i/>
                <w:sz w:val="24"/>
                <w:szCs w:val="24"/>
              </w:rPr>
            </w:pPr>
            <w:r w:rsidRPr="008A46E1">
              <w:rPr>
                <w:rFonts w:ascii="Times New Roman" w:hAnsi="Times New Roman"/>
                <w:i/>
                <w:sz w:val="24"/>
                <w:szCs w:val="24"/>
              </w:rPr>
              <w:t xml:space="preserve">З метою врахування об’єктивного, обґрунтованого (враховуючи наявність </w:t>
            </w:r>
            <w:r w:rsidRPr="008A46E1">
              <w:rPr>
                <w:rFonts w:ascii="Times New Roman" w:hAnsi="Times New Roman"/>
                <w:i/>
                <w:sz w:val="24"/>
                <w:szCs w:val="24"/>
              </w:rPr>
              <w:lastRenderedPageBreak/>
              <w:t>підтверджуючого висновку ПрАТ «Львів-</w:t>
            </w:r>
            <w:proofErr w:type="spellStart"/>
            <w:r w:rsidRPr="008A46E1">
              <w:rPr>
                <w:rFonts w:ascii="Times New Roman" w:hAnsi="Times New Roman"/>
                <w:i/>
                <w:sz w:val="24"/>
                <w:szCs w:val="24"/>
              </w:rPr>
              <w:t>оргрес</w:t>
            </w:r>
            <w:proofErr w:type="spellEnd"/>
            <w:r w:rsidRPr="008A46E1">
              <w:rPr>
                <w:rFonts w:ascii="Times New Roman" w:hAnsi="Times New Roman"/>
                <w:i/>
                <w:sz w:val="24"/>
                <w:szCs w:val="24"/>
              </w:rPr>
              <w:t>») збільшення фактичного значення технологічних витрат електроенергії (особливо у військовий стан) пропонуємо повернути дію п. 2.5, 2.6 та здійснити перерахунок показників ЕКПТВЕ для 1го та 2го класів напруги на 2024 рік виходячи з фактичних обсягів за 2020-2022 роки для подальшого їх врахування в тарифах на послуги з розподілу електричної енергії.</w:t>
            </w:r>
          </w:p>
        </w:tc>
        <w:tc>
          <w:tcPr>
            <w:tcW w:w="4394" w:type="dxa"/>
          </w:tcPr>
          <w:p w14:paraId="08E0F6E8" w14:textId="77777777" w:rsidR="003526A2" w:rsidRPr="00836BEA" w:rsidRDefault="003526A2" w:rsidP="003526A2">
            <w:pPr>
              <w:jc w:val="both"/>
              <w:rPr>
                <w:rFonts w:ascii="Times New Roman" w:hAnsi="Times New Roman" w:cs="Times New Roman"/>
                <w:b/>
                <w:bCs/>
                <w:sz w:val="24"/>
                <w:szCs w:val="24"/>
              </w:rPr>
            </w:pPr>
            <w:r w:rsidRPr="00836BEA">
              <w:rPr>
                <w:rFonts w:ascii="Times New Roman" w:hAnsi="Times New Roman" w:cs="Times New Roman"/>
                <w:b/>
                <w:bCs/>
                <w:sz w:val="24"/>
                <w:szCs w:val="24"/>
              </w:rPr>
              <w:lastRenderedPageBreak/>
              <w:t>Не враховується</w:t>
            </w:r>
          </w:p>
          <w:p w14:paraId="396CCF2A" w14:textId="77777777" w:rsidR="00E96918" w:rsidRPr="007C5DBA" w:rsidRDefault="00E96918" w:rsidP="00E96918">
            <w:pPr>
              <w:pStyle w:val="a4"/>
              <w:ind w:left="29"/>
              <w:jc w:val="both"/>
              <w:rPr>
                <w:rFonts w:ascii="Times New Roman" w:hAnsi="Times New Roman" w:cs="Times New Roman"/>
                <w:b/>
                <w:sz w:val="26"/>
                <w:szCs w:val="26"/>
              </w:rPr>
            </w:pPr>
            <w:r w:rsidRPr="007C5DBA">
              <w:rPr>
                <w:rFonts w:ascii="Times New Roman" w:hAnsi="Times New Roman" w:cs="Times New Roman"/>
                <w:b/>
                <w:sz w:val="26"/>
                <w:szCs w:val="26"/>
              </w:rPr>
              <w:t>Зміни до підпункту 2.6 глави 1 не пропонувались</w:t>
            </w:r>
          </w:p>
          <w:p w14:paraId="1E545088" w14:textId="77777777" w:rsidR="004213FE" w:rsidRPr="00CF29A3" w:rsidRDefault="004213FE"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tc>
      </w:tr>
      <w:tr w:rsidR="004213FE" w:rsidRPr="003D580E" w14:paraId="18AE13C3" w14:textId="77777777" w:rsidTr="00853FA0">
        <w:tc>
          <w:tcPr>
            <w:tcW w:w="5387" w:type="dxa"/>
          </w:tcPr>
          <w:p w14:paraId="20F7668C" w14:textId="77777777" w:rsidR="004213FE" w:rsidRPr="0096708C" w:rsidRDefault="004213FE" w:rsidP="00883C27">
            <w:pPr>
              <w:pStyle w:val="a4"/>
              <w:ind w:left="29"/>
              <w:jc w:val="both"/>
              <w:rPr>
                <w:rFonts w:ascii="Times New Roman" w:hAnsi="Times New Roman" w:cs="Times New Roman"/>
                <w:b/>
                <w:color w:val="FF0000"/>
                <w:sz w:val="26"/>
                <w:szCs w:val="26"/>
              </w:rPr>
            </w:pPr>
          </w:p>
        </w:tc>
        <w:tc>
          <w:tcPr>
            <w:tcW w:w="5387" w:type="dxa"/>
            <w:shd w:val="clear" w:color="auto" w:fill="auto"/>
          </w:tcPr>
          <w:p w14:paraId="4E25D79C" w14:textId="77777777" w:rsidR="00A7674C" w:rsidRPr="007C5DBA" w:rsidRDefault="00C63FFB" w:rsidP="00A7674C">
            <w:pPr>
              <w:shd w:val="clear" w:color="auto" w:fill="FFFFFF"/>
              <w:spacing w:after="150"/>
              <w:jc w:val="both"/>
              <w:rPr>
                <w:rFonts w:ascii="Times New Roman" w:hAnsi="Times New Roman" w:cs="Times New Roman"/>
                <w:b/>
                <w:bCs/>
                <w:sz w:val="24"/>
                <w:szCs w:val="24"/>
              </w:rPr>
            </w:pPr>
            <w:r w:rsidRPr="007C5DBA">
              <w:rPr>
                <w:rFonts w:ascii="Times New Roman" w:hAnsi="Times New Roman" w:cs="Times New Roman"/>
                <w:b/>
                <w:bCs/>
                <w:sz w:val="24"/>
                <w:szCs w:val="24"/>
              </w:rPr>
              <w:t>Загальні зауваження</w:t>
            </w:r>
            <w:r w:rsidR="002766BD" w:rsidRPr="007C5DBA">
              <w:rPr>
                <w:rFonts w:ascii="Times New Roman" w:hAnsi="Times New Roman" w:cs="Times New Roman"/>
                <w:b/>
                <w:bCs/>
                <w:sz w:val="24"/>
                <w:szCs w:val="24"/>
              </w:rPr>
              <w:t xml:space="preserve"> </w:t>
            </w:r>
            <w:r w:rsidR="00A7674C" w:rsidRPr="007C5DBA">
              <w:rPr>
                <w:rFonts w:ascii="Times New Roman" w:hAnsi="Times New Roman" w:cs="Times New Roman"/>
                <w:b/>
                <w:bCs/>
                <w:sz w:val="24"/>
                <w:szCs w:val="24"/>
              </w:rPr>
              <w:t xml:space="preserve">та пропозиції </w:t>
            </w:r>
            <w:r w:rsidR="002766BD" w:rsidRPr="007C5DBA">
              <w:rPr>
                <w:rFonts w:ascii="Times New Roman" w:hAnsi="Times New Roman" w:cs="Times New Roman"/>
                <w:b/>
                <w:bCs/>
                <w:sz w:val="24"/>
                <w:szCs w:val="24"/>
              </w:rPr>
              <w:t xml:space="preserve">до </w:t>
            </w:r>
            <w:proofErr w:type="spellStart"/>
            <w:r w:rsidR="002766BD" w:rsidRPr="007C5DBA">
              <w:rPr>
                <w:rFonts w:ascii="Times New Roman" w:hAnsi="Times New Roman" w:cs="Times New Roman"/>
                <w:b/>
                <w:bCs/>
                <w:sz w:val="24"/>
                <w:szCs w:val="24"/>
              </w:rPr>
              <w:t>Поєкт</w:t>
            </w:r>
            <w:r w:rsidR="00A7674C" w:rsidRPr="007C5DBA">
              <w:rPr>
                <w:rFonts w:ascii="Times New Roman" w:hAnsi="Times New Roman" w:cs="Times New Roman"/>
                <w:b/>
                <w:bCs/>
                <w:sz w:val="24"/>
                <w:szCs w:val="24"/>
              </w:rPr>
              <w:t>у</w:t>
            </w:r>
            <w:proofErr w:type="spellEnd"/>
            <w:r w:rsidR="00A7674C" w:rsidRPr="007C5DBA">
              <w:rPr>
                <w:rFonts w:ascii="Times New Roman" w:hAnsi="Times New Roman" w:cs="Times New Roman"/>
                <w:b/>
                <w:bCs/>
                <w:sz w:val="24"/>
                <w:szCs w:val="24"/>
              </w:rPr>
              <w:t xml:space="preserve"> змін до</w:t>
            </w:r>
            <w:r w:rsidR="002766BD" w:rsidRPr="007C5DBA">
              <w:rPr>
                <w:rFonts w:ascii="Times New Roman" w:hAnsi="Times New Roman" w:cs="Times New Roman"/>
                <w:b/>
                <w:bCs/>
                <w:sz w:val="24"/>
                <w:szCs w:val="24"/>
              </w:rPr>
              <w:t xml:space="preserve"> постанов НКРЕКП від 23.07.2013  </w:t>
            </w:r>
            <w:r w:rsidR="00535375" w:rsidRPr="007C5DBA">
              <w:rPr>
                <w:rFonts w:ascii="Times New Roman" w:hAnsi="Times New Roman" w:cs="Times New Roman"/>
                <w:b/>
                <w:bCs/>
                <w:sz w:val="24"/>
                <w:szCs w:val="24"/>
              </w:rPr>
              <w:br/>
            </w:r>
            <w:r w:rsidR="002766BD" w:rsidRPr="007C5DBA">
              <w:rPr>
                <w:rFonts w:ascii="Times New Roman" w:hAnsi="Times New Roman" w:cs="Times New Roman"/>
                <w:b/>
                <w:bCs/>
                <w:sz w:val="24"/>
                <w:szCs w:val="24"/>
              </w:rPr>
              <w:t>№ 1009</w:t>
            </w:r>
            <w:r w:rsidR="00FC70AA" w:rsidRPr="007C5DBA">
              <w:rPr>
                <w:rFonts w:ascii="Times New Roman" w:hAnsi="Times New Roman" w:cs="Times New Roman"/>
                <w:b/>
                <w:bCs/>
                <w:sz w:val="24"/>
                <w:szCs w:val="24"/>
              </w:rPr>
              <w:t>, від 05.10.2018 № 1175 та від 27.07.2017 № 981</w:t>
            </w:r>
          </w:p>
          <w:p w14:paraId="1CCD51D8" w14:textId="77777777" w:rsidR="00C63FFB" w:rsidRPr="00535375" w:rsidRDefault="00C63FFB" w:rsidP="00A7674C">
            <w:pPr>
              <w:shd w:val="clear" w:color="auto" w:fill="FFFFFF"/>
              <w:spacing w:after="150"/>
              <w:jc w:val="both"/>
              <w:rPr>
                <w:rFonts w:ascii="Times New Roman" w:hAnsi="Times New Roman" w:cs="Times New Roman"/>
                <w:b/>
                <w:bCs/>
                <w:color w:val="000000" w:themeColor="text1"/>
                <w:sz w:val="24"/>
                <w:szCs w:val="24"/>
              </w:rPr>
            </w:pPr>
            <w:r w:rsidRPr="00535375">
              <w:rPr>
                <w:rFonts w:ascii="Times New Roman" w:hAnsi="Times New Roman" w:cs="Times New Roman"/>
                <w:b/>
                <w:bCs/>
                <w:color w:val="000000" w:themeColor="text1"/>
                <w:sz w:val="24"/>
                <w:szCs w:val="24"/>
              </w:rPr>
              <w:t>ПРОЄКТ ЕНЕРГЕТИЧНОЇ БЕЗПЕКИ</w:t>
            </w:r>
            <w:r w:rsidR="00A7674C" w:rsidRPr="00535375">
              <w:rPr>
                <w:rFonts w:ascii="Times New Roman" w:hAnsi="Times New Roman" w:cs="Times New Roman"/>
                <w:b/>
                <w:bCs/>
                <w:color w:val="000000" w:themeColor="text1"/>
                <w:sz w:val="24"/>
                <w:szCs w:val="24"/>
              </w:rPr>
              <w:t xml:space="preserve"> (ПЕБ)</w:t>
            </w:r>
            <w:r w:rsidRPr="00535375">
              <w:rPr>
                <w:rFonts w:ascii="Times New Roman" w:hAnsi="Times New Roman" w:cs="Times New Roman"/>
                <w:b/>
                <w:bCs/>
                <w:color w:val="000000" w:themeColor="text1"/>
                <w:sz w:val="24"/>
                <w:szCs w:val="24"/>
              </w:rPr>
              <w:t xml:space="preserve"> лист від 29.09.2023 № ESP-251-NEURC-2023-09-29</w:t>
            </w:r>
          </w:p>
          <w:p w14:paraId="0BC97A9A" w14:textId="77777777" w:rsidR="00A7674C" w:rsidRPr="00A7674C" w:rsidRDefault="00A7674C" w:rsidP="00A7674C">
            <w:pPr>
              <w:shd w:val="clear" w:color="auto" w:fill="FFFFFF"/>
              <w:jc w:val="both"/>
              <w:rPr>
                <w:rFonts w:ascii="Times New Roman" w:hAnsi="Times New Roman" w:cs="Times New Roman"/>
                <w:color w:val="000000" w:themeColor="text1"/>
                <w:sz w:val="24"/>
                <w:szCs w:val="24"/>
              </w:rPr>
            </w:pPr>
            <w:r w:rsidRPr="00A7674C">
              <w:rPr>
                <w:rFonts w:ascii="Times New Roman" w:hAnsi="Times New Roman" w:cs="Times New Roman"/>
                <w:color w:val="000000" w:themeColor="text1"/>
                <w:sz w:val="24"/>
                <w:szCs w:val="24"/>
              </w:rPr>
              <w:t xml:space="preserve">Підтримує застосування регуляторної норми доходу на </w:t>
            </w:r>
            <w:proofErr w:type="spellStart"/>
            <w:r w:rsidRPr="00A7674C">
              <w:rPr>
                <w:rFonts w:ascii="Times New Roman" w:hAnsi="Times New Roman" w:cs="Times New Roman"/>
                <w:color w:val="000000" w:themeColor="text1"/>
                <w:sz w:val="24"/>
                <w:szCs w:val="24"/>
              </w:rPr>
              <w:t>РБАнов</w:t>
            </w:r>
            <w:proofErr w:type="spellEnd"/>
            <w:r w:rsidRPr="00A7674C">
              <w:rPr>
                <w:rFonts w:ascii="Times New Roman" w:hAnsi="Times New Roman" w:cs="Times New Roman"/>
                <w:color w:val="000000" w:themeColor="text1"/>
                <w:sz w:val="24"/>
                <w:szCs w:val="24"/>
              </w:rPr>
              <w:t xml:space="preserve"> на рівні 0,03 відносних одиниць для 2024 року. </w:t>
            </w:r>
          </w:p>
          <w:p w14:paraId="4B712316" w14:textId="77777777" w:rsidR="00A7674C" w:rsidRPr="00A7674C" w:rsidRDefault="00A7674C" w:rsidP="00A7674C">
            <w:pPr>
              <w:shd w:val="clear" w:color="auto" w:fill="FFFFFF"/>
              <w:jc w:val="both"/>
              <w:rPr>
                <w:rFonts w:ascii="Times New Roman" w:hAnsi="Times New Roman" w:cs="Times New Roman"/>
                <w:color w:val="000000" w:themeColor="text1"/>
                <w:sz w:val="24"/>
                <w:szCs w:val="24"/>
              </w:rPr>
            </w:pPr>
            <w:r w:rsidRPr="00A7674C">
              <w:rPr>
                <w:rFonts w:ascii="Times New Roman" w:hAnsi="Times New Roman" w:cs="Times New Roman"/>
                <w:color w:val="000000" w:themeColor="text1"/>
                <w:sz w:val="24"/>
                <w:szCs w:val="24"/>
              </w:rPr>
              <w:t xml:space="preserve">Економія в тарифах 2024 року від запровадження даного заходу складе близько 1.5 млрд. грн. Однак, починаючи з наступного регуляторного періоду в 2025 році, ПЕБ рекомендує провести моніторинг виконання інвестиційних програм та всіх показників ефективності під час війни з метою запровадження цільових показників, враховуючи ступінь пошкодження активів, зниження обсягів розподілу, та застосовувати регуляторну норму доходу на </w:t>
            </w:r>
            <w:proofErr w:type="spellStart"/>
            <w:r w:rsidRPr="00A7674C">
              <w:rPr>
                <w:rFonts w:ascii="Times New Roman" w:hAnsi="Times New Roman" w:cs="Times New Roman"/>
                <w:color w:val="000000" w:themeColor="text1"/>
                <w:sz w:val="24"/>
                <w:szCs w:val="24"/>
              </w:rPr>
              <w:t>РБАнов</w:t>
            </w:r>
            <w:proofErr w:type="spellEnd"/>
            <w:r w:rsidRPr="00A7674C">
              <w:rPr>
                <w:rFonts w:ascii="Times New Roman" w:hAnsi="Times New Roman" w:cs="Times New Roman"/>
                <w:color w:val="000000" w:themeColor="text1"/>
                <w:sz w:val="24"/>
                <w:szCs w:val="24"/>
              </w:rPr>
              <w:t xml:space="preserve"> відповідно до середніх показників вартості боргу та вартості власного капіталу, яка може відрізнятися для кожного ОСР</w:t>
            </w:r>
            <w:r>
              <w:rPr>
                <w:rFonts w:ascii="Times New Roman" w:hAnsi="Times New Roman" w:cs="Times New Roman"/>
                <w:color w:val="000000" w:themeColor="text1"/>
                <w:sz w:val="24"/>
                <w:szCs w:val="24"/>
              </w:rPr>
              <w:t>.</w:t>
            </w:r>
          </w:p>
          <w:p w14:paraId="4E5BE539" w14:textId="77777777" w:rsidR="00A7674C" w:rsidRDefault="00A7674C" w:rsidP="00A7674C">
            <w:pPr>
              <w:pStyle w:val="af"/>
              <w:widowControl w:val="0"/>
              <w:snapToGrid w:val="0"/>
              <w:spacing w:after="0" w:line="240" w:lineRule="auto"/>
              <w:ind w:left="41" w:hanging="41"/>
              <w:jc w:val="both"/>
              <w:rPr>
                <w:rFonts w:eastAsiaTheme="minorHAnsi"/>
                <w:color w:val="000000" w:themeColor="text1"/>
                <w:sz w:val="24"/>
                <w:szCs w:val="24"/>
                <w:lang w:eastAsia="en-US"/>
              </w:rPr>
            </w:pPr>
          </w:p>
          <w:p w14:paraId="36759A91" w14:textId="77777777" w:rsidR="00A7674C" w:rsidRDefault="00A7674C" w:rsidP="00A7674C">
            <w:pPr>
              <w:pStyle w:val="af"/>
              <w:widowControl w:val="0"/>
              <w:snapToGrid w:val="0"/>
              <w:spacing w:after="0" w:line="240" w:lineRule="auto"/>
              <w:ind w:left="41"/>
              <w:jc w:val="both"/>
              <w:rPr>
                <w:rFonts w:eastAsiaTheme="minorHAnsi"/>
                <w:color w:val="000000" w:themeColor="text1"/>
                <w:sz w:val="24"/>
                <w:szCs w:val="24"/>
                <w:lang w:eastAsia="en-US"/>
              </w:rPr>
            </w:pPr>
            <w:r w:rsidRPr="00A7674C">
              <w:rPr>
                <w:rFonts w:eastAsiaTheme="minorHAnsi"/>
                <w:color w:val="000000" w:themeColor="text1"/>
                <w:sz w:val="24"/>
                <w:szCs w:val="24"/>
                <w:lang w:eastAsia="en-US"/>
              </w:rPr>
              <w:t xml:space="preserve">Підтримує відміну застосування показників ефективності для операційних контрольованих витрат та технологічних витрат для першого та </w:t>
            </w:r>
            <w:r w:rsidRPr="00A7674C">
              <w:rPr>
                <w:rFonts w:eastAsiaTheme="minorHAnsi"/>
                <w:color w:val="000000" w:themeColor="text1"/>
                <w:sz w:val="24"/>
                <w:szCs w:val="24"/>
                <w:lang w:eastAsia="en-US"/>
              </w:rPr>
              <w:lastRenderedPageBreak/>
              <w:t>другого класу напруги у зв’язку з низьким показником виконання інвестиційної програми за 2022 - 2023 роки, пошкодженнями об’єктів критичної інфраструктури та високим ризиком даних пошкоджень в майбутньому</w:t>
            </w:r>
          </w:p>
          <w:p w14:paraId="58B784DD" w14:textId="77777777" w:rsidR="00A7674C" w:rsidRDefault="00A7674C" w:rsidP="00A7674C">
            <w:pPr>
              <w:pStyle w:val="af"/>
              <w:widowControl w:val="0"/>
              <w:snapToGrid w:val="0"/>
              <w:spacing w:after="0" w:line="240" w:lineRule="auto"/>
              <w:ind w:left="41" w:hanging="41"/>
              <w:jc w:val="both"/>
              <w:rPr>
                <w:rFonts w:eastAsiaTheme="minorHAnsi"/>
                <w:color w:val="000000" w:themeColor="text1"/>
                <w:sz w:val="24"/>
                <w:szCs w:val="24"/>
                <w:lang w:eastAsia="en-US"/>
              </w:rPr>
            </w:pPr>
          </w:p>
          <w:p w14:paraId="13710A79" w14:textId="7C0422CD" w:rsidR="00A7674C" w:rsidRPr="00A7674C" w:rsidRDefault="00A7674C" w:rsidP="00A7674C">
            <w:pPr>
              <w:pStyle w:val="af"/>
              <w:widowControl w:val="0"/>
              <w:snapToGrid w:val="0"/>
              <w:spacing w:after="0" w:line="240" w:lineRule="auto"/>
              <w:ind w:left="41"/>
              <w:jc w:val="both"/>
              <w:rPr>
                <w:rFonts w:eastAsiaTheme="minorHAnsi"/>
                <w:color w:val="000000" w:themeColor="text1"/>
                <w:sz w:val="24"/>
                <w:szCs w:val="24"/>
                <w:lang w:eastAsia="en-US"/>
              </w:rPr>
            </w:pPr>
            <w:r w:rsidRPr="00A7674C">
              <w:rPr>
                <w:rFonts w:eastAsiaTheme="minorHAnsi"/>
                <w:color w:val="000000" w:themeColor="text1"/>
                <w:sz w:val="24"/>
                <w:szCs w:val="24"/>
                <w:lang w:eastAsia="en-US"/>
              </w:rPr>
              <w:t>Підтримує запровадження компенсаційного заходу щодо застосування амортизації РБА0 в розмірі, затвердженому в тарифах 2023 року, без проведення коригування на 50% до досягнення рівня А</w:t>
            </w:r>
            <w:r w:rsidRPr="00A7674C">
              <w:rPr>
                <w:rFonts w:eastAsiaTheme="minorHAnsi"/>
                <w:color w:val="000000" w:themeColor="text1"/>
                <w:sz w:val="24"/>
                <w:szCs w:val="24"/>
                <w:vertAlign w:val="subscript"/>
                <w:lang w:eastAsia="en-US"/>
              </w:rPr>
              <w:t>0</w:t>
            </w:r>
            <w:r w:rsidRPr="00A7674C">
              <w:rPr>
                <w:rFonts w:eastAsiaTheme="minorHAnsi"/>
                <w:color w:val="000000" w:themeColor="text1"/>
                <w:sz w:val="24"/>
                <w:szCs w:val="24"/>
                <w:lang w:eastAsia="en-US"/>
              </w:rPr>
              <w:t xml:space="preserve">. </w:t>
            </w:r>
          </w:p>
          <w:p w14:paraId="72AB84EB" w14:textId="77777777" w:rsidR="00A7674C" w:rsidRPr="00A7674C" w:rsidRDefault="00A7674C" w:rsidP="00A7674C">
            <w:pPr>
              <w:pStyle w:val="af"/>
              <w:widowControl w:val="0"/>
              <w:snapToGrid w:val="0"/>
              <w:spacing w:after="0" w:line="240" w:lineRule="auto"/>
              <w:ind w:left="41" w:hanging="41"/>
              <w:jc w:val="both"/>
              <w:rPr>
                <w:rFonts w:eastAsiaTheme="minorHAnsi"/>
                <w:color w:val="000000" w:themeColor="text1"/>
                <w:sz w:val="24"/>
                <w:szCs w:val="24"/>
                <w:lang w:eastAsia="en-US"/>
              </w:rPr>
            </w:pPr>
          </w:p>
          <w:p w14:paraId="391717B8" w14:textId="77777777" w:rsidR="00A7674C" w:rsidRDefault="00A7674C" w:rsidP="00A7674C">
            <w:pPr>
              <w:pStyle w:val="af"/>
              <w:widowControl w:val="0"/>
              <w:snapToGrid w:val="0"/>
              <w:spacing w:after="0" w:line="240" w:lineRule="auto"/>
              <w:ind w:left="41"/>
              <w:jc w:val="both"/>
              <w:rPr>
                <w:rFonts w:eastAsiaTheme="minorHAnsi"/>
                <w:color w:val="000000" w:themeColor="text1"/>
                <w:sz w:val="24"/>
                <w:szCs w:val="24"/>
                <w:lang w:eastAsia="en-US"/>
              </w:rPr>
            </w:pPr>
            <w:r w:rsidRPr="00A7674C">
              <w:rPr>
                <w:rFonts w:eastAsiaTheme="minorHAnsi"/>
                <w:color w:val="000000" w:themeColor="text1"/>
                <w:sz w:val="24"/>
                <w:szCs w:val="24"/>
                <w:lang w:eastAsia="en-US"/>
              </w:rPr>
              <w:t>Підтримує незастосування коригування необхідного доходу відповідно до даних виконання цільового показника якості послуг за 2023 рік</w:t>
            </w:r>
            <w:r w:rsidR="00087247">
              <w:rPr>
                <w:rFonts w:eastAsiaTheme="minorHAnsi"/>
                <w:color w:val="000000" w:themeColor="text1"/>
                <w:sz w:val="24"/>
                <w:szCs w:val="24"/>
                <w:lang w:eastAsia="en-US"/>
              </w:rPr>
              <w:t>.</w:t>
            </w:r>
          </w:p>
          <w:p w14:paraId="45F5BA7F" w14:textId="77777777" w:rsidR="00087247" w:rsidRDefault="00087247" w:rsidP="00A7674C">
            <w:pPr>
              <w:pStyle w:val="af"/>
              <w:widowControl w:val="0"/>
              <w:snapToGrid w:val="0"/>
              <w:spacing w:after="0" w:line="240" w:lineRule="auto"/>
              <w:ind w:left="41"/>
              <w:jc w:val="both"/>
              <w:rPr>
                <w:rFonts w:eastAsiaTheme="minorHAnsi"/>
                <w:color w:val="000000" w:themeColor="text1"/>
                <w:sz w:val="24"/>
                <w:szCs w:val="24"/>
                <w:lang w:eastAsia="en-US"/>
              </w:rPr>
            </w:pPr>
          </w:p>
          <w:p w14:paraId="7F006D01" w14:textId="77777777" w:rsidR="004213FE" w:rsidRPr="00A7674C" w:rsidRDefault="00087247" w:rsidP="00087247">
            <w:pPr>
              <w:pStyle w:val="af"/>
              <w:widowControl w:val="0"/>
              <w:snapToGrid w:val="0"/>
              <w:spacing w:after="0" w:line="240" w:lineRule="auto"/>
              <w:ind w:left="41"/>
              <w:jc w:val="both"/>
              <w:rPr>
                <w:rFonts w:eastAsiaTheme="minorHAnsi"/>
                <w:color w:val="000000" w:themeColor="text1"/>
                <w:sz w:val="24"/>
                <w:szCs w:val="24"/>
                <w:lang w:eastAsia="en-US"/>
              </w:rPr>
            </w:pPr>
            <w:r>
              <w:rPr>
                <w:color w:val="000000" w:themeColor="text1"/>
                <w:sz w:val="24"/>
                <w:szCs w:val="24"/>
              </w:rPr>
              <w:t>Пропонує п</w:t>
            </w:r>
            <w:r w:rsidRPr="00087247">
              <w:rPr>
                <w:color w:val="000000" w:themeColor="text1"/>
                <w:sz w:val="24"/>
                <w:szCs w:val="24"/>
              </w:rPr>
              <w:t xml:space="preserve">ри коригуванні операційних контрольованих витрат тарифів ОСР на прогнозний індекс цін виробників промислової продукції (ІЦВ) та операційних неконтрольованих витрат тарифів ОСР на прогнозний індекс споживчих цін (ІСЦ), необхідно використовувати показники, які закладалися при розробці </w:t>
            </w:r>
            <w:proofErr w:type="spellStart"/>
            <w:r w:rsidRPr="00087247">
              <w:rPr>
                <w:color w:val="000000" w:themeColor="text1"/>
                <w:sz w:val="24"/>
                <w:szCs w:val="24"/>
              </w:rPr>
              <w:t>проєкту</w:t>
            </w:r>
            <w:proofErr w:type="spellEnd"/>
            <w:r w:rsidRPr="00087247">
              <w:rPr>
                <w:color w:val="000000" w:themeColor="text1"/>
                <w:sz w:val="24"/>
                <w:szCs w:val="24"/>
              </w:rPr>
              <w:t xml:space="preserve"> Державного Бюджету на 2024 рік, а саме: ІЦВ – 112</w:t>
            </w:r>
            <w:r w:rsidR="009C7772">
              <w:rPr>
                <w:color w:val="000000" w:themeColor="text1"/>
                <w:sz w:val="24"/>
                <w:szCs w:val="24"/>
              </w:rPr>
              <w:t>,</w:t>
            </w:r>
            <w:r w:rsidRPr="00087247">
              <w:rPr>
                <w:color w:val="000000" w:themeColor="text1"/>
                <w:sz w:val="24"/>
                <w:szCs w:val="24"/>
              </w:rPr>
              <w:t>5 % та ІСЦ – 113</w:t>
            </w:r>
            <w:r w:rsidR="009C7772">
              <w:rPr>
                <w:color w:val="000000" w:themeColor="text1"/>
                <w:sz w:val="24"/>
                <w:szCs w:val="24"/>
              </w:rPr>
              <w:t>,</w:t>
            </w:r>
            <w:r w:rsidRPr="00087247">
              <w:rPr>
                <w:color w:val="000000" w:themeColor="text1"/>
                <w:sz w:val="24"/>
                <w:szCs w:val="24"/>
              </w:rPr>
              <w:t>8%.</w:t>
            </w:r>
          </w:p>
        </w:tc>
        <w:tc>
          <w:tcPr>
            <w:tcW w:w="4394" w:type="dxa"/>
          </w:tcPr>
          <w:p w14:paraId="4E62BB85" w14:textId="77777777" w:rsidR="004213FE" w:rsidRDefault="004213FE"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3CC0B668" w14:textId="77777777" w:rsidR="00087247" w:rsidRDefault="00087247"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48228C7F" w14:textId="77777777" w:rsidR="00087247" w:rsidRDefault="00087247"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7074C05F" w14:textId="77777777" w:rsidR="009C7772" w:rsidRPr="009C7772" w:rsidRDefault="009C7772" w:rsidP="009C7772">
            <w:pPr>
              <w:shd w:val="clear" w:color="auto" w:fill="FFFFFF"/>
              <w:spacing w:after="150"/>
              <w:jc w:val="both"/>
              <w:rPr>
                <w:rFonts w:ascii="Times New Roman" w:eastAsia="Times New Roman" w:hAnsi="Times New Roman" w:cs="Times New Roman"/>
                <w:b/>
                <w:bCs/>
                <w:sz w:val="24"/>
                <w:szCs w:val="24"/>
                <w:lang w:eastAsia="uk-UA"/>
              </w:rPr>
            </w:pPr>
            <w:r w:rsidRPr="009C7772">
              <w:rPr>
                <w:rFonts w:ascii="Times New Roman" w:eastAsia="Times New Roman" w:hAnsi="Times New Roman" w:cs="Times New Roman"/>
                <w:b/>
                <w:bCs/>
                <w:sz w:val="24"/>
                <w:szCs w:val="24"/>
                <w:lang w:eastAsia="uk-UA"/>
              </w:rPr>
              <w:t>Прийнято до відома</w:t>
            </w:r>
          </w:p>
          <w:p w14:paraId="4A04ED5A" w14:textId="77777777" w:rsidR="00087247" w:rsidRDefault="00087247"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3A1284D1"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737E07B6"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44FABD63"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62406AEF"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5C534936"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022C7629"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7EBDB8B1"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4F63482D"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2ED4CA14"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3459320A" w14:textId="77777777" w:rsidR="008A46E1" w:rsidRDefault="008A46E1" w:rsidP="009C7772">
            <w:pPr>
              <w:shd w:val="clear" w:color="auto" w:fill="FFFFFF"/>
              <w:spacing w:after="150"/>
              <w:jc w:val="both"/>
              <w:rPr>
                <w:rFonts w:ascii="Times New Roman" w:eastAsia="Times New Roman" w:hAnsi="Times New Roman" w:cs="Times New Roman"/>
                <w:b/>
                <w:bCs/>
                <w:sz w:val="24"/>
                <w:szCs w:val="24"/>
                <w:lang w:eastAsia="uk-UA"/>
              </w:rPr>
            </w:pPr>
          </w:p>
          <w:p w14:paraId="5CE17C21" w14:textId="77777777" w:rsidR="008A46E1" w:rsidRPr="008A46E1" w:rsidRDefault="008A46E1" w:rsidP="009C7772">
            <w:pPr>
              <w:shd w:val="clear" w:color="auto" w:fill="FFFFFF"/>
              <w:spacing w:after="150"/>
              <w:jc w:val="both"/>
              <w:rPr>
                <w:rFonts w:ascii="Times New Roman" w:eastAsia="Times New Roman" w:hAnsi="Times New Roman" w:cs="Times New Roman"/>
                <w:b/>
                <w:bCs/>
                <w:sz w:val="10"/>
                <w:szCs w:val="24"/>
                <w:lang w:eastAsia="uk-UA"/>
              </w:rPr>
            </w:pPr>
          </w:p>
          <w:p w14:paraId="5163D74D" w14:textId="77777777" w:rsidR="009C7772" w:rsidRPr="009C7772" w:rsidRDefault="009C7772" w:rsidP="009C7772">
            <w:pPr>
              <w:shd w:val="clear" w:color="auto" w:fill="FFFFFF"/>
              <w:spacing w:after="150"/>
              <w:jc w:val="both"/>
              <w:rPr>
                <w:rFonts w:ascii="Times New Roman" w:eastAsia="Times New Roman" w:hAnsi="Times New Roman" w:cs="Times New Roman"/>
                <w:b/>
                <w:bCs/>
                <w:sz w:val="24"/>
                <w:szCs w:val="24"/>
                <w:lang w:eastAsia="uk-UA"/>
              </w:rPr>
            </w:pPr>
            <w:r w:rsidRPr="009C7772">
              <w:rPr>
                <w:rFonts w:ascii="Times New Roman" w:eastAsia="Times New Roman" w:hAnsi="Times New Roman" w:cs="Times New Roman"/>
                <w:b/>
                <w:bCs/>
                <w:sz w:val="24"/>
                <w:szCs w:val="24"/>
                <w:lang w:eastAsia="uk-UA"/>
              </w:rPr>
              <w:t>Прийнято до відома</w:t>
            </w:r>
          </w:p>
          <w:p w14:paraId="7E479297"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1ACFA118"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2A63E179"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54CDAAEF" w14:textId="77777777" w:rsidR="009C7772" w:rsidRPr="008A46E1" w:rsidRDefault="009C7772" w:rsidP="009C7772">
            <w:pPr>
              <w:shd w:val="clear" w:color="auto" w:fill="FFFFFF"/>
              <w:spacing w:after="150"/>
              <w:jc w:val="both"/>
              <w:rPr>
                <w:rFonts w:ascii="Times New Roman" w:eastAsia="Times New Roman" w:hAnsi="Times New Roman" w:cs="Times New Roman"/>
                <w:b/>
                <w:bCs/>
                <w:color w:val="FF0000"/>
                <w:sz w:val="52"/>
                <w:szCs w:val="24"/>
                <w:lang w:eastAsia="uk-UA"/>
              </w:rPr>
            </w:pPr>
          </w:p>
          <w:p w14:paraId="712373B4" w14:textId="77777777" w:rsidR="009C7772" w:rsidRPr="009C7772" w:rsidRDefault="009C7772" w:rsidP="009C7772">
            <w:pPr>
              <w:shd w:val="clear" w:color="auto" w:fill="FFFFFF"/>
              <w:spacing w:after="150"/>
              <w:jc w:val="both"/>
              <w:rPr>
                <w:rFonts w:ascii="Times New Roman" w:eastAsia="Times New Roman" w:hAnsi="Times New Roman" w:cs="Times New Roman"/>
                <w:b/>
                <w:bCs/>
                <w:sz w:val="24"/>
                <w:szCs w:val="24"/>
                <w:lang w:eastAsia="uk-UA"/>
              </w:rPr>
            </w:pPr>
            <w:r w:rsidRPr="009C7772">
              <w:rPr>
                <w:rFonts w:ascii="Times New Roman" w:eastAsia="Times New Roman" w:hAnsi="Times New Roman" w:cs="Times New Roman"/>
                <w:b/>
                <w:bCs/>
                <w:sz w:val="24"/>
                <w:szCs w:val="24"/>
                <w:lang w:eastAsia="uk-UA"/>
              </w:rPr>
              <w:t>Прийнято до відома</w:t>
            </w:r>
          </w:p>
          <w:p w14:paraId="781ABB45"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348F4213"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76E69E0D"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1736CFA6" w14:textId="77777777" w:rsidR="009C7772" w:rsidRPr="009C7772" w:rsidRDefault="009C7772" w:rsidP="009C7772">
            <w:pPr>
              <w:shd w:val="clear" w:color="auto" w:fill="FFFFFF"/>
              <w:spacing w:after="150"/>
              <w:jc w:val="both"/>
              <w:rPr>
                <w:rFonts w:ascii="Times New Roman" w:eastAsia="Times New Roman" w:hAnsi="Times New Roman" w:cs="Times New Roman"/>
                <w:b/>
                <w:bCs/>
                <w:sz w:val="24"/>
                <w:szCs w:val="24"/>
                <w:lang w:eastAsia="uk-UA"/>
              </w:rPr>
            </w:pPr>
            <w:r w:rsidRPr="009C7772">
              <w:rPr>
                <w:rFonts w:ascii="Times New Roman" w:eastAsia="Times New Roman" w:hAnsi="Times New Roman" w:cs="Times New Roman"/>
                <w:b/>
                <w:bCs/>
                <w:sz w:val="24"/>
                <w:szCs w:val="24"/>
                <w:lang w:eastAsia="uk-UA"/>
              </w:rPr>
              <w:t>Прийнято до відома</w:t>
            </w:r>
          </w:p>
          <w:p w14:paraId="2CC8D744" w14:textId="77777777" w:rsidR="009C7772" w:rsidRPr="008A46E1" w:rsidRDefault="009C7772" w:rsidP="009C7772">
            <w:pPr>
              <w:shd w:val="clear" w:color="auto" w:fill="FFFFFF"/>
              <w:spacing w:after="150"/>
              <w:jc w:val="both"/>
              <w:rPr>
                <w:rFonts w:ascii="Times New Roman" w:eastAsia="Times New Roman" w:hAnsi="Times New Roman" w:cs="Times New Roman"/>
                <w:b/>
                <w:bCs/>
                <w:color w:val="FF0000"/>
                <w:sz w:val="32"/>
                <w:szCs w:val="24"/>
                <w:lang w:eastAsia="uk-UA"/>
              </w:rPr>
            </w:pPr>
          </w:p>
          <w:p w14:paraId="2FF71BE1"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35F547DA" w14:textId="77777777" w:rsidR="009C7772" w:rsidRPr="009C7772" w:rsidRDefault="009C7772" w:rsidP="009C7772">
            <w:pPr>
              <w:shd w:val="clear" w:color="auto" w:fill="FFFFFF"/>
              <w:spacing w:after="150"/>
              <w:jc w:val="both"/>
              <w:rPr>
                <w:rFonts w:ascii="Times New Roman" w:eastAsia="Times New Roman" w:hAnsi="Times New Roman" w:cs="Times New Roman"/>
                <w:b/>
                <w:bCs/>
                <w:sz w:val="24"/>
                <w:szCs w:val="24"/>
                <w:lang w:eastAsia="uk-UA"/>
              </w:rPr>
            </w:pPr>
            <w:r w:rsidRPr="009C7772">
              <w:rPr>
                <w:rFonts w:ascii="Times New Roman" w:eastAsia="Times New Roman" w:hAnsi="Times New Roman" w:cs="Times New Roman"/>
                <w:b/>
                <w:bCs/>
                <w:sz w:val="24"/>
                <w:szCs w:val="24"/>
                <w:lang w:eastAsia="uk-UA"/>
              </w:rPr>
              <w:t>Потребує обговорення</w:t>
            </w:r>
          </w:p>
          <w:p w14:paraId="1DD24A1E"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27722529" w14:textId="77777777" w:rsidR="009C7772"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p w14:paraId="61085B93" w14:textId="77777777" w:rsidR="009C7772" w:rsidRPr="00CF29A3" w:rsidRDefault="009C7772" w:rsidP="009C7772">
            <w:pPr>
              <w:shd w:val="clear" w:color="auto" w:fill="FFFFFF"/>
              <w:spacing w:after="150"/>
              <w:jc w:val="both"/>
              <w:rPr>
                <w:rFonts w:ascii="Times New Roman" w:eastAsia="Times New Roman" w:hAnsi="Times New Roman" w:cs="Times New Roman"/>
                <w:b/>
                <w:bCs/>
                <w:color w:val="FF0000"/>
                <w:sz w:val="24"/>
                <w:szCs w:val="24"/>
                <w:lang w:eastAsia="uk-UA"/>
              </w:rPr>
            </w:pPr>
          </w:p>
        </w:tc>
      </w:tr>
      <w:tr w:rsidR="004213FE" w:rsidRPr="003D580E" w14:paraId="7E8D2837" w14:textId="77777777" w:rsidTr="00853FA0">
        <w:tc>
          <w:tcPr>
            <w:tcW w:w="5387" w:type="dxa"/>
          </w:tcPr>
          <w:p w14:paraId="6938CEE5" w14:textId="77777777" w:rsidR="004213FE" w:rsidRPr="0096708C" w:rsidRDefault="004213FE" w:rsidP="00883C27">
            <w:pPr>
              <w:pStyle w:val="a4"/>
              <w:ind w:left="29"/>
              <w:jc w:val="both"/>
              <w:rPr>
                <w:rFonts w:ascii="Times New Roman" w:hAnsi="Times New Roman" w:cs="Times New Roman"/>
                <w:b/>
                <w:color w:val="FF0000"/>
                <w:sz w:val="26"/>
                <w:szCs w:val="26"/>
              </w:rPr>
            </w:pPr>
          </w:p>
        </w:tc>
        <w:tc>
          <w:tcPr>
            <w:tcW w:w="5387" w:type="dxa"/>
            <w:shd w:val="clear" w:color="auto" w:fill="auto"/>
          </w:tcPr>
          <w:p w14:paraId="436603BA" w14:textId="77777777" w:rsidR="004213FE" w:rsidRPr="009C7772" w:rsidRDefault="009C7772" w:rsidP="0096708C">
            <w:pPr>
              <w:pStyle w:val="1"/>
              <w:jc w:val="both"/>
              <w:rPr>
                <w:rFonts w:ascii="Times New Roman" w:hAnsi="Times New Roman"/>
                <w:b/>
                <w:sz w:val="24"/>
                <w:szCs w:val="24"/>
                <w:u w:val="single"/>
                <w:lang w:val="uk-UA"/>
              </w:rPr>
            </w:pPr>
            <w:r w:rsidRPr="009C7772">
              <w:rPr>
                <w:rFonts w:ascii="Times New Roman" w:eastAsiaTheme="minorHAnsi" w:hAnsi="Times New Roman"/>
                <w:b/>
                <w:bCs/>
                <w:color w:val="FF0000"/>
                <w:sz w:val="24"/>
                <w:szCs w:val="24"/>
                <w:lang w:val="uk-UA"/>
              </w:rPr>
              <w:t xml:space="preserve">Загальні </w:t>
            </w:r>
            <w:r w:rsidRPr="009C7772">
              <w:rPr>
                <w:rFonts w:ascii="Times New Roman" w:hAnsi="Times New Roman"/>
                <w:b/>
                <w:bCs/>
                <w:color w:val="FF0000"/>
                <w:sz w:val="24"/>
                <w:szCs w:val="24"/>
                <w:lang w:val="uk-UA"/>
              </w:rPr>
              <w:t xml:space="preserve">пропозиції </w:t>
            </w:r>
            <w:r w:rsidRPr="009C7772">
              <w:rPr>
                <w:rFonts w:ascii="Times New Roman" w:eastAsiaTheme="minorHAnsi" w:hAnsi="Times New Roman"/>
                <w:b/>
                <w:bCs/>
                <w:color w:val="FF0000"/>
                <w:sz w:val="24"/>
                <w:szCs w:val="24"/>
                <w:lang w:val="uk-UA"/>
              </w:rPr>
              <w:t>до нормативної бази Регулятора зміни до яких не пропонувалися</w:t>
            </w:r>
          </w:p>
        </w:tc>
        <w:tc>
          <w:tcPr>
            <w:tcW w:w="4394" w:type="dxa"/>
          </w:tcPr>
          <w:p w14:paraId="3BA9DCEC" w14:textId="77777777" w:rsidR="004213FE" w:rsidRPr="00CF29A3" w:rsidRDefault="004213FE"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tc>
      </w:tr>
      <w:tr w:rsidR="004213FE" w:rsidRPr="003D580E" w14:paraId="041167EF" w14:textId="77777777" w:rsidTr="00853FA0">
        <w:tc>
          <w:tcPr>
            <w:tcW w:w="5387" w:type="dxa"/>
          </w:tcPr>
          <w:p w14:paraId="084CC80F" w14:textId="77777777" w:rsidR="004213FE" w:rsidRPr="0060766A" w:rsidRDefault="004213FE" w:rsidP="0060766A">
            <w:pPr>
              <w:jc w:val="both"/>
              <w:rPr>
                <w:rFonts w:ascii="Times New Roman" w:hAnsi="Times New Roman" w:cs="Times New Roman"/>
                <w:b/>
                <w:color w:val="FF0000"/>
                <w:sz w:val="26"/>
                <w:szCs w:val="26"/>
              </w:rPr>
            </w:pPr>
          </w:p>
        </w:tc>
        <w:tc>
          <w:tcPr>
            <w:tcW w:w="5387" w:type="dxa"/>
            <w:shd w:val="clear" w:color="auto" w:fill="auto"/>
          </w:tcPr>
          <w:p w14:paraId="04A3A784" w14:textId="77777777" w:rsidR="009C7772" w:rsidRPr="00BF60D4" w:rsidRDefault="009C7772" w:rsidP="009C7772">
            <w:pPr>
              <w:shd w:val="clear" w:color="auto" w:fill="FFFFFF"/>
              <w:jc w:val="both"/>
              <w:textAlignment w:val="baseline"/>
              <w:rPr>
                <w:rFonts w:ascii="Times New Roman" w:hAnsi="Times New Roman" w:cs="Times New Roman"/>
                <w:b/>
                <w:bCs/>
                <w:sz w:val="24"/>
                <w:szCs w:val="24"/>
              </w:rPr>
            </w:pPr>
            <w:r w:rsidRPr="00BF60D4">
              <w:rPr>
                <w:rFonts w:ascii="Times New Roman" w:hAnsi="Times New Roman" w:cs="Times New Roman"/>
                <w:b/>
                <w:bCs/>
                <w:sz w:val="24"/>
                <w:szCs w:val="24"/>
              </w:rPr>
              <w:t xml:space="preserve">Пропозиції до </w:t>
            </w:r>
            <w:r w:rsidR="00BF60D4">
              <w:rPr>
                <w:rFonts w:ascii="Times New Roman" w:hAnsi="Times New Roman" w:cs="Times New Roman"/>
                <w:b/>
                <w:bCs/>
                <w:sz w:val="24"/>
                <w:szCs w:val="24"/>
              </w:rPr>
              <w:t xml:space="preserve">редакції </w:t>
            </w:r>
            <w:r w:rsidRPr="00BF60D4">
              <w:rPr>
                <w:rFonts w:ascii="Times New Roman" w:hAnsi="Times New Roman" w:cs="Times New Roman"/>
                <w:b/>
                <w:bCs/>
                <w:sz w:val="24"/>
                <w:szCs w:val="24"/>
              </w:rPr>
              <w:t>Додатку 27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Регулятора від 14.06.2018  № 428</w:t>
            </w:r>
          </w:p>
          <w:p w14:paraId="155E320C" w14:textId="77777777" w:rsidR="009C7772" w:rsidRPr="00BF60D4" w:rsidRDefault="009C7772" w:rsidP="009C7772">
            <w:pPr>
              <w:shd w:val="clear" w:color="auto" w:fill="FFFFFF"/>
              <w:jc w:val="both"/>
              <w:textAlignment w:val="baseline"/>
              <w:rPr>
                <w:rFonts w:ascii="Times New Roman" w:hAnsi="Times New Roman" w:cs="Times New Roman"/>
                <w:b/>
                <w:bCs/>
                <w:sz w:val="24"/>
                <w:szCs w:val="24"/>
              </w:rPr>
            </w:pPr>
          </w:p>
          <w:p w14:paraId="59B2A796" w14:textId="77777777" w:rsidR="00BF60D4" w:rsidRDefault="009C7772" w:rsidP="009C7772">
            <w:pPr>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lastRenderedPageBreak/>
              <w:t>ПрАТ «ДТЕК Київські електромережі» лист від 02.10.2023 № 1/06/31081</w:t>
            </w:r>
          </w:p>
          <w:p w14:paraId="35D40C4B" w14:textId="77777777" w:rsidR="00BF60D4" w:rsidRDefault="009C7772" w:rsidP="009C7772">
            <w:pPr>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t xml:space="preserve"> АТ «ДТЕК ДНІПРОВСЬКІ ЕЛЕКТРОМЕРЕЖІ» лист від 02.10.2023 </w:t>
            </w:r>
            <w:r w:rsidR="00BF60D4">
              <w:rPr>
                <w:rFonts w:ascii="Times New Roman" w:hAnsi="Times New Roman" w:cs="Times New Roman"/>
                <w:b/>
                <w:color w:val="333333"/>
                <w:sz w:val="24"/>
                <w:szCs w:val="24"/>
                <w:shd w:val="clear" w:color="auto" w:fill="FFFFFF"/>
              </w:rPr>
              <w:br/>
            </w:r>
            <w:r w:rsidRPr="00BF60D4">
              <w:rPr>
                <w:rFonts w:ascii="Times New Roman" w:hAnsi="Times New Roman" w:cs="Times New Roman"/>
                <w:b/>
                <w:color w:val="333333"/>
                <w:sz w:val="24"/>
                <w:szCs w:val="24"/>
                <w:shd w:val="clear" w:color="auto" w:fill="FFFFFF"/>
              </w:rPr>
              <w:t>№ 48916/1001</w:t>
            </w:r>
          </w:p>
          <w:p w14:paraId="22E87B2E" w14:textId="77777777" w:rsidR="009C7772" w:rsidRPr="00BF60D4" w:rsidRDefault="009C7772" w:rsidP="009C7772">
            <w:pPr>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t>АТ «ДТЕК Одеські електромережі» лист від 02.10.2023 № 101/04/03-9306</w:t>
            </w:r>
          </w:p>
          <w:p w14:paraId="4BCA56B2" w14:textId="77777777" w:rsidR="009C7772" w:rsidRPr="00BF60D4" w:rsidRDefault="009C7772" w:rsidP="009C7772">
            <w:pPr>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t>………………………………</w:t>
            </w:r>
          </w:p>
          <w:p w14:paraId="2C6CD357" w14:textId="77777777" w:rsidR="009C7772" w:rsidRPr="00BF60D4" w:rsidRDefault="009C7772" w:rsidP="009C7772">
            <w:pPr>
              <w:ind w:left="6" w:right="199"/>
              <w:jc w:val="both"/>
              <w:rPr>
                <w:rFonts w:ascii="Times New Roman" w:hAnsi="Times New Roman" w:cs="Times New Roman"/>
                <w:sz w:val="24"/>
                <w:szCs w:val="24"/>
              </w:rPr>
            </w:pPr>
            <w:r w:rsidRPr="00BF60D4">
              <w:rPr>
                <w:rFonts w:ascii="Times New Roman" w:hAnsi="Times New Roman" w:cs="Times New Roman"/>
                <w:sz w:val="24"/>
                <w:szCs w:val="24"/>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5F480ED" w14:textId="77777777" w:rsidR="009C7772" w:rsidRPr="00BF60D4" w:rsidRDefault="009C7772" w:rsidP="009C7772">
            <w:pPr>
              <w:ind w:left="6" w:right="199"/>
              <w:jc w:val="both"/>
              <w:rPr>
                <w:rFonts w:ascii="Times New Roman" w:hAnsi="Times New Roman" w:cs="Times New Roman"/>
                <w:sz w:val="24"/>
                <w:szCs w:val="24"/>
              </w:rPr>
            </w:pPr>
            <w:r w:rsidRPr="00BF60D4">
              <w:rPr>
                <w:rFonts w:ascii="Times New Roman" w:hAnsi="Times New Roman" w:cs="Times New Roman"/>
                <w:sz w:val="24"/>
                <w:szCs w:val="24"/>
              </w:rPr>
              <w:t xml:space="preserve">1) збільшена на 10 %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w:t>
            </w:r>
            <w:r w:rsidRPr="00BF60D4">
              <w:rPr>
                <w:rFonts w:ascii="Times New Roman" w:hAnsi="Times New Roman" w:cs="Times New Roman"/>
                <w:b/>
                <w:bCs/>
                <w:sz w:val="24"/>
                <w:szCs w:val="24"/>
              </w:rPr>
              <w:t>та 2023 років</w:t>
            </w:r>
            <w:r w:rsidRPr="00BF60D4">
              <w:rPr>
                <w:rFonts w:ascii="Times New Roman" w:hAnsi="Times New Roman" w:cs="Times New Roman"/>
                <w:sz w:val="24"/>
                <w:szCs w:val="24"/>
              </w:rPr>
              <w:t xml:space="preserve">), яка визначається з урахуванням постанови НКРЕКП від 20.04.2022 № 386. </w:t>
            </w:r>
          </w:p>
          <w:p w14:paraId="7002F982" w14:textId="77777777" w:rsidR="009C7772" w:rsidRPr="00BF60D4" w:rsidRDefault="009C7772" w:rsidP="009C7772">
            <w:pPr>
              <w:ind w:right="199"/>
              <w:jc w:val="both"/>
              <w:rPr>
                <w:rFonts w:ascii="Times New Roman" w:hAnsi="Times New Roman" w:cs="Times New Roman"/>
                <w:sz w:val="24"/>
                <w:szCs w:val="24"/>
              </w:rPr>
            </w:pPr>
            <w:r w:rsidRPr="00BF60D4">
              <w:rPr>
                <w:rFonts w:ascii="Times New Roman" w:hAnsi="Times New Roman" w:cs="Times New Roman"/>
                <w:sz w:val="24"/>
                <w:szCs w:val="24"/>
              </w:rPr>
              <w:t xml:space="preserve">Двократна сума невиконання інвестиційної програми на звітний рік </w:t>
            </w:r>
            <w:r w:rsidRPr="00BF60D4">
              <w:rPr>
                <w:rFonts w:ascii="Times New Roman" w:hAnsi="Times New Roman" w:cs="Times New Roman"/>
                <w:b/>
                <w:bCs/>
                <w:sz w:val="24"/>
                <w:szCs w:val="24"/>
              </w:rPr>
              <w:t>(за результатами діяльності за рік, починаючи з 2024 року)</w:t>
            </w:r>
            <w:r w:rsidRPr="00BF60D4">
              <w:rPr>
                <w:rFonts w:ascii="Times New Roman" w:hAnsi="Times New Roman" w:cs="Times New Roman"/>
                <w:sz w:val="24"/>
                <w:szCs w:val="24"/>
              </w:rPr>
              <w:t>;</w:t>
            </w:r>
          </w:p>
          <w:p w14:paraId="3D2AE245" w14:textId="77777777" w:rsidR="009C7772" w:rsidRPr="00BF60D4" w:rsidRDefault="009C7772" w:rsidP="009C7772">
            <w:pPr>
              <w:pStyle w:val="TableParagraph"/>
              <w:spacing w:line="250" w:lineRule="atLeast"/>
              <w:ind w:right="199"/>
              <w:jc w:val="both"/>
              <w:rPr>
                <w:b/>
                <w:bCs/>
                <w:i/>
                <w:iCs/>
                <w:sz w:val="24"/>
                <w:szCs w:val="24"/>
              </w:rPr>
            </w:pPr>
            <w:r w:rsidRPr="00BF60D4">
              <w:rPr>
                <w:b/>
                <w:bCs/>
                <w:i/>
                <w:iCs/>
                <w:sz w:val="24"/>
                <w:szCs w:val="24"/>
              </w:rPr>
              <w:t>Альтернативна редакція:</w:t>
            </w:r>
          </w:p>
          <w:p w14:paraId="3137363A" w14:textId="77777777" w:rsidR="009C7772" w:rsidRDefault="009C7772" w:rsidP="009C7772">
            <w:pPr>
              <w:shd w:val="clear" w:color="auto" w:fill="FFFFFF"/>
              <w:jc w:val="both"/>
              <w:textAlignment w:val="baseline"/>
              <w:rPr>
                <w:rFonts w:ascii="Times New Roman" w:hAnsi="Times New Roman" w:cs="Times New Roman"/>
                <w:b/>
                <w:bCs/>
                <w:sz w:val="24"/>
                <w:szCs w:val="24"/>
              </w:rPr>
            </w:pPr>
            <w:r w:rsidRPr="00BF60D4">
              <w:rPr>
                <w:rFonts w:ascii="Times New Roman" w:hAnsi="Times New Roman" w:cs="Times New Roman"/>
                <w:b/>
                <w:bCs/>
                <w:sz w:val="24"/>
                <w:szCs w:val="24"/>
              </w:rPr>
              <w:t>У разі часткового невиконання заходів  та/або невиконання деяких заходів інвестиційної програми 2023 року не застосовувати двократне зняття сум невиконання, а суму в однократному розмірі, яку застосовувати тільки на ту частину яка непрофінансована або невиконана, з можливостю перенесення частини таких заходів за рахунок  джерел майбутніх періодів.</w:t>
            </w:r>
          </w:p>
          <w:p w14:paraId="2E281BA6" w14:textId="77777777" w:rsidR="00775C7A" w:rsidRPr="00775C7A" w:rsidRDefault="00775C7A" w:rsidP="00775C7A">
            <w:pPr>
              <w:ind w:left="11" w:right="199"/>
              <w:jc w:val="both"/>
              <w:rPr>
                <w:rFonts w:ascii="Times New Roman" w:hAnsi="Times New Roman" w:cs="Times New Roman"/>
                <w:i/>
                <w:sz w:val="24"/>
              </w:rPr>
            </w:pPr>
            <w:r w:rsidRPr="00775C7A">
              <w:rPr>
                <w:rFonts w:ascii="Times New Roman" w:hAnsi="Times New Roman" w:cs="Times New Roman"/>
                <w:i/>
                <w:sz w:val="24"/>
              </w:rPr>
              <w:t xml:space="preserve">Починаючи з початку військової агресії зафіксовано суттєве зниження обсягів розподілу електричної енергії, що призводить до зниження необхідного доходу для фінансування </w:t>
            </w:r>
            <w:r w:rsidRPr="00775C7A">
              <w:rPr>
                <w:rFonts w:ascii="Times New Roman" w:hAnsi="Times New Roman" w:cs="Times New Roman"/>
                <w:i/>
                <w:sz w:val="24"/>
              </w:rPr>
              <w:lastRenderedPageBreak/>
              <w:t xml:space="preserve">ліцензованої діяльності у повному обсязі. Крім цього, етапний перегляд тарифів у 2023 році, передбачав у першому півріччі застосування </w:t>
            </w:r>
            <w:proofErr w:type="spellStart"/>
            <w:r w:rsidRPr="00775C7A">
              <w:rPr>
                <w:rFonts w:ascii="Times New Roman" w:hAnsi="Times New Roman" w:cs="Times New Roman"/>
                <w:i/>
                <w:sz w:val="24"/>
              </w:rPr>
              <w:t>згладжувальних</w:t>
            </w:r>
            <w:proofErr w:type="spellEnd"/>
            <w:r w:rsidRPr="00775C7A">
              <w:rPr>
                <w:rFonts w:ascii="Times New Roman" w:hAnsi="Times New Roman" w:cs="Times New Roman"/>
                <w:i/>
                <w:sz w:val="24"/>
              </w:rPr>
              <w:t xml:space="preserve"> коефіцієнтів до тарифу, що призвело до дефіциту коштів, зокрема на виконання інвестиційної програми. Також, з серпня зафіксований дефіцит коштів за статтею витрат на закупівлю електроенергії з метою компенсації ТВЕ під час її розподілу. Ситуація щодо дефіциту поглиблюється. Ці чинники не дають можливості виконати інвестиційну програму 2023 р. в повному обсязі у встановлені терміни.</w:t>
            </w:r>
          </w:p>
          <w:p w14:paraId="53B97B35" w14:textId="77777777" w:rsidR="00775C7A" w:rsidRPr="00BF60D4" w:rsidRDefault="00775C7A" w:rsidP="009C7772">
            <w:pPr>
              <w:shd w:val="clear" w:color="auto" w:fill="FFFFFF"/>
              <w:jc w:val="both"/>
              <w:textAlignment w:val="baseline"/>
              <w:rPr>
                <w:rFonts w:ascii="Times New Roman" w:hAnsi="Times New Roman" w:cs="Times New Roman"/>
                <w:b/>
                <w:bCs/>
                <w:sz w:val="24"/>
                <w:szCs w:val="24"/>
              </w:rPr>
            </w:pPr>
          </w:p>
          <w:p w14:paraId="0DB87A2C" w14:textId="77777777" w:rsidR="00BF60D4" w:rsidRPr="00BF60D4" w:rsidRDefault="00BF60D4" w:rsidP="00BF60D4">
            <w:pPr>
              <w:pStyle w:val="TableParagraph"/>
              <w:ind w:right="199"/>
              <w:jc w:val="both"/>
              <w:rPr>
                <w:sz w:val="24"/>
                <w:szCs w:val="24"/>
              </w:rPr>
            </w:pPr>
            <w:r w:rsidRPr="00BF60D4">
              <w:rPr>
                <w:sz w:val="24"/>
                <w:szCs w:val="24"/>
              </w:rPr>
              <w:t>………………………</w:t>
            </w:r>
          </w:p>
          <w:p w14:paraId="79339C42" w14:textId="77777777" w:rsidR="00BF60D4" w:rsidRPr="00BF60D4" w:rsidRDefault="00BF60D4" w:rsidP="00BF60D4">
            <w:pPr>
              <w:pStyle w:val="TableParagraph"/>
              <w:ind w:right="28"/>
              <w:jc w:val="both"/>
              <w:rPr>
                <w:sz w:val="24"/>
                <w:szCs w:val="24"/>
              </w:rPr>
            </w:pPr>
            <w:r w:rsidRPr="00BF60D4">
              <w:rPr>
                <w:sz w:val="24"/>
                <w:szCs w:val="24"/>
              </w:rPr>
              <w:t xml:space="preserve">13. </w:t>
            </w:r>
            <w:r w:rsidRPr="00BF60D4">
              <w:rPr>
                <w:b/>
                <w:bCs/>
                <w:color w:val="000000" w:themeColor="text1"/>
                <w:sz w:val="24"/>
                <w:szCs w:val="24"/>
              </w:rPr>
              <w:t>Фактичні витрати ОСР, що понесені у звітному році на оплату вартості нарахованих штрафних санкцій (пені, штрафів, 3% річних  та інфляційних витрат) за судовими рішеннями щодо стягнення заборгованості за послуги, що надані ОСП протягом дії воєнного стану, компенсуються такому ліцензіату за результатами перевірки за рахунок доходу від</w:t>
            </w:r>
            <w:r w:rsidRPr="00BF60D4">
              <w:rPr>
                <w:sz w:val="24"/>
                <w:szCs w:val="24"/>
              </w:rPr>
              <w:t>:</w:t>
            </w:r>
          </w:p>
          <w:p w14:paraId="4BFE8B9C" w14:textId="77777777" w:rsidR="00BF60D4" w:rsidRPr="00BF60D4" w:rsidRDefault="00BF60D4" w:rsidP="00BF60D4">
            <w:pPr>
              <w:pStyle w:val="TableParagraph"/>
              <w:ind w:right="28"/>
              <w:jc w:val="both"/>
              <w:rPr>
                <w:sz w:val="24"/>
                <w:szCs w:val="24"/>
              </w:rPr>
            </w:pPr>
            <w:r w:rsidRPr="00BF60D4">
              <w:rPr>
                <w:sz w:val="24"/>
                <w:szCs w:val="24"/>
              </w:rPr>
              <w:t xml:space="preserve">- 50 %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 </w:t>
            </w:r>
          </w:p>
          <w:p w14:paraId="7F3EAE6B" w14:textId="77777777" w:rsidR="00BF60D4" w:rsidRPr="00BF60D4" w:rsidRDefault="00BF60D4" w:rsidP="00BF60D4">
            <w:pPr>
              <w:pStyle w:val="TableParagraph"/>
              <w:ind w:right="28"/>
              <w:jc w:val="both"/>
              <w:rPr>
                <w:sz w:val="24"/>
                <w:szCs w:val="24"/>
              </w:rPr>
            </w:pPr>
            <w:r w:rsidRPr="00BF60D4">
              <w:rPr>
                <w:sz w:val="24"/>
                <w:szCs w:val="24"/>
              </w:rPr>
              <w:t xml:space="preserve">- 50 % суми додатково отриманого доходу, отриманого у звітному році від плати за доступ до елементів інфраструктури об'єктів електроенергетики; </w:t>
            </w:r>
          </w:p>
          <w:p w14:paraId="22B63B67" w14:textId="77777777" w:rsidR="00BF60D4" w:rsidRPr="00BF60D4" w:rsidRDefault="00BF60D4" w:rsidP="00BF60D4">
            <w:pPr>
              <w:pStyle w:val="TableParagraph"/>
              <w:ind w:right="28"/>
              <w:jc w:val="both"/>
              <w:rPr>
                <w:sz w:val="24"/>
                <w:szCs w:val="24"/>
              </w:rPr>
            </w:pPr>
            <w:r w:rsidRPr="00BF60D4">
              <w:rPr>
                <w:sz w:val="24"/>
                <w:szCs w:val="24"/>
              </w:rPr>
              <w:t xml:space="preserve">- 100 %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 </w:t>
            </w:r>
          </w:p>
          <w:p w14:paraId="4411B410" w14:textId="77777777" w:rsidR="00BF60D4" w:rsidRPr="00BF60D4" w:rsidRDefault="00BF60D4" w:rsidP="00BF60D4">
            <w:pPr>
              <w:pStyle w:val="TableParagraph"/>
              <w:ind w:right="28"/>
              <w:jc w:val="both"/>
              <w:rPr>
                <w:sz w:val="24"/>
                <w:szCs w:val="24"/>
              </w:rPr>
            </w:pPr>
            <w:r w:rsidRPr="00BF60D4">
              <w:rPr>
                <w:sz w:val="24"/>
                <w:szCs w:val="24"/>
              </w:rPr>
              <w:lastRenderedPageBreak/>
              <w:t xml:space="preserve">- 50 % від негативної (від'ємної) суми дельти за статтею "прибуток на регуляторну базу активів, яка створена на дату переходу до стимулюючого регулювання" ( </w:t>
            </w:r>
            <w:r w:rsidRPr="00BF60D4">
              <w:rPr>
                <w:sz w:val="24"/>
                <w:szCs w:val="24"/>
              </w:rPr>
              <w:sym w:font="Symbol" w:char="F044"/>
            </w:r>
            <w:r w:rsidRPr="00BF60D4">
              <w:rPr>
                <w:sz w:val="24"/>
                <w:szCs w:val="24"/>
              </w:rPr>
              <w:t xml:space="preserve"> П </w:t>
            </w:r>
            <w:proofErr w:type="spellStart"/>
            <w:r w:rsidRPr="00BF60D4">
              <w:rPr>
                <w:sz w:val="24"/>
                <w:szCs w:val="24"/>
              </w:rPr>
              <w:t>ст</w:t>
            </w:r>
            <w:proofErr w:type="spellEnd"/>
            <w:r w:rsidRPr="00BF60D4">
              <w:rPr>
                <w:sz w:val="24"/>
                <w:szCs w:val="24"/>
              </w:rPr>
              <w:t xml:space="preserve"> ).</w:t>
            </w:r>
          </w:p>
          <w:p w14:paraId="763594E3" w14:textId="77777777" w:rsidR="004213FE" w:rsidRDefault="00BF60D4" w:rsidP="00BF60D4">
            <w:pPr>
              <w:shd w:val="clear" w:color="auto" w:fill="FFFFFF"/>
              <w:ind w:right="28"/>
              <w:jc w:val="both"/>
              <w:textAlignment w:val="baseline"/>
              <w:rPr>
                <w:rFonts w:ascii="Times New Roman" w:hAnsi="Times New Roman" w:cs="Times New Roman"/>
                <w:b/>
                <w:bCs/>
                <w:sz w:val="24"/>
                <w:szCs w:val="24"/>
              </w:rPr>
            </w:pPr>
            <w:r w:rsidRPr="00BF60D4">
              <w:rPr>
                <w:rFonts w:ascii="Times New Roman" w:hAnsi="Times New Roman" w:cs="Times New Roman"/>
                <w:b/>
                <w:bCs/>
                <w:sz w:val="24"/>
                <w:szCs w:val="24"/>
              </w:rPr>
              <w:t>У разі відсутності таких витрат ОСР у періоді, що перевіряється, обсяг фінансування інвестиційної програми на рік, що є наступним за звітним роком, збільшується на вищезазначені джерела. Крім цього, різниця між скомпенсованими витратами на оплату штрафних санкцій за рахунок вищезазначених доходів підлягає реінвестуванню.</w:t>
            </w:r>
          </w:p>
          <w:p w14:paraId="009DC8D2" w14:textId="77777777" w:rsidR="00775C7A" w:rsidRDefault="00775C7A" w:rsidP="00775C7A">
            <w:pPr>
              <w:jc w:val="both"/>
              <w:rPr>
                <w:color w:val="000000" w:themeColor="text1"/>
              </w:rPr>
            </w:pPr>
            <w:r w:rsidRPr="00775C7A">
              <w:rPr>
                <w:rFonts w:ascii="Times New Roman" w:hAnsi="Times New Roman" w:cs="Times New Roman"/>
                <w:bCs/>
                <w:i/>
                <w:sz w:val="24"/>
              </w:rPr>
              <w:t>Внаслідок військових дій, що призвели до  зниження обсягів розподілу електроенергії у 2022 та 2023 рр. зафіксовано зниження надходжень для фінансування ліцензованої діяльності. Крім цього, через застосування етапного перегляду тарифів, оператори систем розподілу за перше півріччя недоотримали суттєві обсяги тарифних джерел фінансування. Через це мають місце випадки недоплат за послуги НЕК Укренерго, внаслідок чого можуть бути судові рішення щодо стягнення заборгованості за надані послуги.</w:t>
            </w:r>
          </w:p>
          <w:p w14:paraId="402DD99C" w14:textId="77777777" w:rsidR="00775C7A" w:rsidRPr="00BF60D4" w:rsidRDefault="00775C7A" w:rsidP="00BF60D4">
            <w:pPr>
              <w:shd w:val="clear" w:color="auto" w:fill="FFFFFF"/>
              <w:ind w:right="28"/>
              <w:jc w:val="both"/>
              <w:textAlignment w:val="baseline"/>
              <w:rPr>
                <w:rFonts w:ascii="Times New Roman" w:hAnsi="Times New Roman" w:cs="Times New Roman"/>
                <w:b/>
                <w:bCs/>
                <w:sz w:val="24"/>
                <w:szCs w:val="24"/>
              </w:rPr>
            </w:pPr>
          </w:p>
        </w:tc>
        <w:tc>
          <w:tcPr>
            <w:tcW w:w="4394" w:type="dxa"/>
          </w:tcPr>
          <w:p w14:paraId="3A020DCA" w14:textId="77777777" w:rsidR="0060766A" w:rsidRPr="0060766A" w:rsidRDefault="0060766A" w:rsidP="0060766A">
            <w:pPr>
              <w:pStyle w:val="ad"/>
              <w:spacing w:before="0" w:beforeAutospacing="0" w:after="0" w:afterAutospacing="0"/>
              <w:jc w:val="both"/>
              <w:rPr>
                <w:rFonts w:eastAsiaTheme="minorHAnsi"/>
                <w:b/>
                <w:bCs/>
                <w:lang w:val="uk-UA" w:eastAsia="en-US"/>
              </w:rPr>
            </w:pPr>
            <w:r w:rsidRPr="0060766A">
              <w:rPr>
                <w:rFonts w:eastAsiaTheme="minorHAnsi"/>
                <w:b/>
                <w:bCs/>
                <w:lang w:val="uk-UA" w:eastAsia="en-US"/>
              </w:rPr>
              <w:lastRenderedPageBreak/>
              <w:t xml:space="preserve">Зміни не </w:t>
            </w:r>
            <w:r w:rsidR="001B0208">
              <w:rPr>
                <w:rFonts w:eastAsiaTheme="minorHAnsi"/>
                <w:b/>
                <w:bCs/>
                <w:lang w:val="uk-UA" w:eastAsia="en-US"/>
              </w:rPr>
              <w:t xml:space="preserve">стосуються </w:t>
            </w:r>
            <w:proofErr w:type="spellStart"/>
            <w:r w:rsidR="001B0208">
              <w:rPr>
                <w:rFonts w:eastAsiaTheme="minorHAnsi"/>
                <w:b/>
                <w:bCs/>
                <w:lang w:val="uk-UA" w:eastAsia="en-US"/>
              </w:rPr>
              <w:t>Проєкту</w:t>
            </w:r>
            <w:proofErr w:type="spellEnd"/>
            <w:r w:rsidR="001B0208">
              <w:rPr>
                <w:rFonts w:eastAsiaTheme="minorHAnsi"/>
                <w:b/>
                <w:bCs/>
                <w:lang w:val="uk-UA" w:eastAsia="en-US"/>
              </w:rPr>
              <w:t xml:space="preserve"> регуляторного </w:t>
            </w:r>
            <w:proofErr w:type="spellStart"/>
            <w:r w:rsidR="001B0208">
              <w:rPr>
                <w:rFonts w:eastAsiaTheme="minorHAnsi"/>
                <w:b/>
                <w:bCs/>
                <w:lang w:val="uk-UA" w:eastAsia="en-US"/>
              </w:rPr>
              <w:t>акта</w:t>
            </w:r>
            <w:proofErr w:type="spellEnd"/>
          </w:p>
          <w:p w14:paraId="7BD7D4B2" w14:textId="77777777" w:rsidR="0060766A" w:rsidRPr="0060766A" w:rsidRDefault="0060766A" w:rsidP="00A92167">
            <w:pPr>
              <w:shd w:val="clear" w:color="auto" w:fill="FFFFFF"/>
              <w:spacing w:after="150"/>
              <w:ind w:firstLine="450"/>
              <w:jc w:val="both"/>
              <w:rPr>
                <w:rFonts w:ascii="Times New Roman" w:hAnsi="Times New Roman" w:cs="Times New Roman"/>
                <w:b/>
                <w:bCs/>
                <w:sz w:val="24"/>
                <w:szCs w:val="24"/>
              </w:rPr>
            </w:pPr>
          </w:p>
          <w:p w14:paraId="2207BA76" w14:textId="77777777" w:rsidR="0060766A"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p w14:paraId="1D88F5D8" w14:textId="77777777" w:rsidR="0060766A"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p w14:paraId="2A4C230E" w14:textId="77777777" w:rsidR="0060766A"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p w14:paraId="45E9A3C8" w14:textId="77777777" w:rsidR="0060766A"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p w14:paraId="2F3D0560" w14:textId="77777777" w:rsidR="0060766A"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p w14:paraId="530405EC" w14:textId="77777777" w:rsidR="0060766A"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p w14:paraId="5C64049A" w14:textId="77777777" w:rsidR="0060766A" w:rsidRPr="00CF29A3" w:rsidRDefault="0060766A"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tc>
      </w:tr>
      <w:tr w:rsidR="004213FE" w:rsidRPr="003D580E" w14:paraId="4DD5C7C6" w14:textId="77777777" w:rsidTr="00853FA0">
        <w:tc>
          <w:tcPr>
            <w:tcW w:w="5387" w:type="dxa"/>
          </w:tcPr>
          <w:p w14:paraId="2ACCE317" w14:textId="77777777" w:rsidR="004213FE" w:rsidRPr="0096708C" w:rsidRDefault="004213FE" w:rsidP="00883C27">
            <w:pPr>
              <w:pStyle w:val="a4"/>
              <w:ind w:left="29"/>
              <w:jc w:val="both"/>
              <w:rPr>
                <w:rFonts w:ascii="Times New Roman" w:hAnsi="Times New Roman" w:cs="Times New Roman"/>
                <w:b/>
                <w:color w:val="FF0000"/>
                <w:sz w:val="26"/>
                <w:szCs w:val="26"/>
              </w:rPr>
            </w:pPr>
          </w:p>
        </w:tc>
        <w:tc>
          <w:tcPr>
            <w:tcW w:w="5387" w:type="dxa"/>
            <w:shd w:val="clear" w:color="auto" w:fill="auto"/>
          </w:tcPr>
          <w:p w14:paraId="1130A3BA" w14:textId="77777777" w:rsidR="00BF60D4" w:rsidRPr="00BF60D4" w:rsidRDefault="00BF60D4" w:rsidP="00BF60D4">
            <w:pPr>
              <w:jc w:val="both"/>
              <w:rPr>
                <w:rFonts w:ascii="Times New Roman" w:hAnsi="Times New Roman" w:cs="Times New Roman"/>
                <w:b/>
                <w:bCs/>
                <w:sz w:val="24"/>
                <w:szCs w:val="24"/>
              </w:rPr>
            </w:pPr>
            <w:r w:rsidRPr="00BF60D4">
              <w:rPr>
                <w:rFonts w:ascii="Times New Roman" w:hAnsi="Times New Roman" w:cs="Times New Roman"/>
                <w:b/>
                <w:bCs/>
                <w:sz w:val="24"/>
                <w:szCs w:val="24"/>
              </w:rPr>
              <w:t>Пропозиції до редакції постанови НКРЕКП від 26.04.2022 №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 338»</w:t>
            </w:r>
          </w:p>
          <w:p w14:paraId="1205DD28" w14:textId="77777777" w:rsidR="00BF60D4" w:rsidRPr="00BF60D4" w:rsidRDefault="00BF60D4" w:rsidP="00BF60D4">
            <w:pPr>
              <w:tabs>
                <w:tab w:val="left" w:pos="4872"/>
                <w:tab w:val="left" w:pos="5172"/>
              </w:tabs>
              <w:jc w:val="both"/>
              <w:rPr>
                <w:rFonts w:ascii="Times New Roman" w:hAnsi="Times New Roman" w:cs="Times New Roman"/>
                <w:b/>
                <w:color w:val="333333"/>
                <w:sz w:val="24"/>
                <w:szCs w:val="24"/>
                <w:shd w:val="clear" w:color="auto" w:fill="FFFFFF"/>
              </w:rPr>
            </w:pPr>
          </w:p>
          <w:p w14:paraId="0601FF0F" w14:textId="77777777" w:rsidR="00BF60D4" w:rsidRDefault="00BF60D4" w:rsidP="00BF60D4">
            <w:pPr>
              <w:tabs>
                <w:tab w:val="left" w:pos="4872"/>
                <w:tab w:val="left" w:pos="5172"/>
              </w:tabs>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t>ПрАТ «ДТЕК Київські електромережі» лист від 02.10.2023 № 1/06/31081</w:t>
            </w:r>
          </w:p>
          <w:p w14:paraId="15A2866B" w14:textId="77777777" w:rsidR="00BF60D4" w:rsidRDefault="00BF60D4" w:rsidP="00BF60D4">
            <w:pPr>
              <w:tabs>
                <w:tab w:val="left" w:pos="4872"/>
                <w:tab w:val="left" w:pos="5172"/>
              </w:tabs>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lastRenderedPageBreak/>
              <w:t xml:space="preserve"> АТ «ДТЕК ДНІПРОВСЬКІ ЕЛЕКТРОМЕРЕЖІ» лист від 02.10.2023 </w:t>
            </w:r>
            <w:r>
              <w:rPr>
                <w:rFonts w:ascii="Times New Roman" w:hAnsi="Times New Roman" w:cs="Times New Roman"/>
                <w:b/>
                <w:color w:val="333333"/>
                <w:sz w:val="24"/>
                <w:szCs w:val="24"/>
                <w:shd w:val="clear" w:color="auto" w:fill="FFFFFF"/>
              </w:rPr>
              <w:br/>
            </w:r>
            <w:r w:rsidRPr="00BF60D4">
              <w:rPr>
                <w:rFonts w:ascii="Times New Roman" w:hAnsi="Times New Roman" w:cs="Times New Roman"/>
                <w:b/>
                <w:color w:val="333333"/>
                <w:sz w:val="24"/>
                <w:szCs w:val="24"/>
                <w:shd w:val="clear" w:color="auto" w:fill="FFFFFF"/>
              </w:rPr>
              <w:t>№ 48916/1001</w:t>
            </w:r>
          </w:p>
          <w:p w14:paraId="170B718B" w14:textId="77777777" w:rsidR="00BF60D4" w:rsidRPr="00BF60D4" w:rsidRDefault="00BF60D4" w:rsidP="00BF60D4">
            <w:pPr>
              <w:tabs>
                <w:tab w:val="left" w:pos="4872"/>
                <w:tab w:val="left" w:pos="5172"/>
              </w:tabs>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t>АТ «ДТЕК Одеські електромережі» лист від 02.10.2023 № 101/04/03-9306</w:t>
            </w:r>
          </w:p>
          <w:p w14:paraId="2D0F9D97" w14:textId="77777777" w:rsidR="00BF60D4" w:rsidRPr="00BF60D4" w:rsidRDefault="00BF60D4" w:rsidP="00BF60D4">
            <w:pPr>
              <w:tabs>
                <w:tab w:val="left" w:pos="5172"/>
              </w:tabs>
              <w:jc w:val="both"/>
              <w:rPr>
                <w:rFonts w:ascii="Times New Roman" w:hAnsi="Times New Roman" w:cs="Times New Roman"/>
                <w:b/>
                <w:color w:val="333333"/>
                <w:sz w:val="24"/>
                <w:szCs w:val="24"/>
                <w:shd w:val="clear" w:color="auto" w:fill="FFFFFF"/>
              </w:rPr>
            </w:pPr>
            <w:r w:rsidRPr="00BF60D4">
              <w:rPr>
                <w:rFonts w:ascii="Times New Roman" w:hAnsi="Times New Roman" w:cs="Times New Roman"/>
                <w:b/>
                <w:color w:val="333333"/>
                <w:sz w:val="24"/>
                <w:szCs w:val="24"/>
                <w:shd w:val="clear" w:color="auto" w:fill="FFFFFF"/>
              </w:rPr>
              <w:t>…………………………..</w:t>
            </w:r>
          </w:p>
          <w:p w14:paraId="4B1D7742" w14:textId="77777777" w:rsidR="00BF60D4" w:rsidRPr="00BF60D4" w:rsidRDefault="00BF60D4" w:rsidP="00BF60D4">
            <w:pPr>
              <w:pStyle w:val="TableParagraph"/>
              <w:tabs>
                <w:tab w:val="left" w:pos="5172"/>
              </w:tabs>
              <w:ind w:left="0" w:right="28"/>
              <w:jc w:val="both"/>
              <w:rPr>
                <w:sz w:val="24"/>
                <w:szCs w:val="24"/>
              </w:rPr>
            </w:pPr>
            <w:r w:rsidRPr="00BF60D4">
              <w:rPr>
                <w:sz w:val="24"/>
                <w:szCs w:val="24"/>
              </w:rPr>
              <w:t xml:space="preserve">4. За результатами здійснення заходів державного контролю в частині перевірки дотримання операторами систем розподілу вимог нормативно-правових актів, що регулюють функціонування ринку електричної енергії, та Ліцензійних умов провадження господарської діяльності з розподілу електричної енергії, затверджених постановою НКРЕКП від 27 грудня 2017 року № 1470, загальну суму додатково отриманого або недоотриманого доходу від ліцензованої діяльності у 2022 </w:t>
            </w:r>
            <w:r w:rsidRPr="00BF60D4">
              <w:rPr>
                <w:b/>
                <w:bCs/>
                <w:sz w:val="24"/>
                <w:szCs w:val="24"/>
              </w:rPr>
              <w:t>та 2023 роках</w:t>
            </w:r>
            <w:r w:rsidRPr="00BF60D4">
              <w:rPr>
                <w:sz w:val="24"/>
                <w:szCs w:val="24"/>
              </w:rPr>
              <w:t xml:space="preserve"> визначати з урахуванням суми недофінансування інвестиційної програми операторів систем розподілу на 2022 </w:t>
            </w:r>
            <w:r w:rsidRPr="00BF60D4">
              <w:rPr>
                <w:b/>
                <w:bCs/>
                <w:sz w:val="24"/>
                <w:szCs w:val="24"/>
              </w:rPr>
              <w:t>та 2023 рік відповідно</w:t>
            </w:r>
            <w:r w:rsidRPr="00BF60D4">
              <w:rPr>
                <w:sz w:val="24"/>
                <w:szCs w:val="24"/>
              </w:rPr>
              <w:t>.</w:t>
            </w:r>
          </w:p>
          <w:p w14:paraId="4474EACE" w14:textId="77777777" w:rsidR="00BF60D4" w:rsidRPr="00BF60D4" w:rsidRDefault="00BF60D4" w:rsidP="00BF60D4">
            <w:pPr>
              <w:pStyle w:val="TableParagraph"/>
              <w:tabs>
                <w:tab w:val="left" w:pos="5172"/>
              </w:tabs>
              <w:spacing w:line="250" w:lineRule="atLeast"/>
              <w:ind w:left="0" w:right="199"/>
              <w:jc w:val="both"/>
              <w:rPr>
                <w:sz w:val="24"/>
                <w:szCs w:val="24"/>
              </w:rPr>
            </w:pPr>
          </w:p>
          <w:p w14:paraId="5460B3C8" w14:textId="77777777" w:rsidR="00BF60D4" w:rsidRPr="00BF60D4" w:rsidRDefault="00BF60D4" w:rsidP="00BF60D4">
            <w:pPr>
              <w:pStyle w:val="TableParagraph"/>
              <w:tabs>
                <w:tab w:val="left" w:pos="5172"/>
              </w:tabs>
              <w:spacing w:line="250" w:lineRule="atLeast"/>
              <w:ind w:left="0"/>
              <w:jc w:val="both"/>
              <w:rPr>
                <w:b/>
                <w:bCs/>
                <w:sz w:val="24"/>
                <w:szCs w:val="24"/>
              </w:rPr>
            </w:pPr>
            <w:r w:rsidRPr="00BF60D4">
              <w:rPr>
                <w:b/>
                <w:bCs/>
                <w:sz w:val="24"/>
                <w:szCs w:val="24"/>
              </w:rPr>
              <w:t>Зафіксувати загальну суму коштів по частково профінансованих та освоєних станом на 31 грудня 2023 року заходах схваленої інвестиційної програми.</w:t>
            </w:r>
          </w:p>
          <w:p w14:paraId="1CDDDC6C" w14:textId="77777777" w:rsidR="004213FE" w:rsidRDefault="00BF60D4" w:rsidP="0060766A">
            <w:pPr>
              <w:jc w:val="both"/>
              <w:rPr>
                <w:rFonts w:ascii="Times New Roman" w:hAnsi="Times New Roman" w:cs="Times New Roman"/>
                <w:b/>
                <w:bCs/>
                <w:sz w:val="24"/>
                <w:szCs w:val="24"/>
              </w:rPr>
            </w:pPr>
            <w:r w:rsidRPr="00BF60D4">
              <w:rPr>
                <w:rFonts w:ascii="Times New Roman" w:hAnsi="Times New Roman" w:cs="Times New Roman"/>
                <w:b/>
                <w:bCs/>
                <w:sz w:val="24"/>
                <w:szCs w:val="24"/>
              </w:rPr>
              <w:t xml:space="preserve">Відповідно до вимог постанови НКРЕКП від 4 вересня 2018 року </w:t>
            </w:r>
            <w:r>
              <w:rPr>
                <w:rFonts w:ascii="Times New Roman" w:hAnsi="Times New Roman" w:cs="Times New Roman"/>
                <w:b/>
                <w:bCs/>
                <w:sz w:val="24"/>
                <w:szCs w:val="24"/>
              </w:rPr>
              <w:t>№</w:t>
            </w:r>
            <w:r w:rsidRPr="00BF60D4">
              <w:rPr>
                <w:rFonts w:ascii="Times New Roman" w:hAnsi="Times New Roman" w:cs="Times New Roman"/>
                <w:b/>
                <w:bCs/>
                <w:sz w:val="24"/>
                <w:szCs w:val="24"/>
              </w:rPr>
              <w:t xml:space="preserve"> 955, з урахуванням обставин військового стану, оператори систем розподілу можуть звернутися до НКРЕКП з пропозицією щодо включення до інвестиційної програми на 2024 рік </w:t>
            </w:r>
            <w:proofErr w:type="spellStart"/>
            <w:r w:rsidRPr="00BF60D4">
              <w:rPr>
                <w:rFonts w:ascii="Times New Roman" w:hAnsi="Times New Roman" w:cs="Times New Roman"/>
                <w:b/>
                <w:bCs/>
                <w:sz w:val="24"/>
                <w:szCs w:val="24"/>
              </w:rPr>
              <w:t>довиконання</w:t>
            </w:r>
            <w:proofErr w:type="spellEnd"/>
            <w:r w:rsidRPr="00BF60D4">
              <w:rPr>
                <w:rFonts w:ascii="Times New Roman" w:hAnsi="Times New Roman" w:cs="Times New Roman"/>
                <w:b/>
                <w:bCs/>
                <w:sz w:val="24"/>
                <w:szCs w:val="24"/>
              </w:rPr>
              <w:t xml:space="preserve"> заходів, що залишились недовиконаними в рамках виконання ІП 2023 року, за рахунок джерел фінансування інвестиційної програми на 2024 рік та статті "Додатково отриманий дохід за результатом діяльності у 2023 році"</w:t>
            </w:r>
          </w:p>
          <w:p w14:paraId="065DC9C5" w14:textId="77777777" w:rsidR="00775C7A" w:rsidRPr="00775C7A" w:rsidRDefault="00775C7A" w:rsidP="0060766A">
            <w:pPr>
              <w:jc w:val="both"/>
              <w:rPr>
                <w:rFonts w:ascii="Times New Roman" w:hAnsi="Times New Roman" w:cs="Times New Roman"/>
                <w:b/>
                <w:bCs/>
                <w:i/>
                <w:sz w:val="24"/>
                <w:szCs w:val="24"/>
              </w:rPr>
            </w:pPr>
            <w:r w:rsidRPr="00775C7A">
              <w:rPr>
                <w:rFonts w:ascii="Times New Roman" w:hAnsi="Times New Roman" w:cs="Times New Roman"/>
                <w:i/>
                <w:sz w:val="24"/>
              </w:rPr>
              <w:lastRenderedPageBreak/>
              <w:t>Через застосування етапного перегляду тарифів ОСР та зниження обсягів розподілу електроенергії ОСР недоотримали суттєві величини необхідного доходу за перше півріччя, що стало причиною  недофінансування планових обсягів виконання ІП за 2023 рік. Пропонується під час перевірки діяльності за 2023 рік передбачити врахування у загальній сумі додатково отриманого або недоотриманого доходу від ліцензованої діяльності за 2023 р. суми недофінансування інвестиційної програми операторів систем розподілу 2023 рік.</w:t>
            </w:r>
          </w:p>
        </w:tc>
        <w:tc>
          <w:tcPr>
            <w:tcW w:w="4394" w:type="dxa"/>
          </w:tcPr>
          <w:p w14:paraId="57123653" w14:textId="77777777" w:rsidR="001B0208" w:rsidRPr="0060766A" w:rsidRDefault="001B0208" w:rsidP="001B0208">
            <w:pPr>
              <w:pStyle w:val="ad"/>
              <w:spacing w:before="0" w:beforeAutospacing="0" w:after="0" w:afterAutospacing="0"/>
              <w:jc w:val="both"/>
              <w:rPr>
                <w:rFonts w:eastAsiaTheme="minorHAnsi"/>
                <w:b/>
                <w:bCs/>
                <w:lang w:val="uk-UA" w:eastAsia="en-US"/>
              </w:rPr>
            </w:pPr>
            <w:r w:rsidRPr="0060766A">
              <w:rPr>
                <w:rFonts w:eastAsiaTheme="minorHAnsi"/>
                <w:b/>
                <w:bCs/>
                <w:lang w:val="uk-UA" w:eastAsia="en-US"/>
              </w:rPr>
              <w:lastRenderedPageBreak/>
              <w:t xml:space="preserve">Зміни не </w:t>
            </w:r>
            <w:r>
              <w:rPr>
                <w:rFonts w:eastAsiaTheme="minorHAnsi"/>
                <w:b/>
                <w:bCs/>
                <w:lang w:val="uk-UA" w:eastAsia="en-US"/>
              </w:rPr>
              <w:t xml:space="preserve">стосуються </w:t>
            </w:r>
            <w:proofErr w:type="spellStart"/>
            <w:r>
              <w:rPr>
                <w:rFonts w:eastAsiaTheme="minorHAnsi"/>
                <w:b/>
                <w:bCs/>
                <w:lang w:val="uk-UA" w:eastAsia="en-US"/>
              </w:rPr>
              <w:t>Проєкту</w:t>
            </w:r>
            <w:proofErr w:type="spellEnd"/>
            <w:r>
              <w:rPr>
                <w:rFonts w:eastAsiaTheme="minorHAnsi"/>
                <w:b/>
                <w:bCs/>
                <w:lang w:val="uk-UA" w:eastAsia="en-US"/>
              </w:rPr>
              <w:t xml:space="preserve"> регуляторного </w:t>
            </w:r>
            <w:proofErr w:type="spellStart"/>
            <w:r>
              <w:rPr>
                <w:rFonts w:eastAsiaTheme="minorHAnsi"/>
                <w:b/>
                <w:bCs/>
                <w:lang w:val="uk-UA" w:eastAsia="en-US"/>
              </w:rPr>
              <w:t>акта</w:t>
            </w:r>
            <w:proofErr w:type="spellEnd"/>
          </w:p>
          <w:p w14:paraId="70BAEAFC" w14:textId="77777777" w:rsidR="004213FE" w:rsidRPr="00CF29A3" w:rsidRDefault="004213FE" w:rsidP="00A92167">
            <w:pPr>
              <w:shd w:val="clear" w:color="auto" w:fill="FFFFFF"/>
              <w:spacing w:after="150"/>
              <w:ind w:firstLine="450"/>
              <w:jc w:val="both"/>
              <w:rPr>
                <w:rFonts w:ascii="Times New Roman" w:eastAsia="Times New Roman" w:hAnsi="Times New Roman" w:cs="Times New Roman"/>
                <w:b/>
                <w:bCs/>
                <w:color w:val="FF0000"/>
                <w:sz w:val="24"/>
                <w:szCs w:val="24"/>
                <w:lang w:eastAsia="uk-UA"/>
              </w:rPr>
            </w:pPr>
          </w:p>
        </w:tc>
      </w:tr>
    </w:tbl>
    <w:p w14:paraId="1D5DC515" w14:textId="77777777" w:rsidR="00EC6C46" w:rsidRPr="003D580E" w:rsidRDefault="00EC6C46" w:rsidP="00DB7FC1">
      <w:pPr>
        <w:rPr>
          <w:rFonts w:ascii="Times New Roman" w:hAnsi="Times New Roman" w:cs="Times New Roman"/>
          <w:b/>
          <w:bCs/>
          <w:sz w:val="26"/>
          <w:szCs w:val="26"/>
        </w:rPr>
      </w:pPr>
    </w:p>
    <w:sectPr w:rsidR="00EC6C46" w:rsidRPr="003D580E" w:rsidSect="0002624B">
      <w:pgSz w:w="16838" w:h="11906" w:orient="landscape"/>
      <w:pgMar w:top="851" w:right="395"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52F"/>
    <w:multiLevelType w:val="hybridMultilevel"/>
    <w:tmpl w:val="1BE80072"/>
    <w:lvl w:ilvl="0" w:tplc="F1362A9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57004F"/>
    <w:multiLevelType w:val="hybridMultilevel"/>
    <w:tmpl w:val="818405E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3F66F4"/>
    <w:multiLevelType w:val="hybridMultilevel"/>
    <w:tmpl w:val="F7088190"/>
    <w:lvl w:ilvl="0" w:tplc="E1CE28B2">
      <w:start w:val="1"/>
      <w:numFmt w:val="bullet"/>
      <w:lvlText w:val=""/>
      <w:lvlJc w:val="left"/>
      <w:pPr>
        <w:tabs>
          <w:tab w:val="num" w:pos="720"/>
        </w:tabs>
        <w:ind w:left="720" w:hanging="360"/>
      </w:pPr>
      <w:rPr>
        <w:rFonts w:ascii="Symbol" w:hAnsi="Symbol" w:hint="default"/>
      </w:rPr>
    </w:lvl>
    <w:lvl w:ilvl="1" w:tplc="BD02AF08" w:tentative="1">
      <w:start w:val="1"/>
      <w:numFmt w:val="bullet"/>
      <w:lvlText w:val=""/>
      <w:lvlJc w:val="left"/>
      <w:pPr>
        <w:tabs>
          <w:tab w:val="num" w:pos="1440"/>
        </w:tabs>
        <w:ind w:left="1440" w:hanging="360"/>
      </w:pPr>
      <w:rPr>
        <w:rFonts w:ascii="Symbol" w:hAnsi="Symbol" w:hint="default"/>
      </w:rPr>
    </w:lvl>
    <w:lvl w:ilvl="2" w:tplc="510E05C8" w:tentative="1">
      <w:start w:val="1"/>
      <w:numFmt w:val="bullet"/>
      <w:lvlText w:val=""/>
      <w:lvlJc w:val="left"/>
      <w:pPr>
        <w:tabs>
          <w:tab w:val="num" w:pos="2160"/>
        </w:tabs>
        <w:ind w:left="2160" w:hanging="360"/>
      </w:pPr>
      <w:rPr>
        <w:rFonts w:ascii="Symbol" w:hAnsi="Symbol" w:hint="default"/>
      </w:rPr>
    </w:lvl>
    <w:lvl w:ilvl="3" w:tplc="27D43644" w:tentative="1">
      <w:start w:val="1"/>
      <w:numFmt w:val="bullet"/>
      <w:lvlText w:val=""/>
      <w:lvlJc w:val="left"/>
      <w:pPr>
        <w:tabs>
          <w:tab w:val="num" w:pos="2880"/>
        </w:tabs>
        <w:ind w:left="2880" w:hanging="360"/>
      </w:pPr>
      <w:rPr>
        <w:rFonts w:ascii="Symbol" w:hAnsi="Symbol" w:hint="default"/>
      </w:rPr>
    </w:lvl>
    <w:lvl w:ilvl="4" w:tplc="5AB0A8F4" w:tentative="1">
      <w:start w:val="1"/>
      <w:numFmt w:val="bullet"/>
      <w:lvlText w:val=""/>
      <w:lvlJc w:val="left"/>
      <w:pPr>
        <w:tabs>
          <w:tab w:val="num" w:pos="3600"/>
        </w:tabs>
        <w:ind w:left="3600" w:hanging="360"/>
      </w:pPr>
      <w:rPr>
        <w:rFonts w:ascii="Symbol" w:hAnsi="Symbol" w:hint="default"/>
      </w:rPr>
    </w:lvl>
    <w:lvl w:ilvl="5" w:tplc="3D4C1B3C" w:tentative="1">
      <w:start w:val="1"/>
      <w:numFmt w:val="bullet"/>
      <w:lvlText w:val=""/>
      <w:lvlJc w:val="left"/>
      <w:pPr>
        <w:tabs>
          <w:tab w:val="num" w:pos="4320"/>
        </w:tabs>
        <w:ind w:left="4320" w:hanging="360"/>
      </w:pPr>
      <w:rPr>
        <w:rFonts w:ascii="Symbol" w:hAnsi="Symbol" w:hint="default"/>
      </w:rPr>
    </w:lvl>
    <w:lvl w:ilvl="6" w:tplc="3794A5D0" w:tentative="1">
      <w:start w:val="1"/>
      <w:numFmt w:val="bullet"/>
      <w:lvlText w:val=""/>
      <w:lvlJc w:val="left"/>
      <w:pPr>
        <w:tabs>
          <w:tab w:val="num" w:pos="5040"/>
        </w:tabs>
        <w:ind w:left="5040" w:hanging="360"/>
      </w:pPr>
      <w:rPr>
        <w:rFonts w:ascii="Symbol" w:hAnsi="Symbol" w:hint="default"/>
      </w:rPr>
    </w:lvl>
    <w:lvl w:ilvl="7" w:tplc="9FCABA54" w:tentative="1">
      <w:start w:val="1"/>
      <w:numFmt w:val="bullet"/>
      <w:lvlText w:val=""/>
      <w:lvlJc w:val="left"/>
      <w:pPr>
        <w:tabs>
          <w:tab w:val="num" w:pos="5760"/>
        </w:tabs>
        <w:ind w:left="5760" w:hanging="360"/>
      </w:pPr>
      <w:rPr>
        <w:rFonts w:ascii="Symbol" w:hAnsi="Symbol" w:hint="default"/>
      </w:rPr>
    </w:lvl>
    <w:lvl w:ilvl="8" w:tplc="A5AADD3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72A25C4"/>
    <w:multiLevelType w:val="hybridMultilevel"/>
    <w:tmpl w:val="D8ACFF34"/>
    <w:lvl w:ilvl="0" w:tplc="C1CE921C">
      <w:start w:val="1"/>
      <w:numFmt w:val="decimal"/>
      <w:lvlText w:val="%1."/>
      <w:lvlJc w:val="left"/>
      <w:pPr>
        <w:ind w:left="389" w:hanging="360"/>
      </w:pPr>
      <w:rPr>
        <w:rFonts w:hint="default"/>
      </w:rPr>
    </w:lvl>
    <w:lvl w:ilvl="1" w:tplc="04220019" w:tentative="1">
      <w:start w:val="1"/>
      <w:numFmt w:val="lowerLetter"/>
      <w:lvlText w:val="%2."/>
      <w:lvlJc w:val="left"/>
      <w:pPr>
        <w:ind w:left="1109" w:hanging="360"/>
      </w:pPr>
    </w:lvl>
    <w:lvl w:ilvl="2" w:tplc="0422001B" w:tentative="1">
      <w:start w:val="1"/>
      <w:numFmt w:val="lowerRoman"/>
      <w:lvlText w:val="%3."/>
      <w:lvlJc w:val="right"/>
      <w:pPr>
        <w:ind w:left="1829" w:hanging="180"/>
      </w:pPr>
    </w:lvl>
    <w:lvl w:ilvl="3" w:tplc="0422000F" w:tentative="1">
      <w:start w:val="1"/>
      <w:numFmt w:val="decimal"/>
      <w:lvlText w:val="%4."/>
      <w:lvlJc w:val="left"/>
      <w:pPr>
        <w:ind w:left="2549" w:hanging="360"/>
      </w:pPr>
    </w:lvl>
    <w:lvl w:ilvl="4" w:tplc="04220019" w:tentative="1">
      <w:start w:val="1"/>
      <w:numFmt w:val="lowerLetter"/>
      <w:lvlText w:val="%5."/>
      <w:lvlJc w:val="left"/>
      <w:pPr>
        <w:ind w:left="3269" w:hanging="360"/>
      </w:pPr>
    </w:lvl>
    <w:lvl w:ilvl="5" w:tplc="0422001B" w:tentative="1">
      <w:start w:val="1"/>
      <w:numFmt w:val="lowerRoman"/>
      <w:lvlText w:val="%6."/>
      <w:lvlJc w:val="right"/>
      <w:pPr>
        <w:ind w:left="3989" w:hanging="180"/>
      </w:pPr>
    </w:lvl>
    <w:lvl w:ilvl="6" w:tplc="0422000F" w:tentative="1">
      <w:start w:val="1"/>
      <w:numFmt w:val="decimal"/>
      <w:lvlText w:val="%7."/>
      <w:lvlJc w:val="left"/>
      <w:pPr>
        <w:ind w:left="4709" w:hanging="360"/>
      </w:pPr>
    </w:lvl>
    <w:lvl w:ilvl="7" w:tplc="04220019" w:tentative="1">
      <w:start w:val="1"/>
      <w:numFmt w:val="lowerLetter"/>
      <w:lvlText w:val="%8."/>
      <w:lvlJc w:val="left"/>
      <w:pPr>
        <w:ind w:left="5429" w:hanging="360"/>
      </w:pPr>
    </w:lvl>
    <w:lvl w:ilvl="8" w:tplc="0422001B" w:tentative="1">
      <w:start w:val="1"/>
      <w:numFmt w:val="lowerRoman"/>
      <w:lvlText w:val="%9."/>
      <w:lvlJc w:val="right"/>
      <w:pPr>
        <w:ind w:left="6149" w:hanging="180"/>
      </w:pPr>
    </w:lvl>
  </w:abstractNum>
  <w:abstractNum w:abstractNumId="4" w15:restartNumberingAfterBreak="0">
    <w:nsid w:val="46445C01"/>
    <w:multiLevelType w:val="hybridMultilevel"/>
    <w:tmpl w:val="2242856E"/>
    <w:lvl w:ilvl="0" w:tplc="7666B9CC">
      <w:start w:val="1"/>
      <w:numFmt w:val="decimal"/>
      <w:lvlText w:val="%1)"/>
      <w:lvlJc w:val="left"/>
      <w:pPr>
        <w:ind w:left="786" w:hanging="360"/>
      </w:pPr>
      <w:rPr>
        <w:b/>
        <w:bCs/>
        <w:color w:val="auto"/>
        <w:sz w:val="28"/>
        <w:szCs w:val="28"/>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5" w15:restartNumberingAfterBreak="0">
    <w:nsid w:val="6323755B"/>
    <w:multiLevelType w:val="hybridMultilevel"/>
    <w:tmpl w:val="1D303B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63C1EFC"/>
    <w:multiLevelType w:val="hybridMultilevel"/>
    <w:tmpl w:val="A2FE7166"/>
    <w:lvl w:ilvl="0" w:tplc="DCFA1560">
      <w:start w:val="1"/>
      <w:numFmt w:val="bullet"/>
      <w:lvlText w:val=""/>
      <w:lvlJc w:val="left"/>
      <w:pPr>
        <w:tabs>
          <w:tab w:val="num" w:pos="720"/>
        </w:tabs>
        <w:ind w:left="720" w:hanging="360"/>
      </w:pPr>
      <w:rPr>
        <w:rFonts w:ascii="Symbol" w:hAnsi="Symbol" w:hint="default"/>
      </w:rPr>
    </w:lvl>
    <w:lvl w:ilvl="1" w:tplc="6B32F516" w:tentative="1">
      <w:start w:val="1"/>
      <w:numFmt w:val="bullet"/>
      <w:lvlText w:val=""/>
      <w:lvlJc w:val="left"/>
      <w:pPr>
        <w:tabs>
          <w:tab w:val="num" w:pos="1440"/>
        </w:tabs>
        <w:ind w:left="1440" w:hanging="360"/>
      </w:pPr>
      <w:rPr>
        <w:rFonts w:ascii="Symbol" w:hAnsi="Symbol" w:hint="default"/>
      </w:rPr>
    </w:lvl>
    <w:lvl w:ilvl="2" w:tplc="010C701E" w:tentative="1">
      <w:start w:val="1"/>
      <w:numFmt w:val="bullet"/>
      <w:lvlText w:val=""/>
      <w:lvlJc w:val="left"/>
      <w:pPr>
        <w:tabs>
          <w:tab w:val="num" w:pos="2160"/>
        </w:tabs>
        <w:ind w:left="2160" w:hanging="360"/>
      </w:pPr>
      <w:rPr>
        <w:rFonts w:ascii="Symbol" w:hAnsi="Symbol" w:hint="default"/>
      </w:rPr>
    </w:lvl>
    <w:lvl w:ilvl="3" w:tplc="8ABCDFD6" w:tentative="1">
      <w:start w:val="1"/>
      <w:numFmt w:val="bullet"/>
      <w:lvlText w:val=""/>
      <w:lvlJc w:val="left"/>
      <w:pPr>
        <w:tabs>
          <w:tab w:val="num" w:pos="2880"/>
        </w:tabs>
        <w:ind w:left="2880" w:hanging="360"/>
      </w:pPr>
      <w:rPr>
        <w:rFonts w:ascii="Symbol" w:hAnsi="Symbol" w:hint="default"/>
      </w:rPr>
    </w:lvl>
    <w:lvl w:ilvl="4" w:tplc="914A3B7E" w:tentative="1">
      <w:start w:val="1"/>
      <w:numFmt w:val="bullet"/>
      <w:lvlText w:val=""/>
      <w:lvlJc w:val="left"/>
      <w:pPr>
        <w:tabs>
          <w:tab w:val="num" w:pos="3600"/>
        </w:tabs>
        <w:ind w:left="3600" w:hanging="360"/>
      </w:pPr>
      <w:rPr>
        <w:rFonts w:ascii="Symbol" w:hAnsi="Symbol" w:hint="default"/>
      </w:rPr>
    </w:lvl>
    <w:lvl w:ilvl="5" w:tplc="C74AF380" w:tentative="1">
      <w:start w:val="1"/>
      <w:numFmt w:val="bullet"/>
      <w:lvlText w:val=""/>
      <w:lvlJc w:val="left"/>
      <w:pPr>
        <w:tabs>
          <w:tab w:val="num" w:pos="4320"/>
        </w:tabs>
        <w:ind w:left="4320" w:hanging="360"/>
      </w:pPr>
      <w:rPr>
        <w:rFonts w:ascii="Symbol" w:hAnsi="Symbol" w:hint="default"/>
      </w:rPr>
    </w:lvl>
    <w:lvl w:ilvl="6" w:tplc="395A83CA" w:tentative="1">
      <w:start w:val="1"/>
      <w:numFmt w:val="bullet"/>
      <w:lvlText w:val=""/>
      <w:lvlJc w:val="left"/>
      <w:pPr>
        <w:tabs>
          <w:tab w:val="num" w:pos="5040"/>
        </w:tabs>
        <w:ind w:left="5040" w:hanging="360"/>
      </w:pPr>
      <w:rPr>
        <w:rFonts w:ascii="Symbol" w:hAnsi="Symbol" w:hint="default"/>
      </w:rPr>
    </w:lvl>
    <w:lvl w:ilvl="7" w:tplc="7DD01418" w:tentative="1">
      <w:start w:val="1"/>
      <w:numFmt w:val="bullet"/>
      <w:lvlText w:val=""/>
      <w:lvlJc w:val="left"/>
      <w:pPr>
        <w:tabs>
          <w:tab w:val="num" w:pos="5760"/>
        </w:tabs>
        <w:ind w:left="5760" w:hanging="360"/>
      </w:pPr>
      <w:rPr>
        <w:rFonts w:ascii="Symbol" w:hAnsi="Symbol" w:hint="default"/>
      </w:rPr>
    </w:lvl>
    <w:lvl w:ilvl="8" w:tplc="54F843B0"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5"/>
  </w:num>
  <w:num w:numId="3">
    <w:abstractNumId w:val="3"/>
  </w:num>
  <w:num w:numId="4">
    <w:abstractNumId w:val="2"/>
  </w:num>
  <w:num w:numId="5">
    <w:abstractNumId w:val="6"/>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BB2"/>
    <w:rsid w:val="000111F2"/>
    <w:rsid w:val="00012E15"/>
    <w:rsid w:val="0001379B"/>
    <w:rsid w:val="00016245"/>
    <w:rsid w:val="00017E0F"/>
    <w:rsid w:val="00022F5E"/>
    <w:rsid w:val="00023100"/>
    <w:rsid w:val="0002624B"/>
    <w:rsid w:val="00026858"/>
    <w:rsid w:val="00030A05"/>
    <w:rsid w:val="00047F10"/>
    <w:rsid w:val="00053460"/>
    <w:rsid w:val="00061572"/>
    <w:rsid w:val="00061ACA"/>
    <w:rsid w:val="00061EEF"/>
    <w:rsid w:val="000621C7"/>
    <w:rsid w:val="00062C6E"/>
    <w:rsid w:val="00074A64"/>
    <w:rsid w:val="00077220"/>
    <w:rsid w:val="00084913"/>
    <w:rsid w:val="000858D8"/>
    <w:rsid w:val="00087247"/>
    <w:rsid w:val="000942DC"/>
    <w:rsid w:val="000966C7"/>
    <w:rsid w:val="000A11F3"/>
    <w:rsid w:val="000C6920"/>
    <w:rsid w:val="000D0DEE"/>
    <w:rsid w:val="000E1CFD"/>
    <w:rsid w:val="000F0A66"/>
    <w:rsid w:val="000F57CF"/>
    <w:rsid w:val="00101DC5"/>
    <w:rsid w:val="001040F2"/>
    <w:rsid w:val="001159EA"/>
    <w:rsid w:val="00120842"/>
    <w:rsid w:val="001244A1"/>
    <w:rsid w:val="00125DD6"/>
    <w:rsid w:val="00130244"/>
    <w:rsid w:val="00131C72"/>
    <w:rsid w:val="00132A4A"/>
    <w:rsid w:val="00132A4D"/>
    <w:rsid w:val="00133059"/>
    <w:rsid w:val="001331C6"/>
    <w:rsid w:val="0013388A"/>
    <w:rsid w:val="00133F3D"/>
    <w:rsid w:val="001358C0"/>
    <w:rsid w:val="001379C6"/>
    <w:rsid w:val="00140001"/>
    <w:rsid w:val="001464F8"/>
    <w:rsid w:val="00146C61"/>
    <w:rsid w:val="0015325C"/>
    <w:rsid w:val="00163DE4"/>
    <w:rsid w:val="00163F33"/>
    <w:rsid w:val="0017415B"/>
    <w:rsid w:val="001758AC"/>
    <w:rsid w:val="00176945"/>
    <w:rsid w:val="0019077C"/>
    <w:rsid w:val="001A2414"/>
    <w:rsid w:val="001A6D99"/>
    <w:rsid w:val="001B0208"/>
    <w:rsid w:val="001B3CA1"/>
    <w:rsid w:val="001B40E6"/>
    <w:rsid w:val="001B72E0"/>
    <w:rsid w:val="001B77AC"/>
    <w:rsid w:val="001C048A"/>
    <w:rsid w:val="001C3F32"/>
    <w:rsid w:val="001C4459"/>
    <w:rsid w:val="001C4934"/>
    <w:rsid w:val="001C4C0B"/>
    <w:rsid w:val="001E5109"/>
    <w:rsid w:val="001E5C75"/>
    <w:rsid w:val="001E7E5D"/>
    <w:rsid w:val="001E7FBD"/>
    <w:rsid w:val="001F0A96"/>
    <w:rsid w:val="001F0D79"/>
    <w:rsid w:val="0020273D"/>
    <w:rsid w:val="00207014"/>
    <w:rsid w:val="00211AE9"/>
    <w:rsid w:val="00212258"/>
    <w:rsid w:val="002162BD"/>
    <w:rsid w:val="00224497"/>
    <w:rsid w:val="0022638E"/>
    <w:rsid w:val="00227BF2"/>
    <w:rsid w:val="002310BD"/>
    <w:rsid w:val="00244C03"/>
    <w:rsid w:val="00251996"/>
    <w:rsid w:val="00251EAF"/>
    <w:rsid w:val="0025298A"/>
    <w:rsid w:val="00254202"/>
    <w:rsid w:val="002560EA"/>
    <w:rsid w:val="002617C5"/>
    <w:rsid w:val="00262730"/>
    <w:rsid w:val="00263893"/>
    <w:rsid w:val="00264848"/>
    <w:rsid w:val="00272DA4"/>
    <w:rsid w:val="002766BD"/>
    <w:rsid w:val="00277F30"/>
    <w:rsid w:val="00283990"/>
    <w:rsid w:val="002979AC"/>
    <w:rsid w:val="002A35D9"/>
    <w:rsid w:val="002A4433"/>
    <w:rsid w:val="002A5F5E"/>
    <w:rsid w:val="002B1FDA"/>
    <w:rsid w:val="002B55C1"/>
    <w:rsid w:val="002C1D40"/>
    <w:rsid w:val="002C29C2"/>
    <w:rsid w:val="002C2C36"/>
    <w:rsid w:val="002C323C"/>
    <w:rsid w:val="002C35B6"/>
    <w:rsid w:val="002D0758"/>
    <w:rsid w:val="002D4A29"/>
    <w:rsid w:val="002E0E95"/>
    <w:rsid w:val="002E382C"/>
    <w:rsid w:val="002E7484"/>
    <w:rsid w:val="002F59AD"/>
    <w:rsid w:val="00300237"/>
    <w:rsid w:val="0030297F"/>
    <w:rsid w:val="00302BCD"/>
    <w:rsid w:val="00307B25"/>
    <w:rsid w:val="00315B60"/>
    <w:rsid w:val="003170E4"/>
    <w:rsid w:val="00320C6A"/>
    <w:rsid w:val="00321F8E"/>
    <w:rsid w:val="00330872"/>
    <w:rsid w:val="00332B37"/>
    <w:rsid w:val="00332F59"/>
    <w:rsid w:val="003331D6"/>
    <w:rsid w:val="00334116"/>
    <w:rsid w:val="00335A90"/>
    <w:rsid w:val="00336AE7"/>
    <w:rsid w:val="00340D85"/>
    <w:rsid w:val="00341855"/>
    <w:rsid w:val="00341B7F"/>
    <w:rsid w:val="0035103B"/>
    <w:rsid w:val="003526A2"/>
    <w:rsid w:val="0035384D"/>
    <w:rsid w:val="00362F39"/>
    <w:rsid w:val="003664D5"/>
    <w:rsid w:val="00373D54"/>
    <w:rsid w:val="003744E9"/>
    <w:rsid w:val="0038018E"/>
    <w:rsid w:val="0038079B"/>
    <w:rsid w:val="0038281F"/>
    <w:rsid w:val="00382BDC"/>
    <w:rsid w:val="00386432"/>
    <w:rsid w:val="003902DF"/>
    <w:rsid w:val="00397FFB"/>
    <w:rsid w:val="003A0387"/>
    <w:rsid w:val="003A0956"/>
    <w:rsid w:val="003A10EE"/>
    <w:rsid w:val="003A46D4"/>
    <w:rsid w:val="003A55E8"/>
    <w:rsid w:val="003B07E0"/>
    <w:rsid w:val="003B2C40"/>
    <w:rsid w:val="003B3E04"/>
    <w:rsid w:val="003B73F6"/>
    <w:rsid w:val="003C2FCD"/>
    <w:rsid w:val="003C31B0"/>
    <w:rsid w:val="003D17A4"/>
    <w:rsid w:val="003D24EC"/>
    <w:rsid w:val="003D3AB7"/>
    <w:rsid w:val="003D46CE"/>
    <w:rsid w:val="003D580E"/>
    <w:rsid w:val="003D5A97"/>
    <w:rsid w:val="003D655D"/>
    <w:rsid w:val="003E2016"/>
    <w:rsid w:val="003E58BA"/>
    <w:rsid w:val="003F4510"/>
    <w:rsid w:val="0040024F"/>
    <w:rsid w:val="00412CD1"/>
    <w:rsid w:val="00420FE4"/>
    <w:rsid w:val="004213FE"/>
    <w:rsid w:val="00423BE5"/>
    <w:rsid w:val="0042668B"/>
    <w:rsid w:val="0043025F"/>
    <w:rsid w:val="0043078A"/>
    <w:rsid w:val="00430C90"/>
    <w:rsid w:val="0043455C"/>
    <w:rsid w:val="004356BE"/>
    <w:rsid w:val="00445D91"/>
    <w:rsid w:val="0045186B"/>
    <w:rsid w:val="004633AA"/>
    <w:rsid w:val="00464F22"/>
    <w:rsid w:val="00467779"/>
    <w:rsid w:val="00473B83"/>
    <w:rsid w:val="004767B4"/>
    <w:rsid w:val="004778E5"/>
    <w:rsid w:val="00480EAD"/>
    <w:rsid w:val="0048289F"/>
    <w:rsid w:val="004832F1"/>
    <w:rsid w:val="00487114"/>
    <w:rsid w:val="00493AE0"/>
    <w:rsid w:val="004948CA"/>
    <w:rsid w:val="004956D0"/>
    <w:rsid w:val="004A4697"/>
    <w:rsid w:val="004B56BF"/>
    <w:rsid w:val="004B58D4"/>
    <w:rsid w:val="004B64F8"/>
    <w:rsid w:val="004B6AA5"/>
    <w:rsid w:val="004B7599"/>
    <w:rsid w:val="004D0F6D"/>
    <w:rsid w:val="004D3A9C"/>
    <w:rsid w:val="004D6A85"/>
    <w:rsid w:val="004E55CA"/>
    <w:rsid w:val="004E5FF3"/>
    <w:rsid w:val="004F03F4"/>
    <w:rsid w:val="004F3C0F"/>
    <w:rsid w:val="004F5049"/>
    <w:rsid w:val="00501121"/>
    <w:rsid w:val="0050476B"/>
    <w:rsid w:val="00505871"/>
    <w:rsid w:val="005058B9"/>
    <w:rsid w:val="00507F63"/>
    <w:rsid w:val="00511139"/>
    <w:rsid w:val="0051527F"/>
    <w:rsid w:val="005220A2"/>
    <w:rsid w:val="00523DA6"/>
    <w:rsid w:val="00524463"/>
    <w:rsid w:val="00532293"/>
    <w:rsid w:val="00532CB0"/>
    <w:rsid w:val="005330E0"/>
    <w:rsid w:val="005342B7"/>
    <w:rsid w:val="005344A3"/>
    <w:rsid w:val="005345CB"/>
    <w:rsid w:val="00534AA2"/>
    <w:rsid w:val="00535375"/>
    <w:rsid w:val="005355DB"/>
    <w:rsid w:val="0053605E"/>
    <w:rsid w:val="00544580"/>
    <w:rsid w:val="00545736"/>
    <w:rsid w:val="00546E51"/>
    <w:rsid w:val="00554D45"/>
    <w:rsid w:val="00557260"/>
    <w:rsid w:val="005647DB"/>
    <w:rsid w:val="0057713D"/>
    <w:rsid w:val="005825CA"/>
    <w:rsid w:val="00592A45"/>
    <w:rsid w:val="005A358D"/>
    <w:rsid w:val="005A4FAF"/>
    <w:rsid w:val="005A7CED"/>
    <w:rsid w:val="005B224B"/>
    <w:rsid w:val="005B3553"/>
    <w:rsid w:val="005B782D"/>
    <w:rsid w:val="005D05E1"/>
    <w:rsid w:val="005D1A1E"/>
    <w:rsid w:val="005D1D29"/>
    <w:rsid w:val="005D2213"/>
    <w:rsid w:val="005D22AF"/>
    <w:rsid w:val="005D3B61"/>
    <w:rsid w:val="005D469A"/>
    <w:rsid w:val="005E0ECD"/>
    <w:rsid w:val="005E193D"/>
    <w:rsid w:val="005E2430"/>
    <w:rsid w:val="005F15C5"/>
    <w:rsid w:val="005F26FC"/>
    <w:rsid w:val="005F3756"/>
    <w:rsid w:val="005F43A8"/>
    <w:rsid w:val="005F587F"/>
    <w:rsid w:val="005F6D72"/>
    <w:rsid w:val="00603037"/>
    <w:rsid w:val="006042B4"/>
    <w:rsid w:val="006065A8"/>
    <w:rsid w:val="0060766A"/>
    <w:rsid w:val="00613A9A"/>
    <w:rsid w:val="0062159B"/>
    <w:rsid w:val="006217DD"/>
    <w:rsid w:val="00631B37"/>
    <w:rsid w:val="00632523"/>
    <w:rsid w:val="0063362E"/>
    <w:rsid w:val="0063687B"/>
    <w:rsid w:val="00640C3C"/>
    <w:rsid w:val="00640F44"/>
    <w:rsid w:val="006435BF"/>
    <w:rsid w:val="00646762"/>
    <w:rsid w:val="00651403"/>
    <w:rsid w:val="00651839"/>
    <w:rsid w:val="00652D95"/>
    <w:rsid w:val="006546AE"/>
    <w:rsid w:val="006555FE"/>
    <w:rsid w:val="00664FDD"/>
    <w:rsid w:val="00665177"/>
    <w:rsid w:val="006673DA"/>
    <w:rsid w:val="00684F2C"/>
    <w:rsid w:val="00687FA2"/>
    <w:rsid w:val="00693F89"/>
    <w:rsid w:val="006A3493"/>
    <w:rsid w:val="006A3ED0"/>
    <w:rsid w:val="006A3F23"/>
    <w:rsid w:val="006B2385"/>
    <w:rsid w:val="006B52FD"/>
    <w:rsid w:val="006B5FB6"/>
    <w:rsid w:val="006B65C0"/>
    <w:rsid w:val="006B70A6"/>
    <w:rsid w:val="006C0433"/>
    <w:rsid w:val="006C4569"/>
    <w:rsid w:val="006C6E43"/>
    <w:rsid w:val="006D5B88"/>
    <w:rsid w:val="006D5E6C"/>
    <w:rsid w:val="006E5AF2"/>
    <w:rsid w:val="006F7CDE"/>
    <w:rsid w:val="007028EB"/>
    <w:rsid w:val="007056B3"/>
    <w:rsid w:val="00711B9C"/>
    <w:rsid w:val="00711C5C"/>
    <w:rsid w:val="0071292C"/>
    <w:rsid w:val="00714AC5"/>
    <w:rsid w:val="0071726F"/>
    <w:rsid w:val="00717954"/>
    <w:rsid w:val="00720450"/>
    <w:rsid w:val="00722311"/>
    <w:rsid w:val="00723C06"/>
    <w:rsid w:val="00725571"/>
    <w:rsid w:val="00726E95"/>
    <w:rsid w:val="00730F5F"/>
    <w:rsid w:val="007316EC"/>
    <w:rsid w:val="00742F0B"/>
    <w:rsid w:val="00754125"/>
    <w:rsid w:val="00760D14"/>
    <w:rsid w:val="00761D82"/>
    <w:rsid w:val="00763CE9"/>
    <w:rsid w:val="00763F05"/>
    <w:rsid w:val="00766ED4"/>
    <w:rsid w:val="00770E2D"/>
    <w:rsid w:val="007744BE"/>
    <w:rsid w:val="00774FED"/>
    <w:rsid w:val="00775C7A"/>
    <w:rsid w:val="007829F3"/>
    <w:rsid w:val="00786287"/>
    <w:rsid w:val="00786988"/>
    <w:rsid w:val="0079209D"/>
    <w:rsid w:val="007A2BAD"/>
    <w:rsid w:val="007A5447"/>
    <w:rsid w:val="007A6DA5"/>
    <w:rsid w:val="007B26C0"/>
    <w:rsid w:val="007C0D6E"/>
    <w:rsid w:val="007C14B3"/>
    <w:rsid w:val="007C1E8D"/>
    <w:rsid w:val="007C1FBC"/>
    <w:rsid w:val="007C5DBA"/>
    <w:rsid w:val="007C7905"/>
    <w:rsid w:val="007D4255"/>
    <w:rsid w:val="007D7676"/>
    <w:rsid w:val="007E48B7"/>
    <w:rsid w:val="007E4906"/>
    <w:rsid w:val="007F26C5"/>
    <w:rsid w:val="007F32BA"/>
    <w:rsid w:val="007F3FE8"/>
    <w:rsid w:val="00800F9D"/>
    <w:rsid w:val="00803205"/>
    <w:rsid w:val="0080420F"/>
    <w:rsid w:val="00827BA9"/>
    <w:rsid w:val="00831801"/>
    <w:rsid w:val="00834B2A"/>
    <w:rsid w:val="00834BB2"/>
    <w:rsid w:val="008350E0"/>
    <w:rsid w:val="0083555B"/>
    <w:rsid w:val="008357B5"/>
    <w:rsid w:val="00836B5F"/>
    <w:rsid w:val="00836BEA"/>
    <w:rsid w:val="00837D64"/>
    <w:rsid w:val="008421F2"/>
    <w:rsid w:val="00845077"/>
    <w:rsid w:val="00845B6A"/>
    <w:rsid w:val="00851D09"/>
    <w:rsid w:val="00853189"/>
    <w:rsid w:val="00853FA0"/>
    <w:rsid w:val="008546D8"/>
    <w:rsid w:val="00856A7E"/>
    <w:rsid w:val="0086196D"/>
    <w:rsid w:val="0086352B"/>
    <w:rsid w:val="008640C9"/>
    <w:rsid w:val="008656ED"/>
    <w:rsid w:val="00870E39"/>
    <w:rsid w:val="0087276F"/>
    <w:rsid w:val="0087750E"/>
    <w:rsid w:val="0088170E"/>
    <w:rsid w:val="0088380E"/>
    <w:rsid w:val="00883C27"/>
    <w:rsid w:val="00885A72"/>
    <w:rsid w:val="00886EC8"/>
    <w:rsid w:val="008904CB"/>
    <w:rsid w:val="008A1746"/>
    <w:rsid w:val="008A202C"/>
    <w:rsid w:val="008A46E1"/>
    <w:rsid w:val="008A4E71"/>
    <w:rsid w:val="008B41FC"/>
    <w:rsid w:val="008B6892"/>
    <w:rsid w:val="008C1242"/>
    <w:rsid w:val="008C3C8B"/>
    <w:rsid w:val="008D0ED3"/>
    <w:rsid w:val="008D1191"/>
    <w:rsid w:val="008D2457"/>
    <w:rsid w:val="008E2E2D"/>
    <w:rsid w:val="008F2639"/>
    <w:rsid w:val="008F6C12"/>
    <w:rsid w:val="00904E8E"/>
    <w:rsid w:val="009050C1"/>
    <w:rsid w:val="0091255B"/>
    <w:rsid w:val="009130A4"/>
    <w:rsid w:val="00921D65"/>
    <w:rsid w:val="00924C21"/>
    <w:rsid w:val="00927760"/>
    <w:rsid w:val="00932186"/>
    <w:rsid w:val="00934CE8"/>
    <w:rsid w:val="0093749A"/>
    <w:rsid w:val="009377EC"/>
    <w:rsid w:val="009425B7"/>
    <w:rsid w:val="009429C8"/>
    <w:rsid w:val="00947CF7"/>
    <w:rsid w:val="00950059"/>
    <w:rsid w:val="0095111F"/>
    <w:rsid w:val="00951F88"/>
    <w:rsid w:val="0095221A"/>
    <w:rsid w:val="00953F1A"/>
    <w:rsid w:val="0096440B"/>
    <w:rsid w:val="0096544F"/>
    <w:rsid w:val="0096708C"/>
    <w:rsid w:val="0097353D"/>
    <w:rsid w:val="00974B01"/>
    <w:rsid w:val="00976472"/>
    <w:rsid w:val="009847BB"/>
    <w:rsid w:val="00986A51"/>
    <w:rsid w:val="00986DB6"/>
    <w:rsid w:val="009872F7"/>
    <w:rsid w:val="00990038"/>
    <w:rsid w:val="00992C2B"/>
    <w:rsid w:val="0099334F"/>
    <w:rsid w:val="00996F46"/>
    <w:rsid w:val="009A0BDF"/>
    <w:rsid w:val="009A12A2"/>
    <w:rsid w:val="009B0FC0"/>
    <w:rsid w:val="009B1952"/>
    <w:rsid w:val="009B39E0"/>
    <w:rsid w:val="009B4E5F"/>
    <w:rsid w:val="009B6375"/>
    <w:rsid w:val="009B7165"/>
    <w:rsid w:val="009C1D60"/>
    <w:rsid w:val="009C26BF"/>
    <w:rsid w:val="009C2EE5"/>
    <w:rsid w:val="009C55FD"/>
    <w:rsid w:val="009C7772"/>
    <w:rsid w:val="009D3BD3"/>
    <w:rsid w:val="009E04E2"/>
    <w:rsid w:val="009E2D00"/>
    <w:rsid w:val="009E6F06"/>
    <w:rsid w:val="009F0BCB"/>
    <w:rsid w:val="009F3FAC"/>
    <w:rsid w:val="009F526A"/>
    <w:rsid w:val="009F6F61"/>
    <w:rsid w:val="00A0398E"/>
    <w:rsid w:val="00A04001"/>
    <w:rsid w:val="00A04987"/>
    <w:rsid w:val="00A06FB8"/>
    <w:rsid w:val="00A13C6C"/>
    <w:rsid w:val="00A20F37"/>
    <w:rsid w:val="00A26FD7"/>
    <w:rsid w:val="00A30735"/>
    <w:rsid w:val="00A30744"/>
    <w:rsid w:val="00A30A6C"/>
    <w:rsid w:val="00A3223B"/>
    <w:rsid w:val="00A33B80"/>
    <w:rsid w:val="00A3544A"/>
    <w:rsid w:val="00A44A9E"/>
    <w:rsid w:val="00A53365"/>
    <w:rsid w:val="00A644A1"/>
    <w:rsid w:val="00A7674C"/>
    <w:rsid w:val="00A77640"/>
    <w:rsid w:val="00A834E2"/>
    <w:rsid w:val="00A83F3D"/>
    <w:rsid w:val="00A84C1E"/>
    <w:rsid w:val="00A86BA4"/>
    <w:rsid w:val="00A87857"/>
    <w:rsid w:val="00A91D09"/>
    <w:rsid w:val="00A92167"/>
    <w:rsid w:val="00A94B92"/>
    <w:rsid w:val="00AA3D52"/>
    <w:rsid w:val="00AA6A14"/>
    <w:rsid w:val="00AB3704"/>
    <w:rsid w:val="00AC1CC4"/>
    <w:rsid w:val="00AC4EE2"/>
    <w:rsid w:val="00AC5299"/>
    <w:rsid w:val="00AD4B6B"/>
    <w:rsid w:val="00AE0360"/>
    <w:rsid w:val="00AE047D"/>
    <w:rsid w:val="00AE7FF1"/>
    <w:rsid w:val="00AF03C5"/>
    <w:rsid w:val="00AF2973"/>
    <w:rsid w:val="00AF33C2"/>
    <w:rsid w:val="00AF4291"/>
    <w:rsid w:val="00AF674F"/>
    <w:rsid w:val="00AF7A5D"/>
    <w:rsid w:val="00B03622"/>
    <w:rsid w:val="00B108D8"/>
    <w:rsid w:val="00B1215F"/>
    <w:rsid w:val="00B12A9B"/>
    <w:rsid w:val="00B141D3"/>
    <w:rsid w:val="00B156E7"/>
    <w:rsid w:val="00B31E71"/>
    <w:rsid w:val="00B3224B"/>
    <w:rsid w:val="00B3475A"/>
    <w:rsid w:val="00B3568B"/>
    <w:rsid w:val="00B45838"/>
    <w:rsid w:val="00B46A14"/>
    <w:rsid w:val="00B56267"/>
    <w:rsid w:val="00B56A4F"/>
    <w:rsid w:val="00B57D98"/>
    <w:rsid w:val="00B632A3"/>
    <w:rsid w:val="00B644EC"/>
    <w:rsid w:val="00B7144E"/>
    <w:rsid w:val="00B878CB"/>
    <w:rsid w:val="00B91DCC"/>
    <w:rsid w:val="00B93A5C"/>
    <w:rsid w:val="00BA001D"/>
    <w:rsid w:val="00BA035B"/>
    <w:rsid w:val="00BA3766"/>
    <w:rsid w:val="00BB3E0B"/>
    <w:rsid w:val="00BB6069"/>
    <w:rsid w:val="00BB61AC"/>
    <w:rsid w:val="00BC2000"/>
    <w:rsid w:val="00BC62F6"/>
    <w:rsid w:val="00BD1887"/>
    <w:rsid w:val="00BD4977"/>
    <w:rsid w:val="00BD5CBA"/>
    <w:rsid w:val="00BD5EF2"/>
    <w:rsid w:val="00BE11CB"/>
    <w:rsid w:val="00BE34A4"/>
    <w:rsid w:val="00BE3DC2"/>
    <w:rsid w:val="00BE4B78"/>
    <w:rsid w:val="00BE564D"/>
    <w:rsid w:val="00BF5C74"/>
    <w:rsid w:val="00BF60D4"/>
    <w:rsid w:val="00BF6CA5"/>
    <w:rsid w:val="00C12E43"/>
    <w:rsid w:val="00C2056D"/>
    <w:rsid w:val="00C21BBE"/>
    <w:rsid w:val="00C21CAB"/>
    <w:rsid w:val="00C2324B"/>
    <w:rsid w:val="00C2509A"/>
    <w:rsid w:val="00C25627"/>
    <w:rsid w:val="00C30E0C"/>
    <w:rsid w:val="00C33331"/>
    <w:rsid w:val="00C345C8"/>
    <w:rsid w:val="00C352D8"/>
    <w:rsid w:val="00C55724"/>
    <w:rsid w:val="00C57D71"/>
    <w:rsid w:val="00C57EE9"/>
    <w:rsid w:val="00C616B7"/>
    <w:rsid w:val="00C622B0"/>
    <w:rsid w:val="00C63D3D"/>
    <w:rsid w:val="00C63FFB"/>
    <w:rsid w:val="00C66818"/>
    <w:rsid w:val="00C679B3"/>
    <w:rsid w:val="00C746AF"/>
    <w:rsid w:val="00C83366"/>
    <w:rsid w:val="00C83C2A"/>
    <w:rsid w:val="00C85FDA"/>
    <w:rsid w:val="00CA419D"/>
    <w:rsid w:val="00CA6F22"/>
    <w:rsid w:val="00CB2E40"/>
    <w:rsid w:val="00CB70B0"/>
    <w:rsid w:val="00CD10BA"/>
    <w:rsid w:val="00CD5EAC"/>
    <w:rsid w:val="00CD7A75"/>
    <w:rsid w:val="00CE1E19"/>
    <w:rsid w:val="00CE33BD"/>
    <w:rsid w:val="00CE4A05"/>
    <w:rsid w:val="00CE7F6B"/>
    <w:rsid w:val="00CF0947"/>
    <w:rsid w:val="00CF1CB3"/>
    <w:rsid w:val="00CF29A3"/>
    <w:rsid w:val="00CF450E"/>
    <w:rsid w:val="00D04541"/>
    <w:rsid w:val="00D20506"/>
    <w:rsid w:val="00D227C9"/>
    <w:rsid w:val="00D22DEA"/>
    <w:rsid w:val="00D320AC"/>
    <w:rsid w:val="00D339EF"/>
    <w:rsid w:val="00D36C43"/>
    <w:rsid w:val="00D41997"/>
    <w:rsid w:val="00D43B73"/>
    <w:rsid w:val="00D448E9"/>
    <w:rsid w:val="00D4650E"/>
    <w:rsid w:val="00D56312"/>
    <w:rsid w:val="00D5650A"/>
    <w:rsid w:val="00D63CE0"/>
    <w:rsid w:val="00D70024"/>
    <w:rsid w:val="00D710DB"/>
    <w:rsid w:val="00D728AF"/>
    <w:rsid w:val="00D74A46"/>
    <w:rsid w:val="00D76B67"/>
    <w:rsid w:val="00D82B48"/>
    <w:rsid w:val="00D86132"/>
    <w:rsid w:val="00D86194"/>
    <w:rsid w:val="00D86383"/>
    <w:rsid w:val="00D900FB"/>
    <w:rsid w:val="00DA2FCE"/>
    <w:rsid w:val="00DB468D"/>
    <w:rsid w:val="00DB7FC1"/>
    <w:rsid w:val="00DC47B4"/>
    <w:rsid w:val="00DC52A8"/>
    <w:rsid w:val="00DC7E2E"/>
    <w:rsid w:val="00DD75D8"/>
    <w:rsid w:val="00DE022F"/>
    <w:rsid w:val="00DE4366"/>
    <w:rsid w:val="00DE4B2D"/>
    <w:rsid w:val="00DE646B"/>
    <w:rsid w:val="00E12F84"/>
    <w:rsid w:val="00E165B2"/>
    <w:rsid w:val="00E17055"/>
    <w:rsid w:val="00E215D0"/>
    <w:rsid w:val="00E2252F"/>
    <w:rsid w:val="00E233B0"/>
    <w:rsid w:val="00E333A0"/>
    <w:rsid w:val="00E3439B"/>
    <w:rsid w:val="00E3565A"/>
    <w:rsid w:val="00E44D33"/>
    <w:rsid w:val="00E47FEF"/>
    <w:rsid w:val="00E50E5C"/>
    <w:rsid w:val="00E60A46"/>
    <w:rsid w:val="00E64DD7"/>
    <w:rsid w:val="00E66F52"/>
    <w:rsid w:val="00E73554"/>
    <w:rsid w:val="00E73BB5"/>
    <w:rsid w:val="00E77180"/>
    <w:rsid w:val="00E843F9"/>
    <w:rsid w:val="00E8516A"/>
    <w:rsid w:val="00E8625E"/>
    <w:rsid w:val="00E86E4A"/>
    <w:rsid w:val="00E951DB"/>
    <w:rsid w:val="00E96918"/>
    <w:rsid w:val="00E96FB2"/>
    <w:rsid w:val="00EA02F3"/>
    <w:rsid w:val="00EA5773"/>
    <w:rsid w:val="00EA6FAD"/>
    <w:rsid w:val="00EB00B1"/>
    <w:rsid w:val="00EB051F"/>
    <w:rsid w:val="00EB2243"/>
    <w:rsid w:val="00EB3D07"/>
    <w:rsid w:val="00EB3D95"/>
    <w:rsid w:val="00EB6F91"/>
    <w:rsid w:val="00EC6C46"/>
    <w:rsid w:val="00EC743D"/>
    <w:rsid w:val="00ED0BA5"/>
    <w:rsid w:val="00ED2D5E"/>
    <w:rsid w:val="00ED3504"/>
    <w:rsid w:val="00ED76E1"/>
    <w:rsid w:val="00EE1671"/>
    <w:rsid w:val="00EE7601"/>
    <w:rsid w:val="00EF2CFA"/>
    <w:rsid w:val="00F02F02"/>
    <w:rsid w:val="00F07B7A"/>
    <w:rsid w:val="00F102F7"/>
    <w:rsid w:val="00F10FD4"/>
    <w:rsid w:val="00F157A8"/>
    <w:rsid w:val="00F22603"/>
    <w:rsid w:val="00F229D3"/>
    <w:rsid w:val="00F239FD"/>
    <w:rsid w:val="00F243C1"/>
    <w:rsid w:val="00F25099"/>
    <w:rsid w:val="00F34C97"/>
    <w:rsid w:val="00F42350"/>
    <w:rsid w:val="00F45537"/>
    <w:rsid w:val="00F61A66"/>
    <w:rsid w:val="00F717EA"/>
    <w:rsid w:val="00F75820"/>
    <w:rsid w:val="00F81B83"/>
    <w:rsid w:val="00F859AB"/>
    <w:rsid w:val="00F92D41"/>
    <w:rsid w:val="00FA2AE9"/>
    <w:rsid w:val="00FA3D8A"/>
    <w:rsid w:val="00FA3E24"/>
    <w:rsid w:val="00FA7A0E"/>
    <w:rsid w:val="00FB6122"/>
    <w:rsid w:val="00FC1D58"/>
    <w:rsid w:val="00FC2BB9"/>
    <w:rsid w:val="00FC3CAB"/>
    <w:rsid w:val="00FC70AA"/>
    <w:rsid w:val="00FC74BB"/>
    <w:rsid w:val="00FD028D"/>
    <w:rsid w:val="00FD0727"/>
    <w:rsid w:val="00FD7AA2"/>
    <w:rsid w:val="00FE19E8"/>
    <w:rsid w:val="00FE1B21"/>
    <w:rsid w:val="00FE7440"/>
    <w:rsid w:val="00FF0400"/>
    <w:rsid w:val="00FF3433"/>
    <w:rsid w:val="00FF7B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CF096"/>
  <w15:chartTrackingRefBased/>
  <w15:docId w15:val="{90B6F930-6235-43EB-8B64-4CBDE98D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28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5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0A11F3"/>
    <w:pPr>
      <w:ind w:left="720"/>
      <w:contextualSpacing/>
    </w:pPr>
  </w:style>
  <w:style w:type="character" w:styleId="a5">
    <w:name w:val="Hyperlink"/>
    <w:basedOn w:val="a0"/>
    <w:uiPriority w:val="99"/>
    <w:semiHidden/>
    <w:unhideWhenUsed/>
    <w:rsid w:val="003D24EC"/>
    <w:rPr>
      <w:color w:val="0000FF"/>
      <w:u w:val="single"/>
    </w:rPr>
  </w:style>
  <w:style w:type="paragraph" w:customStyle="1" w:styleId="rvps2">
    <w:name w:val="rvps2"/>
    <w:basedOn w:val="a"/>
    <w:rsid w:val="001C048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92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rsid w:val="0079209D"/>
  </w:style>
  <w:style w:type="paragraph" w:customStyle="1" w:styleId="rvps12">
    <w:name w:val="rvps12"/>
    <w:basedOn w:val="a"/>
    <w:rsid w:val="00792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C52A8"/>
  </w:style>
  <w:style w:type="character" w:customStyle="1" w:styleId="rvts37">
    <w:name w:val="rvts37"/>
    <w:basedOn w:val="a0"/>
    <w:rsid w:val="00DC52A8"/>
  </w:style>
  <w:style w:type="character" w:styleId="a6">
    <w:name w:val="Emphasis"/>
    <w:basedOn w:val="a0"/>
    <w:uiPriority w:val="20"/>
    <w:qFormat/>
    <w:rsid w:val="009B4E5F"/>
    <w:rPr>
      <w:i/>
      <w:iCs/>
    </w:rPr>
  </w:style>
  <w:style w:type="character" w:styleId="a7">
    <w:name w:val="Placeholder Text"/>
    <w:basedOn w:val="a0"/>
    <w:uiPriority w:val="99"/>
    <w:semiHidden/>
    <w:rsid w:val="00DB468D"/>
    <w:rPr>
      <w:color w:val="808080"/>
    </w:rPr>
  </w:style>
  <w:style w:type="paragraph" w:styleId="a8">
    <w:name w:val="Balloon Text"/>
    <w:basedOn w:val="a"/>
    <w:link w:val="a9"/>
    <w:uiPriority w:val="99"/>
    <w:semiHidden/>
    <w:unhideWhenUsed/>
    <w:rsid w:val="00341B7F"/>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41B7F"/>
    <w:rPr>
      <w:rFonts w:ascii="Segoe UI" w:hAnsi="Segoe UI" w:cs="Segoe UI"/>
      <w:sz w:val="18"/>
      <w:szCs w:val="18"/>
    </w:rPr>
  </w:style>
  <w:style w:type="paragraph" w:customStyle="1" w:styleId="rvps11">
    <w:name w:val="rvps11"/>
    <w:basedOn w:val="a"/>
    <w:rsid w:val="009C55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9C55FD"/>
  </w:style>
  <w:style w:type="paragraph" w:customStyle="1" w:styleId="TableParagraph">
    <w:name w:val="Table Paragraph"/>
    <w:basedOn w:val="a"/>
    <w:uiPriority w:val="1"/>
    <w:qFormat/>
    <w:rsid w:val="009C55FD"/>
    <w:pPr>
      <w:widowControl w:val="0"/>
      <w:autoSpaceDE w:val="0"/>
      <w:autoSpaceDN w:val="0"/>
      <w:spacing w:after="0" w:line="240" w:lineRule="auto"/>
      <w:ind w:left="110"/>
    </w:pPr>
    <w:rPr>
      <w:rFonts w:ascii="Times New Roman" w:eastAsia="Times New Roman" w:hAnsi="Times New Roman" w:cs="Times New Roman"/>
    </w:rPr>
  </w:style>
  <w:style w:type="paragraph" w:styleId="aa">
    <w:name w:val="Quote"/>
    <w:basedOn w:val="a"/>
    <w:next w:val="a"/>
    <w:link w:val="ab"/>
    <w:uiPriority w:val="29"/>
    <w:qFormat/>
    <w:rsid w:val="005F15C5"/>
    <w:pPr>
      <w:spacing w:before="200"/>
      <w:ind w:left="864" w:right="864"/>
      <w:jc w:val="center"/>
    </w:pPr>
    <w:rPr>
      <w:i/>
      <w:iCs/>
      <w:color w:val="404040" w:themeColor="text1" w:themeTint="BF"/>
    </w:rPr>
  </w:style>
  <w:style w:type="character" w:customStyle="1" w:styleId="ab">
    <w:name w:val="Цитата Знак"/>
    <w:basedOn w:val="a0"/>
    <w:link w:val="aa"/>
    <w:uiPriority w:val="29"/>
    <w:rsid w:val="005F15C5"/>
    <w:rPr>
      <w:i/>
      <w:iCs/>
      <w:color w:val="404040" w:themeColor="text1" w:themeTint="BF"/>
    </w:rPr>
  </w:style>
  <w:style w:type="character" w:styleId="ac">
    <w:name w:val="Strong"/>
    <w:basedOn w:val="a0"/>
    <w:uiPriority w:val="22"/>
    <w:qFormat/>
    <w:rsid w:val="00A92167"/>
    <w:rPr>
      <w:b/>
      <w:bCs/>
    </w:rPr>
  </w:style>
  <w:style w:type="paragraph" w:customStyle="1" w:styleId="1">
    <w:name w:val="Без інтервалів1"/>
    <w:rsid w:val="00E73554"/>
    <w:pPr>
      <w:spacing w:after="0" w:line="240" w:lineRule="auto"/>
    </w:pPr>
    <w:rPr>
      <w:rFonts w:ascii="Calibri" w:eastAsia="Times New Roman" w:hAnsi="Calibri" w:cs="Times New Roman"/>
      <w:lang w:val="en-US"/>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unhideWhenUsed/>
    <w:qFormat/>
    <w:rsid w:val="0096708C"/>
    <w:pPr>
      <w:suppressAutoHyphens/>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unhideWhenUsed/>
    <w:rsid w:val="0096708C"/>
    <w:pPr>
      <w:suppressAutoHyphens/>
      <w:spacing w:after="140" w:line="276" w:lineRule="auto"/>
    </w:pPr>
    <w:rPr>
      <w:rFonts w:ascii="Times New Roman" w:eastAsia="Times New Roman" w:hAnsi="Times New Roman" w:cs="Times New Roman"/>
      <w:sz w:val="20"/>
      <w:szCs w:val="20"/>
      <w:lang w:eastAsia="ru-RU"/>
    </w:rPr>
  </w:style>
  <w:style w:type="character" w:customStyle="1" w:styleId="af0">
    <w:name w:val="Основний текст Знак"/>
    <w:basedOn w:val="a0"/>
    <w:link w:val="af"/>
    <w:rsid w:val="0096708C"/>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141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B714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d"/>
    <w:rsid w:val="0060766A"/>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8633">
      <w:bodyDiv w:val="1"/>
      <w:marLeft w:val="0"/>
      <w:marRight w:val="0"/>
      <w:marTop w:val="0"/>
      <w:marBottom w:val="0"/>
      <w:divBdr>
        <w:top w:val="none" w:sz="0" w:space="0" w:color="auto"/>
        <w:left w:val="none" w:sz="0" w:space="0" w:color="auto"/>
        <w:bottom w:val="none" w:sz="0" w:space="0" w:color="auto"/>
        <w:right w:val="none" w:sz="0" w:space="0" w:color="auto"/>
      </w:divBdr>
    </w:div>
    <w:div w:id="160438968">
      <w:bodyDiv w:val="1"/>
      <w:marLeft w:val="0"/>
      <w:marRight w:val="0"/>
      <w:marTop w:val="0"/>
      <w:marBottom w:val="0"/>
      <w:divBdr>
        <w:top w:val="none" w:sz="0" w:space="0" w:color="auto"/>
        <w:left w:val="none" w:sz="0" w:space="0" w:color="auto"/>
        <w:bottom w:val="none" w:sz="0" w:space="0" w:color="auto"/>
        <w:right w:val="none" w:sz="0" w:space="0" w:color="auto"/>
      </w:divBdr>
    </w:div>
    <w:div w:id="189419065">
      <w:bodyDiv w:val="1"/>
      <w:marLeft w:val="0"/>
      <w:marRight w:val="0"/>
      <w:marTop w:val="0"/>
      <w:marBottom w:val="0"/>
      <w:divBdr>
        <w:top w:val="none" w:sz="0" w:space="0" w:color="auto"/>
        <w:left w:val="none" w:sz="0" w:space="0" w:color="auto"/>
        <w:bottom w:val="none" w:sz="0" w:space="0" w:color="auto"/>
        <w:right w:val="none" w:sz="0" w:space="0" w:color="auto"/>
      </w:divBdr>
    </w:div>
    <w:div w:id="213926722">
      <w:bodyDiv w:val="1"/>
      <w:marLeft w:val="0"/>
      <w:marRight w:val="0"/>
      <w:marTop w:val="0"/>
      <w:marBottom w:val="0"/>
      <w:divBdr>
        <w:top w:val="none" w:sz="0" w:space="0" w:color="auto"/>
        <w:left w:val="none" w:sz="0" w:space="0" w:color="auto"/>
        <w:bottom w:val="none" w:sz="0" w:space="0" w:color="auto"/>
        <w:right w:val="none" w:sz="0" w:space="0" w:color="auto"/>
      </w:divBdr>
    </w:div>
    <w:div w:id="290598106">
      <w:bodyDiv w:val="1"/>
      <w:marLeft w:val="0"/>
      <w:marRight w:val="0"/>
      <w:marTop w:val="0"/>
      <w:marBottom w:val="0"/>
      <w:divBdr>
        <w:top w:val="none" w:sz="0" w:space="0" w:color="auto"/>
        <w:left w:val="none" w:sz="0" w:space="0" w:color="auto"/>
        <w:bottom w:val="none" w:sz="0" w:space="0" w:color="auto"/>
        <w:right w:val="none" w:sz="0" w:space="0" w:color="auto"/>
      </w:divBdr>
    </w:div>
    <w:div w:id="297998027">
      <w:bodyDiv w:val="1"/>
      <w:marLeft w:val="0"/>
      <w:marRight w:val="0"/>
      <w:marTop w:val="0"/>
      <w:marBottom w:val="0"/>
      <w:divBdr>
        <w:top w:val="none" w:sz="0" w:space="0" w:color="auto"/>
        <w:left w:val="none" w:sz="0" w:space="0" w:color="auto"/>
        <w:bottom w:val="none" w:sz="0" w:space="0" w:color="auto"/>
        <w:right w:val="none" w:sz="0" w:space="0" w:color="auto"/>
      </w:divBdr>
      <w:divsChild>
        <w:div w:id="35931298">
          <w:marLeft w:val="0"/>
          <w:marRight w:val="0"/>
          <w:marTop w:val="0"/>
          <w:marBottom w:val="150"/>
          <w:divBdr>
            <w:top w:val="none" w:sz="0" w:space="0" w:color="auto"/>
            <w:left w:val="none" w:sz="0" w:space="0" w:color="auto"/>
            <w:bottom w:val="none" w:sz="0" w:space="0" w:color="auto"/>
            <w:right w:val="none" w:sz="0" w:space="0" w:color="auto"/>
          </w:divBdr>
        </w:div>
      </w:divsChild>
    </w:div>
    <w:div w:id="307975911">
      <w:bodyDiv w:val="1"/>
      <w:marLeft w:val="0"/>
      <w:marRight w:val="0"/>
      <w:marTop w:val="0"/>
      <w:marBottom w:val="0"/>
      <w:divBdr>
        <w:top w:val="none" w:sz="0" w:space="0" w:color="auto"/>
        <w:left w:val="none" w:sz="0" w:space="0" w:color="auto"/>
        <w:bottom w:val="none" w:sz="0" w:space="0" w:color="auto"/>
        <w:right w:val="none" w:sz="0" w:space="0" w:color="auto"/>
      </w:divBdr>
    </w:div>
    <w:div w:id="308637044">
      <w:bodyDiv w:val="1"/>
      <w:marLeft w:val="0"/>
      <w:marRight w:val="0"/>
      <w:marTop w:val="0"/>
      <w:marBottom w:val="0"/>
      <w:divBdr>
        <w:top w:val="none" w:sz="0" w:space="0" w:color="auto"/>
        <w:left w:val="none" w:sz="0" w:space="0" w:color="auto"/>
        <w:bottom w:val="none" w:sz="0" w:space="0" w:color="auto"/>
        <w:right w:val="none" w:sz="0" w:space="0" w:color="auto"/>
      </w:divBdr>
    </w:div>
    <w:div w:id="311953864">
      <w:bodyDiv w:val="1"/>
      <w:marLeft w:val="0"/>
      <w:marRight w:val="0"/>
      <w:marTop w:val="0"/>
      <w:marBottom w:val="0"/>
      <w:divBdr>
        <w:top w:val="none" w:sz="0" w:space="0" w:color="auto"/>
        <w:left w:val="none" w:sz="0" w:space="0" w:color="auto"/>
        <w:bottom w:val="none" w:sz="0" w:space="0" w:color="auto"/>
        <w:right w:val="none" w:sz="0" w:space="0" w:color="auto"/>
      </w:divBdr>
    </w:div>
    <w:div w:id="346710175">
      <w:bodyDiv w:val="1"/>
      <w:marLeft w:val="0"/>
      <w:marRight w:val="0"/>
      <w:marTop w:val="0"/>
      <w:marBottom w:val="0"/>
      <w:divBdr>
        <w:top w:val="none" w:sz="0" w:space="0" w:color="auto"/>
        <w:left w:val="none" w:sz="0" w:space="0" w:color="auto"/>
        <w:bottom w:val="none" w:sz="0" w:space="0" w:color="auto"/>
        <w:right w:val="none" w:sz="0" w:space="0" w:color="auto"/>
      </w:divBdr>
    </w:div>
    <w:div w:id="376899485">
      <w:bodyDiv w:val="1"/>
      <w:marLeft w:val="0"/>
      <w:marRight w:val="0"/>
      <w:marTop w:val="0"/>
      <w:marBottom w:val="0"/>
      <w:divBdr>
        <w:top w:val="none" w:sz="0" w:space="0" w:color="auto"/>
        <w:left w:val="none" w:sz="0" w:space="0" w:color="auto"/>
        <w:bottom w:val="none" w:sz="0" w:space="0" w:color="auto"/>
        <w:right w:val="none" w:sz="0" w:space="0" w:color="auto"/>
      </w:divBdr>
    </w:div>
    <w:div w:id="398287056">
      <w:bodyDiv w:val="1"/>
      <w:marLeft w:val="0"/>
      <w:marRight w:val="0"/>
      <w:marTop w:val="0"/>
      <w:marBottom w:val="0"/>
      <w:divBdr>
        <w:top w:val="none" w:sz="0" w:space="0" w:color="auto"/>
        <w:left w:val="none" w:sz="0" w:space="0" w:color="auto"/>
        <w:bottom w:val="none" w:sz="0" w:space="0" w:color="auto"/>
        <w:right w:val="none" w:sz="0" w:space="0" w:color="auto"/>
      </w:divBdr>
    </w:div>
    <w:div w:id="402870352">
      <w:bodyDiv w:val="1"/>
      <w:marLeft w:val="0"/>
      <w:marRight w:val="0"/>
      <w:marTop w:val="0"/>
      <w:marBottom w:val="0"/>
      <w:divBdr>
        <w:top w:val="none" w:sz="0" w:space="0" w:color="auto"/>
        <w:left w:val="none" w:sz="0" w:space="0" w:color="auto"/>
        <w:bottom w:val="none" w:sz="0" w:space="0" w:color="auto"/>
        <w:right w:val="none" w:sz="0" w:space="0" w:color="auto"/>
      </w:divBdr>
    </w:div>
    <w:div w:id="448746912">
      <w:bodyDiv w:val="1"/>
      <w:marLeft w:val="0"/>
      <w:marRight w:val="0"/>
      <w:marTop w:val="0"/>
      <w:marBottom w:val="0"/>
      <w:divBdr>
        <w:top w:val="none" w:sz="0" w:space="0" w:color="auto"/>
        <w:left w:val="none" w:sz="0" w:space="0" w:color="auto"/>
        <w:bottom w:val="none" w:sz="0" w:space="0" w:color="auto"/>
        <w:right w:val="none" w:sz="0" w:space="0" w:color="auto"/>
      </w:divBdr>
    </w:div>
    <w:div w:id="483081161">
      <w:bodyDiv w:val="1"/>
      <w:marLeft w:val="0"/>
      <w:marRight w:val="0"/>
      <w:marTop w:val="0"/>
      <w:marBottom w:val="0"/>
      <w:divBdr>
        <w:top w:val="none" w:sz="0" w:space="0" w:color="auto"/>
        <w:left w:val="none" w:sz="0" w:space="0" w:color="auto"/>
        <w:bottom w:val="none" w:sz="0" w:space="0" w:color="auto"/>
        <w:right w:val="none" w:sz="0" w:space="0" w:color="auto"/>
      </w:divBdr>
    </w:div>
    <w:div w:id="484903299">
      <w:bodyDiv w:val="1"/>
      <w:marLeft w:val="0"/>
      <w:marRight w:val="0"/>
      <w:marTop w:val="0"/>
      <w:marBottom w:val="0"/>
      <w:divBdr>
        <w:top w:val="none" w:sz="0" w:space="0" w:color="auto"/>
        <w:left w:val="none" w:sz="0" w:space="0" w:color="auto"/>
        <w:bottom w:val="none" w:sz="0" w:space="0" w:color="auto"/>
        <w:right w:val="none" w:sz="0" w:space="0" w:color="auto"/>
      </w:divBdr>
      <w:divsChild>
        <w:div w:id="1047607456">
          <w:marLeft w:val="0"/>
          <w:marRight w:val="0"/>
          <w:marTop w:val="0"/>
          <w:marBottom w:val="150"/>
          <w:divBdr>
            <w:top w:val="none" w:sz="0" w:space="0" w:color="auto"/>
            <w:left w:val="none" w:sz="0" w:space="0" w:color="auto"/>
            <w:bottom w:val="none" w:sz="0" w:space="0" w:color="auto"/>
            <w:right w:val="none" w:sz="0" w:space="0" w:color="auto"/>
          </w:divBdr>
        </w:div>
        <w:div w:id="1746760759">
          <w:marLeft w:val="0"/>
          <w:marRight w:val="0"/>
          <w:marTop w:val="0"/>
          <w:marBottom w:val="150"/>
          <w:divBdr>
            <w:top w:val="none" w:sz="0" w:space="0" w:color="auto"/>
            <w:left w:val="none" w:sz="0" w:space="0" w:color="auto"/>
            <w:bottom w:val="none" w:sz="0" w:space="0" w:color="auto"/>
            <w:right w:val="none" w:sz="0" w:space="0" w:color="auto"/>
          </w:divBdr>
        </w:div>
      </w:divsChild>
    </w:div>
    <w:div w:id="504252206">
      <w:bodyDiv w:val="1"/>
      <w:marLeft w:val="0"/>
      <w:marRight w:val="0"/>
      <w:marTop w:val="0"/>
      <w:marBottom w:val="0"/>
      <w:divBdr>
        <w:top w:val="none" w:sz="0" w:space="0" w:color="auto"/>
        <w:left w:val="none" w:sz="0" w:space="0" w:color="auto"/>
        <w:bottom w:val="none" w:sz="0" w:space="0" w:color="auto"/>
        <w:right w:val="none" w:sz="0" w:space="0" w:color="auto"/>
      </w:divBdr>
    </w:div>
    <w:div w:id="542595052">
      <w:bodyDiv w:val="1"/>
      <w:marLeft w:val="0"/>
      <w:marRight w:val="0"/>
      <w:marTop w:val="0"/>
      <w:marBottom w:val="0"/>
      <w:divBdr>
        <w:top w:val="none" w:sz="0" w:space="0" w:color="auto"/>
        <w:left w:val="none" w:sz="0" w:space="0" w:color="auto"/>
        <w:bottom w:val="none" w:sz="0" w:space="0" w:color="auto"/>
        <w:right w:val="none" w:sz="0" w:space="0" w:color="auto"/>
      </w:divBdr>
    </w:div>
    <w:div w:id="594872147">
      <w:bodyDiv w:val="1"/>
      <w:marLeft w:val="0"/>
      <w:marRight w:val="0"/>
      <w:marTop w:val="0"/>
      <w:marBottom w:val="0"/>
      <w:divBdr>
        <w:top w:val="none" w:sz="0" w:space="0" w:color="auto"/>
        <w:left w:val="none" w:sz="0" w:space="0" w:color="auto"/>
        <w:bottom w:val="none" w:sz="0" w:space="0" w:color="auto"/>
        <w:right w:val="none" w:sz="0" w:space="0" w:color="auto"/>
      </w:divBdr>
      <w:divsChild>
        <w:div w:id="914899380">
          <w:marLeft w:val="0"/>
          <w:marRight w:val="0"/>
          <w:marTop w:val="0"/>
          <w:marBottom w:val="150"/>
          <w:divBdr>
            <w:top w:val="none" w:sz="0" w:space="0" w:color="auto"/>
            <w:left w:val="none" w:sz="0" w:space="0" w:color="auto"/>
            <w:bottom w:val="none" w:sz="0" w:space="0" w:color="auto"/>
            <w:right w:val="none" w:sz="0" w:space="0" w:color="auto"/>
          </w:divBdr>
        </w:div>
      </w:divsChild>
    </w:div>
    <w:div w:id="602300692">
      <w:bodyDiv w:val="1"/>
      <w:marLeft w:val="0"/>
      <w:marRight w:val="0"/>
      <w:marTop w:val="0"/>
      <w:marBottom w:val="0"/>
      <w:divBdr>
        <w:top w:val="none" w:sz="0" w:space="0" w:color="auto"/>
        <w:left w:val="none" w:sz="0" w:space="0" w:color="auto"/>
        <w:bottom w:val="none" w:sz="0" w:space="0" w:color="auto"/>
        <w:right w:val="none" w:sz="0" w:space="0" w:color="auto"/>
      </w:divBdr>
    </w:div>
    <w:div w:id="746155149">
      <w:bodyDiv w:val="1"/>
      <w:marLeft w:val="0"/>
      <w:marRight w:val="0"/>
      <w:marTop w:val="0"/>
      <w:marBottom w:val="0"/>
      <w:divBdr>
        <w:top w:val="none" w:sz="0" w:space="0" w:color="auto"/>
        <w:left w:val="none" w:sz="0" w:space="0" w:color="auto"/>
        <w:bottom w:val="none" w:sz="0" w:space="0" w:color="auto"/>
        <w:right w:val="none" w:sz="0" w:space="0" w:color="auto"/>
      </w:divBdr>
    </w:div>
    <w:div w:id="796800313">
      <w:bodyDiv w:val="1"/>
      <w:marLeft w:val="0"/>
      <w:marRight w:val="0"/>
      <w:marTop w:val="0"/>
      <w:marBottom w:val="0"/>
      <w:divBdr>
        <w:top w:val="none" w:sz="0" w:space="0" w:color="auto"/>
        <w:left w:val="none" w:sz="0" w:space="0" w:color="auto"/>
        <w:bottom w:val="none" w:sz="0" w:space="0" w:color="auto"/>
        <w:right w:val="none" w:sz="0" w:space="0" w:color="auto"/>
      </w:divBdr>
    </w:div>
    <w:div w:id="814837617">
      <w:bodyDiv w:val="1"/>
      <w:marLeft w:val="0"/>
      <w:marRight w:val="0"/>
      <w:marTop w:val="0"/>
      <w:marBottom w:val="0"/>
      <w:divBdr>
        <w:top w:val="none" w:sz="0" w:space="0" w:color="auto"/>
        <w:left w:val="none" w:sz="0" w:space="0" w:color="auto"/>
        <w:bottom w:val="none" w:sz="0" w:space="0" w:color="auto"/>
        <w:right w:val="none" w:sz="0" w:space="0" w:color="auto"/>
      </w:divBdr>
    </w:div>
    <w:div w:id="866482120">
      <w:bodyDiv w:val="1"/>
      <w:marLeft w:val="0"/>
      <w:marRight w:val="0"/>
      <w:marTop w:val="0"/>
      <w:marBottom w:val="0"/>
      <w:divBdr>
        <w:top w:val="none" w:sz="0" w:space="0" w:color="auto"/>
        <w:left w:val="none" w:sz="0" w:space="0" w:color="auto"/>
        <w:bottom w:val="none" w:sz="0" w:space="0" w:color="auto"/>
        <w:right w:val="none" w:sz="0" w:space="0" w:color="auto"/>
      </w:divBdr>
    </w:div>
    <w:div w:id="888296263">
      <w:bodyDiv w:val="1"/>
      <w:marLeft w:val="0"/>
      <w:marRight w:val="0"/>
      <w:marTop w:val="0"/>
      <w:marBottom w:val="0"/>
      <w:divBdr>
        <w:top w:val="none" w:sz="0" w:space="0" w:color="auto"/>
        <w:left w:val="none" w:sz="0" w:space="0" w:color="auto"/>
        <w:bottom w:val="none" w:sz="0" w:space="0" w:color="auto"/>
        <w:right w:val="none" w:sz="0" w:space="0" w:color="auto"/>
      </w:divBdr>
    </w:div>
    <w:div w:id="1080373945">
      <w:bodyDiv w:val="1"/>
      <w:marLeft w:val="0"/>
      <w:marRight w:val="0"/>
      <w:marTop w:val="0"/>
      <w:marBottom w:val="0"/>
      <w:divBdr>
        <w:top w:val="none" w:sz="0" w:space="0" w:color="auto"/>
        <w:left w:val="none" w:sz="0" w:space="0" w:color="auto"/>
        <w:bottom w:val="none" w:sz="0" w:space="0" w:color="auto"/>
        <w:right w:val="none" w:sz="0" w:space="0" w:color="auto"/>
      </w:divBdr>
    </w:div>
    <w:div w:id="1114785787">
      <w:bodyDiv w:val="1"/>
      <w:marLeft w:val="0"/>
      <w:marRight w:val="0"/>
      <w:marTop w:val="0"/>
      <w:marBottom w:val="0"/>
      <w:divBdr>
        <w:top w:val="none" w:sz="0" w:space="0" w:color="auto"/>
        <w:left w:val="none" w:sz="0" w:space="0" w:color="auto"/>
        <w:bottom w:val="none" w:sz="0" w:space="0" w:color="auto"/>
        <w:right w:val="none" w:sz="0" w:space="0" w:color="auto"/>
      </w:divBdr>
    </w:div>
    <w:div w:id="1153715410">
      <w:bodyDiv w:val="1"/>
      <w:marLeft w:val="0"/>
      <w:marRight w:val="0"/>
      <w:marTop w:val="0"/>
      <w:marBottom w:val="0"/>
      <w:divBdr>
        <w:top w:val="none" w:sz="0" w:space="0" w:color="auto"/>
        <w:left w:val="none" w:sz="0" w:space="0" w:color="auto"/>
        <w:bottom w:val="none" w:sz="0" w:space="0" w:color="auto"/>
        <w:right w:val="none" w:sz="0" w:space="0" w:color="auto"/>
      </w:divBdr>
    </w:div>
    <w:div w:id="1204562167">
      <w:bodyDiv w:val="1"/>
      <w:marLeft w:val="0"/>
      <w:marRight w:val="0"/>
      <w:marTop w:val="0"/>
      <w:marBottom w:val="0"/>
      <w:divBdr>
        <w:top w:val="none" w:sz="0" w:space="0" w:color="auto"/>
        <w:left w:val="none" w:sz="0" w:space="0" w:color="auto"/>
        <w:bottom w:val="none" w:sz="0" w:space="0" w:color="auto"/>
        <w:right w:val="none" w:sz="0" w:space="0" w:color="auto"/>
      </w:divBdr>
    </w:div>
    <w:div w:id="1295987100">
      <w:bodyDiv w:val="1"/>
      <w:marLeft w:val="0"/>
      <w:marRight w:val="0"/>
      <w:marTop w:val="0"/>
      <w:marBottom w:val="0"/>
      <w:divBdr>
        <w:top w:val="none" w:sz="0" w:space="0" w:color="auto"/>
        <w:left w:val="none" w:sz="0" w:space="0" w:color="auto"/>
        <w:bottom w:val="none" w:sz="0" w:space="0" w:color="auto"/>
        <w:right w:val="none" w:sz="0" w:space="0" w:color="auto"/>
      </w:divBdr>
    </w:div>
    <w:div w:id="1334602758">
      <w:bodyDiv w:val="1"/>
      <w:marLeft w:val="0"/>
      <w:marRight w:val="0"/>
      <w:marTop w:val="0"/>
      <w:marBottom w:val="0"/>
      <w:divBdr>
        <w:top w:val="none" w:sz="0" w:space="0" w:color="auto"/>
        <w:left w:val="none" w:sz="0" w:space="0" w:color="auto"/>
        <w:bottom w:val="none" w:sz="0" w:space="0" w:color="auto"/>
        <w:right w:val="none" w:sz="0" w:space="0" w:color="auto"/>
      </w:divBdr>
    </w:div>
    <w:div w:id="1378621383">
      <w:bodyDiv w:val="1"/>
      <w:marLeft w:val="0"/>
      <w:marRight w:val="0"/>
      <w:marTop w:val="0"/>
      <w:marBottom w:val="0"/>
      <w:divBdr>
        <w:top w:val="none" w:sz="0" w:space="0" w:color="auto"/>
        <w:left w:val="none" w:sz="0" w:space="0" w:color="auto"/>
        <w:bottom w:val="none" w:sz="0" w:space="0" w:color="auto"/>
        <w:right w:val="none" w:sz="0" w:space="0" w:color="auto"/>
      </w:divBdr>
    </w:div>
    <w:div w:id="1437991476">
      <w:bodyDiv w:val="1"/>
      <w:marLeft w:val="0"/>
      <w:marRight w:val="0"/>
      <w:marTop w:val="0"/>
      <w:marBottom w:val="0"/>
      <w:divBdr>
        <w:top w:val="none" w:sz="0" w:space="0" w:color="auto"/>
        <w:left w:val="none" w:sz="0" w:space="0" w:color="auto"/>
        <w:bottom w:val="none" w:sz="0" w:space="0" w:color="auto"/>
        <w:right w:val="none" w:sz="0" w:space="0" w:color="auto"/>
      </w:divBdr>
    </w:div>
    <w:div w:id="1480728834">
      <w:bodyDiv w:val="1"/>
      <w:marLeft w:val="0"/>
      <w:marRight w:val="0"/>
      <w:marTop w:val="0"/>
      <w:marBottom w:val="0"/>
      <w:divBdr>
        <w:top w:val="none" w:sz="0" w:space="0" w:color="auto"/>
        <w:left w:val="none" w:sz="0" w:space="0" w:color="auto"/>
        <w:bottom w:val="none" w:sz="0" w:space="0" w:color="auto"/>
        <w:right w:val="none" w:sz="0" w:space="0" w:color="auto"/>
      </w:divBdr>
    </w:div>
    <w:div w:id="1490560587">
      <w:bodyDiv w:val="1"/>
      <w:marLeft w:val="0"/>
      <w:marRight w:val="0"/>
      <w:marTop w:val="0"/>
      <w:marBottom w:val="0"/>
      <w:divBdr>
        <w:top w:val="none" w:sz="0" w:space="0" w:color="auto"/>
        <w:left w:val="none" w:sz="0" w:space="0" w:color="auto"/>
        <w:bottom w:val="none" w:sz="0" w:space="0" w:color="auto"/>
        <w:right w:val="none" w:sz="0" w:space="0" w:color="auto"/>
      </w:divBdr>
    </w:div>
    <w:div w:id="1495224741">
      <w:bodyDiv w:val="1"/>
      <w:marLeft w:val="0"/>
      <w:marRight w:val="0"/>
      <w:marTop w:val="0"/>
      <w:marBottom w:val="0"/>
      <w:divBdr>
        <w:top w:val="none" w:sz="0" w:space="0" w:color="auto"/>
        <w:left w:val="none" w:sz="0" w:space="0" w:color="auto"/>
        <w:bottom w:val="none" w:sz="0" w:space="0" w:color="auto"/>
        <w:right w:val="none" w:sz="0" w:space="0" w:color="auto"/>
      </w:divBdr>
    </w:div>
    <w:div w:id="1543521232">
      <w:bodyDiv w:val="1"/>
      <w:marLeft w:val="0"/>
      <w:marRight w:val="0"/>
      <w:marTop w:val="0"/>
      <w:marBottom w:val="0"/>
      <w:divBdr>
        <w:top w:val="none" w:sz="0" w:space="0" w:color="auto"/>
        <w:left w:val="none" w:sz="0" w:space="0" w:color="auto"/>
        <w:bottom w:val="none" w:sz="0" w:space="0" w:color="auto"/>
        <w:right w:val="none" w:sz="0" w:space="0" w:color="auto"/>
      </w:divBdr>
    </w:div>
    <w:div w:id="1729066335">
      <w:bodyDiv w:val="1"/>
      <w:marLeft w:val="0"/>
      <w:marRight w:val="0"/>
      <w:marTop w:val="0"/>
      <w:marBottom w:val="0"/>
      <w:divBdr>
        <w:top w:val="none" w:sz="0" w:space="0" w:color="auto"/>
        <w:left w:val="none" w:sz="0" w:space="0" w:color="auto"/>
        <w:bottom w:val="none" w:sz="0" w:space="0" w:color="auto"/>
        <w:right w:val="none" w:sz="0" w:space="0" w:color="auto"/>
      </w:divBdr>
    </w:div>
    <w:div w:id="1751197862">
      <w:bodyDiv w:val="1"/>
      <w:marLeft w:val="0"/>
      <w:marRight w:val="0"/>
      <w:marTop w:val="0"/>
      <w:marBottom w:val="0"/>
      <w:divBdr>
        <w:top w:val="none" w:sz="0" w:space="0" w:color="auto"/>
        <w:left w:val="none" w:sz="0" w:space="0" w:color="auto"/>
        <w:bottom w:val="none" w:sz="0" w:space="0" w:color="auto"/>
        <w:right w:val="none" w:sz="0" w:space="0" w:color="auto"/>
      </w:divBdr>
    </w:div>
    <w:div w:id="1767842354">
      <w:bodyDiv w:val="1"/>
      <w:marLeft w:val="0"/>
      <w:marRight w:val="0"/>
      <w:marTop w:val="0"/>
      <w:marBottom w:val="0"/>
      <w:divBdr>
        <w:top w:val="none" w:sz="0" w:space="0" w:color="auto"/>
        <w:left w:val="none" w:sz="0" w:space="0" w:color="auto"/>
        <w:bottom w:val="none" w:sz="0" w:space="0" w:color="auto"/>
        <w:right w:val="none" w:sz="0" w:space="0" w:color="auto"/>
      </w:divBdr>
    </w:div>
    <w:div w:id="1787191595">
      <w:bodyDiv w:val="1"/>
      <w:marLeft w:val="0"/>
      <w:marRight w:val="0"/>
      <w:marTop w:val="0"/>
      <w:marBottom w:val="0"/>
      <w:divBdr>
        <w:top w:val="none" w:sz="0" w:space="0" w:color="auto"/>
        <w:left w:val="none" w:sz="0" w:space="0" w:color="auto"/>
        <w:bottom w:val="none" w:sz="0" w:space="0" w:color="auto"/>
        <w:right w:val="none" w:sz="0" w:space="0" w:color="auto"/>
      </w:divBdr>
    </w:div>
    <w:div w:id="1860894846">
      <w:bodyDiv w:val="1"/>
      <w:marLeft w:val="0"/>
      <w:marRight w:val="0"/>
      <w:marTop w:val="0"/>
      <w:marBottom w:val="0"/>
      <w:divBdr>
        <w:top w:val="none" w:sz="0" w:space="0" w:color="auto"/>
        <w:left w:val="none" w:sz="0" w:space="0" w:color="auto"/>
        <w:bottom w:val="none" w:sz="0" w:space="0" w:color="auto"/>
        <w:right w:val="none" w:sz="0" w:space="0" w:color="auto"/>
      </w:divBdr>
    </w:div>
    <w:div w:id="1934707024">
      <w:bodyDiv w:val="1"/>
      <w:marLeft w:val="0"/>
      <w:marRight w:val="0"/>
      <w:marTop w:val="0"/>
      <w:marBottom w:val="0"/>
      <w:divBdr>
        <w:top w:val="none" w:sz="0" w:space="0" w:color="auto"/>
        <w:left w:val="none" w:sz="0" w:space="0" w:color="auto"/>
        <w:bottom w:val="none" w:sz="0" w:space="0" w:color="auto"/>
        <w:right w:val="none" w:sz="0" w:space="0" w:color="auto"/>
      </w:divBdr>
    </w:div>
    <w:div w:id="2047022307">
      <w:bodyDiv w:val="1"/>
      <w:marLeft w:val="0"/>
      <w:marRight w:val="0"/>
      <w:marTop w:val="0"/>
      <w:marBottom w:val="0"/>
      <w:divBdr>
        <w:top w:val="none" w:sz="0" w:space="0" w:color="auto"/>
        <w:left w:val="none" w:sz="0" w:space="0" w:color="auto"/>
        <w:bottom w:val="none" w:sz="0" w:space="0" w:color="auto"/>
        <w:right w:val="none" w:sz="0" w:space="0" w:color="auto"/>
      </w:divBdr>
    </w:div>
    <w:div w:id="2054301719">
      <w:bodyDiv w:val="1"/>
      <w:marLeft w:val="0"/>
      <w:marRight w:val="0"/>
      <w:marTop w:val="0"/>
      <w:marBottom w:val="0"/>
      <w:divBdr>
        <w:top w:val="none" w:sz="0" w:space="0" w:color="auto"/>
        <w:left w:val="none" w:sz="0" w:space="0" w:color="auto"/>
        <w:bottom w:val="none" w:sz="0" w:space="0" w:color="auto"/>
        <w:right w:val="none" w:sz="0" w:space="0" w:color="auto"/>
      </w:divBdr>
    </w:div>
    <w:div w:id="2077238498">
      <w:bodyDiv w:val="1"/>
      <w:marLeft w:val="0"/>
      <w:marRight w:val="0"/>
      <w:marTop w:val="0"/>
      <w:marBottom w:val="0"/>
      <w:divBdr>
        <w:top w:val="none" w:sz="0" w:space="0" w:color="auto"/>
        <w:left w:val="none" w:sz="0" w:space="0" w:color="auto"/>
        <w:bottom w:val="none" w:sz="0" w:space="0" w:color="auto"/>
        <w:right w:val="none" w:sz="0" w:space="0" w:color="auto"/>
      </w:divBdr>
    </w:div>
    <w:div w:id="21279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imgs/100/p478167n529v1-56.emf"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hyperlink" Target="https://zakon.rada.gov.ua/laws/file/imgs/102/p478167n529v2-56.em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file/imgs/99/p478167n136v3-26.emf" TargetMode="Externa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file/imgs/100/p478167n529v1-55.emf"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FB3A0-CF9C-44A3-9585-82FA265FE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3768</Words>
  <Characters>21484</Characters>
  <Application>Microsoft Office Word</Application>
  <DocSecurity>0</DocSecurity>
  <Lines>179</Lines>
  <Paragraphs>50</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Ірина Кириленко</dc:creator>
  <cp:lastModifiedBy>Вадим Ландар</cp:lastModifiedBy>
  <cp:revision>3</cp:revision>
  <cp:lastPrinted>2022-08-04T13:07:00Z</cp:lastPrinted>
  <dcterms:created xsi:type="dcterms:W3CDTF">2023-10-10T16:06:00Z</dcterms:created>
  <dcterms:modified xsi:type="dcterms:W3CDTF">2023-10-10T16:08:00Z</dcterms:modified>
</cp:coreProperties>
</file>