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4E1" w:rsidRPr="00150153" w:rsidRDefault="00150153" w:rsidP="00150153">
      <w:pPr>
        <w:shd w:val="clear" w:color="auto" w:fill="FFFFFF"/>
        <w:jc w:val="center"/>
        <w:textAlignment w:val="baseline"/>
        <w:outlineLvl w:val="3"/>
        <w:rPr>
          <w:rFonts w:ascii="Times New Roman" w:eastAsia="Times New Roman" w:hAnsi="Times New Roman" w:cs="Times New Roman"/>
          <w:b/>
          <w:bCs/>
          <w:color w:val="212529"/>
          <w:lang w:val="uk-UA"/>
        </w:rPr>
      </w:pPr>
      <w:r w:rsidRPr="00150153">
        <w:rPr>
          <w:rFonts w:ascii="Times New Roman" w:eastAsia="Times New Roman" w:hAnsi="Times New Roman" w:cs="Times New Roman"/>
          <w:b/>
          <w:bCs/>
          <w:color w:val="212529"/>
          <w:lang w:val="uk-UA"/>
        </w:rPr>
        <w:t>Узагальнені зауваження та пропозиції до проекту рішення НКРЕКП, що має ознаки регуляторного акта «Про затвердження Ліцензійних умов провадження господарської діяльності з агрегації на ринку електричної енергії та про внесення змін до деяких постанов НКРЕКП»</w:t>
      </w:r>
    </w:p>
    <w:p w:rsidR="00150153" w:rsidRPr="008C7588" w:rsidRDefault="00150153" w:rsidP="00150153">
      <w:pPr>
        <w:shd w:val="clear" w:color="auto" w:fill="FFFFFF"/>
        <w:jc w:val="center"/>
        <w:textAlignment w:val="baseline"/>
        <w:outlineLvl w:val="3"/>
        <w:rPr>
          <w:rFonts w:eastAsia="Times New Roman" w:cstheme="minorHAnsi"/>
          <w:b/>
          <w:bCs/>
          <w:color w:val="212529"/>
          <w:szCs w:val="30"/>
          <w:lang w:val="uk-UA"/>
        </w:rPr>
      </w:pPr>
    </w:p>
    <w:tbl>
      <w:tblPr>
        <w:tblW w:w="5824" w:type="pct"/>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47"/>
        <w:gridCol w:w="3474"/>
        <w:gridCol w:w="3274"/>
      </w:tblGrid>
      <w:tr w:rsidR="00150153" w:rsidRPr="008C7588" w:rsidTr="00D142AA">
        <w:trPr>
          <w:trHeight w:val="493"/>
        </w:trPr>
        <w:tc>
          <w:tcPr>
            <w:tcW w:w="1785" w:type="pct"/>
            <w:tcMar>
              <w:top w:w="225" w:type="dxa"/>
              <w:left w:w="75" w:type="dxa"/>
              <w:bottom w:w="225" w:type="dxa"/>
              <w:right w:w="75" w:type="dxa"/>
            </w:tcMar>
            <w:hideMark/>
          </w:tcPr>
          <w:p w:rsidR="00150153" w:rsidRPr="00D142AA" w:rsidRDefault="00150153" w:rsidP="00150153">
            <w:pPr>
              <w:jc w:val="center"/>
              <w:rPr>
                <w:rFonts w:ascii="Times New Roman" w:hAnsi="Times New Roman" w:cs="Times New Roman"/>
                <w:b/>
                <w:sz w:val="20"/>
                <w:szCs w:val="20"/>
                <w:lang w:val="uk-UA"/>
              </w:rPr>
            </w:pPr>
            <w:r w:rsidRPr="00D142AA">
              <w:rPr>
                <w:rFonts w:ascii="Times New Roman" w:hAnsi="Times New Roman" w:cs="Times New Roman"/>
                <w:b/>
                <w:sz w:val="20"/>
                <w:szCs w:val="20"/>
                <w:lang w:val="uk-UA"/>
              </w:rPr>
              <w:t>Редакція спірної частини проекту рішення/частини проекту рішення</w:t>
            </w:r>
          </w:p>
          <w:p w:rsidR="00150153" w:rsidRPr="00D142AA" w:rsidRDefault="00150153" w:rsidP="00150153">
            <w:pPr>
              <w:jc w:val="center"/>
              <w:textAlignment w:val="baseline"/>
              <w:rPr>
                <w:rFonts w:ascii="Times New Roman" w:eastAsia="Times New Roman" w:hAnsi="Times New Roman" w:cs="Times New Roman"/>
                <w:sz w:val="20"/>
                <w:szCs w:val="20"/>
                <w:lang w:val="uk-UA"/>
              </w:rPr>
            </w:pPr>
          </w:p>
        </w:tc>
        <w:tc>
          <w:tcPr>
            <w:tcW w:w="1655" w:type="pct"/>
            <w:tcMar>
              <w:top w:w="225" w:type="dxa"/>
              <w:left w:w="75" w:type="dxa"/>
              <w:bottom w:w="225" w:type="dxa"/>
              <w:right w:w="75" w:type="dxa"/>
            </w:tcMar>
            <w:hideMark/>
          </w:tcPr>
          <w:p w:rsidR="00150153" w:rsidRPr="00D142AA" w:rsidRDefault="00150153" w:rsidP="00150153">
            <w:pPr>
              <w:jc w:val="center"/>
              <w:rPr>
                <w:rFonts w:ascii="Times New Roman" w:hAnsi="Times New Roman" w:cs="Times New Roman"/>
                <w:b/>
                <w:bCs/>
                <w:sz w:val="20"/>
                <w:szCs w:val="20"/>
                <w:lang w:val="uk-UA"/>
              </w:rPr>
            </w:pPr>
            <w:r w:rsidRPr="00D142AA">
              <w:rPr>
                <w:rFonts w:ascii="Times New Roman" w:hAnsi="Times New Roman" w:cs="Times New Roman"/>
                <w:b/>
                <w:bCs/>
                <w:sz w:val="20"/>
                <w:szCs w:val="20"/>
                <w:lang w:val="uk-UA"/>
              </w:rPr>
              <w:t>Зауваження та пропозиції</w:t>
            </w:r>
          </w:p>
          <w:p w:rsidR="00150153" w:rsidRPr="00D142AA" w:rsidRDefault="00150153" w:rsidP="00150153">
            <w:pPr>
              <w:jc w:val="center"/>
              <w:textAlignment w:val="baseline"/>
              <w:rPr>
                <w:rFonts w:ascii="Times New Roman" w:eastAsia="Times New Roman" w:hAnsi="Times New Roman" w:cs="Times New Roman"/>
                <w:sz w:val="20"/>
                <w:szCs w:val="20"/>
                <w:lang w:val="uk-UA"/>
              </w:rPr>
            </w:pPr>
          </w:p>
        </w:tc>
        <w:tc>
          <w:tcPr>
            <w:tcW w:w="1560" w:type="pct"/>
            <w:tcMar>
              <w:top w:w="225" w:type="dxa"/>
              <w:left w:w="75" w:type="dxa"/>
              <w:bottom w:w="225" w:type="dxa"/>
              <w:right w:w="75" w:type="dxa"/>
            </w:tcMar>
            <w:hideMark/>
          </w:tcPr>
          <w:p w:rsidR="00150153" w:rsidRPr="00D142AA" w:rsidRDefault="00150153" w:rsidP="00150153">
            <w:pPr>
              <w:jc w:val="center"/>
              <w:textAlignment w:val="baseline"/>
              <w:rPr>
                <w:rFonts w:ascii="Times New Roman" w:eastAsia="Times New Roman" w:hAnsi="Times New Roman" w:cs="Times New Roman"/>
                <w:sz w:val="20"/>
                <w:szCs w:val="20"/>
                <w:lang w:val="uk-UA"/>
              </w:rPr>
            </w:pPr>
            <w:r w:rsidRPr="00D142AA">
              <w:rPr>
                <w:rFonts w:ascii="Times New Roman" w:hAnsi="Times New Roman" w:cs="Times New Roman"/>
                <w:b/>
                <w:sz w:val="20"/>
                <w:szCs w:val="20"/>
                <w:lang w:val="uk-UA"/>
              </w:rPr>
              <w:t>Спосіб врахування або мотиви відхилення зауважень (пропозицій)</w:t>
            </w:r>
          </w:p>
        </w:tc>
      </w:tr>
      <w:tr w:rsidR="00D142AA" w:rsidRPr="00150153" w:rsidTr="00D142AA">
        <w:trPr>
          <w:trHeight w:val="526"/>
        </w:trPr>
        <w:tc>
          <w:tcPr>
            <w:tcW w:w="1785" w:type="pct"/>
            <w:tcMar>
              <w:top w:w="225" w:type="dxa"/>
              <w:left w:w="75" w:type="dxa"/>
              <w:bottom w:w="225" w:type="dxa"/>
              <w:right w:w="75" w:type="dxa"/>
            </w:tcMar>
          </w:tcPr>
          <w:p w:rsidR="00D142AA" w:rsidRPr="00D142AA" w:rsidRDefault="00D142AA" w:rsidP="00D142AA">
            <w:pPr>
              <w:ind w:firstLine="567"/>
              <w:jc w:val="both"/>
              <w:rPr>
                <w:rFonts w:ascii="Times New Roman" w:hAnsi="Times New Roman" w:cs="Times New Roman"/>
                <w:sz w:val="20"/>
                <w:szCs w:val="20"/>
                <w:lang w:val="uk-UA"/>
              </w:rPr>
            </w:pPr>
            <w:r w:rsidRPr="00D142AA">
              <w:rPr>
                <w:rFonts w:ascii="Times New Roman" w:hAnsi="Times New Roman" w:cs="Times New Roman"/>
                <w:sz w:val="20"/>
                <w:szCs w:val="20"/>
                <w:lang w:val="uk-UA"/>
              </w:rPr>
              <w:t xml:space="preserve">1.6. До заяви про отримання ліцензії здобувачем ліцензії додаються документи згідно з переліком, який є вичерпним: </w:t>
            </w:r>
          </w:p>
          <w:p w:rsidR="00D142AA" w:rsidRPr="00D142AA" w:rsidRDefault="00D142AA" w:rsidP="00D142AA">
            <w:pPr>
              <w:ind w:firstLine="567"/>
              <w:jc w:val="both"/>
              <w:rPr>
                <w:rFonts w:ascii="Times New Roman" w:hAnsi="Times New Roman" w:cs="Times New Roman"/>
                <w:sz w:val="20"/>
                <w:szCs w:val="20"/>
                <w:lang w:val="uk-UA"/>
              </w:rPr>
            </w:pPr>
            <w:r w:rsidRPr="00D142AA">
              <w:rPr>
                <w:rFonts w:ascii="Times New Roman" w:hAnsi="Times New Roman" w:cs="Times New Roman"/>
                <w:sz w:val="20"/>
                <w:szCs w:val="20"/>
                <w:lang w:val="uk-UA"/>
              </w:rPr>
              <w:t>1) 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w:t>
            </w:r>
          </w:p>
          <w:p w:rsidR="00D142AA" w:rsidRPr="00D142AA" w:rsidRDefault="00D142AA" w:rsidP="00D37C06">
            <w:pPr>
              <w:jc w:val="both"/>
              <w:rPr>
                <w:rFonts w:ascii="Times New Roman" w:hAnsi="Times New Roman" w:cs="Times New Roman"/>
                <w:sz w:val="20"/>
                <w:szCs w:val="20"/>
                <w:lang w:val="uk-UA"/>
              </w:rPr>
            </w:pPr>
          </w:p>
        </w:tc>
        <w:tc>
          <w:tcPr>
            <w:tcW w:w="1655" w:type="pct"/>
            <w:tcMar>
              <w:top w:w="225" w:type="dxa"/>
              <w:left w:w="75" w:type="dxa"/>
              <w:bottom w:w="225" w:type="dxa"/>
              <w:right w:w="75" w:type="dxa"/>
            </w:tcMar>
          </w:tcPr>
          <w:p w:rsidR="00D142AA" w:rsidRDefault="00D142AA" w:rsidP="00D37C06">
            <w:pPr>
              <w:jc w:val="both"/>
              <w:rPr>
                <w:rFonts w:ascii="Times New Roman" w:eastAsia="Times New Roman" w:hAnsi="Times New Roman" w:cs="Times New Roman"/>
                <w:sz w:val="20"/>
                <w:szCs w:val="20"/>
                <w:lang w:val="uk-UA"/>
              </w:rPr>
            </w:pPr>
          </w:p>
          <w:p w:rsidR="00D142AA" w:rsidRDefault="00D142AA" w:rsidP="00D37C06">
            <w:pPr>
              <w:jc w:val="both"/>
              <w:rPr>
                <w:rFonts w:ascii="Times New Roman" w:eastAsia="Times New Roman" w:hAnsi="Times New Roman" w:cs="Times New Roman"/>
                <w:sz w:val="20"/>
                <w:szCs w:val="20"/>
                <w:lang w:val="uk-UA"/>
              </w:rPr>
            </w:pPr>
          </w:p>
          <w:p w:rsidR="00D142AA" w:rsidRPr="00D142AA" w:rsidRDefault="00D142AA" w:rsidP="00D37C06">
            <w:pPr>
              <w:jc w:val="both"/>
              <w:rPr>
                <w:rFonts w:ascii="Times New Roman" w:eastAsia="Times New Roman" w:hAnsi="Times New Roman" w:cs="Times New Roman"/>
                <w:i/>
                <w:sz w:val="20"/>
                <w:szCs w:val="20"/>
                <w:lang w:val="uk-UA"/>
              </w:rPr>
            </w:pPr>
            <w:r w:rsidRPr="00D142AA">
              <w:rPr>
                <w:rFonts w:ascii="Times New Roman" w:eastAsia="Times New Roman" w:hAnsi="Times New Roman" w:cs="Times New Roman"/>
                <w:i/>
                <w:sz w:val="20"/>
                <w:szCs w:val="20"/>
                <w:lang w:val="uk-UA"/>
              </w:rPr>
              <w:t>ТОВ «ЕНЕРДЖІ 365»</w:t>
            </w:r>
          </w:p>
          <w:p w:rsidR="00D142AA" w:rsidRDefault="00D142AA" w:rsidP="00D37C06">
            <w:pPr>
              <w:jc w:val="both"/>
              <w:rPr>
                <w:rFonts w:ascii="Times New Roman" w:eastAsia="Times New Roman" w:hAnsi="Times New Roman" w:cs="Times New Roman"/>
                <w:sz w:val="20"/>
                <w:szCs w:val="20"/>
                <w:lang w:val="uk-UA"/>
              </w:rPr>
            </w:pPr>
          </w:p>
          <w:p w:rsidR="00D142AA" w:rsidRPr="00D142AA" w:rsidRDefault="00D142AA" w:rsidP="00D37C06">
            <w:pPr>
              <w:jc w:val="both"/>
              <w:rPr>
                <w:rFonts w:ascii="Times New Roman" w:eastAsia="Times New Roman" w:hAnsi="Times New Roman" w:cs="Times New Roman"/>
                <w:sz w:val="20"/>
                <w:szCs w:val="20"/>
                <w:lang w:val="uk-UA"/>
              </w:rPr>
            </w:pPr>
            <w:r w:rsidRPr="00D142AA">
              <w:rPr>
                <w:rFonts w:ascii="Times New Roman" w:eastAsia="Times New Roman" w:hAnsi="Times New Roman" w:cs="Times New Roman"/>
                <w:sz w:val="20"/>
                <w:szCs w:val="20"/>
                <w:lang w:val="uk-UA"/>
              </w:rPr>
              <w:t xml:space="preserve">1) 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w:t>
            </w:r>
            <w:r w:rsidRPr="00D142AA">
              <w:rPr>
                <w:rFonts w:ascii="Times New Roman" w:eastAsia="Times New Roman" w:hAnsi="Times New Roman" w:cs="Times New Roman"/>
                <w:b/>
                <w:sz w:val="20"/>
                <w:szCs w:val="20"/>
                <w:lang w:val="uk-UA"/>
              </w:rPr>
              <w:t>або копія ID-картки з позначкою про відмову отримання ІПН та з довідкою про реєстрацію місця проживання (для тимчасово переміщених осіб додатково надати копію довідку тимчасово переміщеної особи)</w:t>
            </w:r>
            <w:r w:rsidRPr="00D142AA">
              <w:rPr>
                <w:rFonts w:ascii="Times New Roman" w:eastAsia="Times New Roman" w:hAnsi="Times New Roman" w:cs="Times New Roman"/>
                <w:sz w:val="20"/>
                <w:szCs w:val="20"/>
                <w:lang w:val="uk-UA"/>
              </w:rPr>
              <w:t xml:space="preserve">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w:t>
            </w:r>
          </w:p>
        </w:tc>
        <w:tc>
          <w:tcPr>
            <w:tcW w:w="1560" w:type="pct"/>
            <w:tcMar>
              <w:top w:w="225" w:type="dxa"/>
              <w:left w:w="75" w:type="dxa"/>
              <w:bottom w:w="225" w:type="dxa"/>
              <w:right w:w="75" w:type="dxa"/>
            </w:tcMar>
          </w:tcPr>
          <w:p w:rsidR="00D142AA" w:rsidRPr="00D142AA" w:rsidRDefault="00D142AA" w:rsidP="00D37C06">
            <w:pPr>
              <w:jc w:val="both"/>
              <w:textAlignment w:val="baseline"/>
              <w:rPr>
                <w:rFonts w:ascii="Times New Roman" w:eastAsia="Times New Roman" w:hAnsi="Times New Roman" w:cs="Times New Roman"/>
                <w:b/>
                <w:sz w:val="20"/>
                <w:szCs w:val="20"/>
                <w:lang w:val="uk-UA"/>
              </w:rPr>
            </w:pPr>
            <w:r w:rsidRPr="00D142AA">
              <w:rPr>
                <w:rFonts w:ascii="Times New Roman" w:eastAsia="Times New Roman" w:hAnsi="Times New Roman" w:cs="Times New Roman"/>
                <w:b/>
                <w:bCs/>
                <w:sz w:val="20"/>
                <w:szCs w:val="20"/>
                <w:lang w:val="uk-UA"/>
              </w:rPr>
              <w:t>Потребує обговорення</w:t>
            </w:r>
          </w:p>
        </w:tc>
      </w:tr>
      <w:tr w:rsidR="00FA04E1" w:rsidRPr="00150153" w:rsidTr="00D142AA">
        <w:trPr>
          <w:trHeight w:val="526"/>
        </w:trPr>
        <w:tc>
          <w:tcPr>
            <w:tcW w:w="1785" w:type="pct"/>
            <w:tcMar>
              <w:top w:w="225" w:type="dxa"/>
              <w:left w:w="75" w:type="dxa"/>
              <w:bottom w:w="225" w:type="dxa"/>
              <w:right w:w="75" w:type="dxa"/>
            </w:tcMar>
          </w:tcPr>
          <w:p w:rsidR="00D37C06" w:rsidRPr="00D142AA" w:rsidRDefault="00D37C06" w:rsidP="00D37C06">
            <w:pPr>
              <w:jc w:val="both"/>
              <w:rPr>
                <w:rFonts w:ascii="Times New Roman" w:hAnsi="Times New Roman" w:cs="Times New Roman"/>
                <w:sz w:val="20"/>
                <w:szCs w:val="20"/>
                <w:lang w:val="uk-UA"/>
              </w:rPr>
            </w:pPr>
            <w:r w:rsidRPr="00D142AA">
              <w:rPr>
                <w:rFonts w:ascii="Times New Roman" w:hAnsi="Times New Roman" w:cs="Times New Roman"/>
                <w:sz w:val="20"/>
                <w:szCs w:val="20"/>
                <w:lang w:val="uk-UA"/>
              </w:rPr>
              <w:t>2.2. При провадженні ліцензованої діяльності</w:t>
            </w:r>
            <w:r w:rsidRPr="00D142AA">
              <w:rPr>
                <w:rFonts w:ascii="Times New Roman" w:hAnsi="Times New Roman" w:cs="Times New Roman"/>
                <w:sz w:val="20"/>
                <w:szCs w:val="20"/>
                <w:lang w:val="en-US"/>
              </w:rPr>
              <w:t xml:space="preserve"> </w:t>
            </w:r>
            <w:r w:rsidRPr="00D142AA">
              <w:rPr>
                <w:rFonts w:ascii="Times New Roman" w:hAnsi="Times New Roman" w:cs="Times New Roman"/>
                <w:sz w:val="20"/>
                <w:szCs w:val="20"/>
                <w:lang w:val="uk-UA"/>
              </w:rPr>
              <w:t>ліцензіат повинен дотримуватися таких організаційних вимог:</w:t>
            </w:r>
          </w:p>
          <w:p w:rsidR="00D37C06" w:rsidRPr="00D142AA" w:rsidRDefault="00D37C06" w:rsidP="00D37C06">
            <w:pPr>
              <w:jc w:val="both"/>
              <w:rPr>
                <w:rFonts w:ascii="Times New Roman" w:eastAsia="Times New Roman" w:hAnsi="Times New Roman" w:cs="Times New Roman"/>
                <w:sz w:val="20"/>
                <w:szCs w:val="20"/>
              </w:rPr>
            </w:pPr>
          </w:p>
          <w:p w:rsidR="00715361" w:rsidRPr="00D142AA" w:rsidRDefault="00D37C06" w:rsidP="00D37C06">
            <w:pPr>
              <w:jc w:val="both"/>
              <w:rPr>
                <w:rFonts w:ascii="Times New Roman" w:eastAsia="Times New Roman" w:hAnsi="Times New Roman" w:cs="Times New Roman"/>
                <w:sz w:val="20"/>
                <w:szCs w:val="20"/>
                <w:lang w:val="uk-UA"/>
              </w:rPr>
            </w:pPr>
            <w:r w:rsidRPr="00D142AA">
              <w:rPr>
                <w:rFonts w:ascii="Times New Roman" w:eastAsia="Times New Roman" w:hAnsi="Times New Roman" w:cs="Times New Roman"/>
                <w:sz w:val="20"/>
                <w:szCs w:val="20"/>
                <w:lang w:val="uk-UA"/>
              </w:rPr>
              <w:t>33) при здійсненні діяльності на оптовому енергетичному ринку:</w:t>
            </w:r>
          </w:p>
          <w:p w:rsidR="00D37C06" w:rsidRPr="00D142AA" w:rsidRDefault="00D37C06" w:rsidP="00D37C06">
            <w:pPr>
              <w:jc w:val="both"/>
              <w:rPr>
                <w:rFonts w:ascii="Times New Roman" w:eastAsia="Times New Roman" w:hAnsi="Times New Roman" w:cs="Times New Roman"/>
                <w:sz w:val="20"/>
                <w:szCs w:val="20"/>
              </w:rPr>
            </w:pPr>
          </w:p>
          <w:p w:rsidR="00FA04E1" w:rsidRPr="00D142AA" w:rsidRDefault="00715361" w:rsidP="00D37C06">
            <w:pPr>
              <w:jc w:val="both"/>
              <w:rPr>
                <w:rFonts w:ascii="Times New Roman" w:eastAsia="Times New Roman" w:hAnsi="Times New Roman" w:cs="Times New Roman"/>
                <w:sz w:val="20"/>
                <w:szCs w:val="20"/>
                <w:lang w:val="uk-UA"/>
              </w:rPr>
            </w:pPr>
            <w:r w:rsidRPr="00D142AA">
              <w:rPr>
                <w:rFonts w:ascii="Times New Roman" w:eastAsia="Times New Roman" w:hAnsi="Times New Roman" w:cs="Times New Roman"/>
                <w:sz w:val="20"/>
                <w:szCs w:val="20"/>
                <w:lang w:val="uk-UA"/>
              </w:rPr>
              <w:t xml:space="preserve">а) ефективно та своєчасно оприлюднювати (розкривати) наявну інсайдерську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D142AA">
              <w:rPr>
                <w:rFonts w:ascii="Times New Roman" w:eastAsia="Times New Roman" w:hAnsi="Times New Roman" w:cs="Times New Roman"/>
                <w:sz w:val="20"/>
                <w:szCs w:val="20"/>
                <w:lang w:val="uk-UA"/>
              </w:rPr>
              <w:t>інсайдерської</w:t>
            </w:r>
            <w:proofErr w:type="spellEnd"/>
            <w:r w:rsidRPr="00D142AA">
              <w:rPr>
                <w:rFonts w:ascii="Times New Roman" w:eastAsia="Times New Roman" w:hAnsi="Times New Roman" w:cs="Times New Roman"/>
                <w:sz w:val="20"/>
                <w:szCs w:val="20"/>
                <w:lang w:val="uk-UA"/>
              </w:rPr>
              <w:t xml:space="preserve"> інформації;</w:t>
            </w:r>
          </w:p>
        </w:tc>
        <w:tc>
          <w:tcPr>
            <w:tcW w:w="1655" w:type="pct"/>
            <w:tcMar>
              <w:top w:w="225" w:type="dxa"/>
              <w:left w:w="75" w:type="dxa"/>
              <w:bottom w:w="225" w:type="dxa"/>
              <w:right w:w="75" w:type="dxa"/>
            </w:tcMar>
          </w:tcPr>
          <w:p w:rsidR="00715361" w:rsidRPr="00D142AA" w:rsidRDefault="00715361" w:rsidP="00D37C06">
            <w:pPr>
              <w:jc w:val="both"/>
              <w:rPr>
                <w:rFonts w:ascii="Times New Roman" w:eastAsia="Times New Roman" w:hAnsi="Times New Roman" w:cs="Times New Roman"/>
                <w:sz w:val="20"/>
                <w:szCs w:val="20"/>
                <w:lang w:val="uk-UA"/>
              </w:rPr>
            </w:pPr>
          </w:p>
          <w:p w:rsidR="00D37C06" w:rsidRPr="00D142AA" w:rsidRDefault="00D37C06" w:rsidP="00D37C06">
            <w:pPr>
              <w:jc w:val="both"/>
              <w:rPr>
                <w:rFonts w:ascii="Times New Roman" w:eastAsia="Times New Roman" w:hAnsi="Times New Roman" w:cs="Times New Roman"/>
                <w:sz w:val="20"/>
                <w:szCs w:val="20"/>
                <w:lang w:val="uk-UA"/>
              </w:rPr>
            </w:pPr>
          </w:p>
          <w:p w:rsidR="00D37C06" w:rsidRPr="00D142AA" w:rsidRDefault="00D37C06" w:rsidP="00D37C06">
            <w:pPr>
              <w:jc w:val="both"/>
              <w:rPr>
                <w:rFonts w:ascii="Times New Roman" w:eastAsia="Times New Roman" w:hAnsi="Times New Roman" w:cs="Times New Roman"/>
                <w:sz w:val="20"/>
                <w:szCs w:val="20"/>
                <w:lang w:val="uk-UA"/>
              </w:rPr>
            </w:pPr>
          </w:p>
          <w:p w:rsidR="00D37C06" w:rsidRPr="00D142AA" w:rsidRDefault="00D37C06" w:rsidP="00D37C06">
            <w:pPr>
              <w:jc w:val="both"/>
              <w:rPr>
                <w:rFonts w:ascii="Times New Roman" w:eastAsia="Times New Roman" w:hAnsi="Times New Roman" w:cs="Times New Roman"/>
                <w:sz w:val="20"/>
                <w:szCs w:val="20"/>
                <w:lang w:val="uk-UA"/>
              </w:rPr>
            </w:pPr>
          </w:p>
          <w:p w:rsidR="00D37C06" w:rsidRPr="00D142AA" w:rsidRDefault="00D37C06" w:rsidP="00D37C06">
            <w:pPr>
              <w:jc w:val="both"/>
              <w:rPr>
                <w:rFonts w:ascii="Times New Roman" w:eastAsia="Times New Roman" w:hAnsi="Times New Roman" w:cs="Times New Roman"/>
                <w:sz w:val="20"/>
                <w:szCs w:val="20"/>
                <w:lang w:val="uk-UA"/>
              </w:rPr>
            </w:pPr>
          </w:p>
          <w:p w:rsidR="00973814" w:rsidRDefault="00973814" w:rsidP="00973814">
            <w:pPr>
              <w:jc w:val="both"/>
              <w:rPr>
                <w:rFonts w:ascii="Times New Roman" w:eastAsia="Times New Roman" w:hAnsi="Times New Roman" w:cs="Times New Roman"/>
                <w:i/>
                <w:sz w:val="20"/>
                <w:szCs w:val="20"/>
                <w:lang w:val="uk-UA"/>
              </w:rPr>
            </w:pPr>
          </w:p>
          <w:p w:rsidR="00973814" w:rsidRPr="00D142AA" w:rsidRDefault="00973814" w:rsidP="00973814">
            <w:pPr>
              <w:jc w:val="both"/>
              <w:rPr>
                <w:rFonts w:ascii="Times New Roman" w:eastAsia="Times New Roman" w:hAnsi="Times New Roman" w:cs="Times New Roman"/>
                <w:i/>
                <w:sz w:val="20"/>
                <w:szCs w:val="20"/>
                <w:lang w:val="uk-UA"/>
              </w:rPr>
            </w:pPr>
            <w:r w:rsidRPr="00D142AA">
              <w:rPr>
                <w:rFonts w:ascii="Times New Roman" w:eastAsia="Times New Roman" w:hAnsi="Times New Roman" w:cs="Times New Roman"/>
                <w:i/>
                <w:sz w:val="20"/>
                <w:szCs w:val="20"/>
                <w:lang w:val="uk-UA"/>
              </w:rPr>
              <w:t>ТОВ «ЕНЕРДЖІ 365»</w:t>
            </w:r>
          </w:p>
          <w:p w:rsidR="00D37C06" w:rsidRPr="00D142AA" w:rsidRDefault="00D37C06" w:rsidP="00D37C06">
            <w:pPr>
              <w:jc w:val="both"/>
              <w:rPr>
                <w:rFonts w:ascii="Times New Roman" w:eastAsia="Times New Roman" w:hAnsi="Times New Roman" w:cs="Times New Roman"/>
                <w:sz w:val="20"/>
                <w:szCs w:val="20"/>
                <w:lang w:val="uk-UA"/>
              </w:rPr>
            </w:pPr>
          </w:p>
          <w:p w:rsidR="00FA04E1" w:rsidRPr="00D142AA" w:rsidRDefault="00715361" w:rsidP="00D37C06">
            <w:pPr>
              <w:jc w:val="both"/>
              <w:rPr>
                <w:rFonts w:ascii="Times New Roman" w:eastAsia="Times New Roman" w:hAnsi="Times New Roman" w:cs="Times New Roman"/>
                <w:sz w:val="20"/>
                <w:szCs w:val="20"/>
                <w:lang w:val="uk-UA"/>
              </w:rPr>
            </w:pPr>
            <w:r w:rsidRPr="00D142AA">
              <w:rPr>
                <w:rFonts w:ascii="Times New Roman" w:eastAsia="Times New Roman" w:hAnsi="Times New Roman" w:cs="Times New Roman"/>
                <w:sz w:val="20"/>
                <w:szCs w:val="20"/>
                <w:lang w:val="uk-UA"/>
              </w:rPr>
              <w:t xml:space="preserve">а) </w:t>
            </w:r>
            <w:r w:rsidRPr="00D142AA">
              <w:rPr>
                <w:rFonts w:ascii="Times New Roman" w:eastAsia="Times New Roman" w:hAnsi="Times New Roman" w:cs="Times New Roman"/>
                <w:b/>
                <w:strike/>
                <w:sz w:val="20"/>
                <w:szCs w:val="20"/>
                <w:lang w:val="uk-UA"/>
              </w:rPr>
              <w:t>ефективно та</w:t>
            </w:r>
            <w:r w:rsidRPr="00D142AA">
              <w:rPr>
                <w:rFonts w:ascii="Times New Roman" w:eastAsia="Times New Roman" w:hAnsi="Times New Roman" w:cs="Times New Roman"/>
                <w:sz w:val="20"/>
                <w:szCs w:val="20"/>
                <w:lang w:val="uk-UA"/>
              </w:rPr>
              <w:t xml:space="preserve"> своєчасно оприлюднювати (розкривати) наявну інсайдерську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D142AA">
              <w:rPr>
                <w:rFonts w:ascii="Times New Roman" w:eastAsia="Times New Roman" w:hAnsi="Times New Roman" w:cs="Times New Roman"/>
                <w:sz w:val="20"/>
                <w:szCs w:val="20"/>
                <w:lang w:val="uk-UA"/>
              </w:rPr>
              <w:t>інсайдерської</w:t>
            </w:r>
            <w:proofErr w:type="spellEnd"/>
            <w:r w:rsidRPr="00D142AA">
              <w:rPr>
                <w:rFonts w:ascii="Times New Roman" w:eastAsia="Times New Roman" w:hAnsi="Times New Roman" w:cs="Times New Roman"/>
                <w:sz w:val="20"/>
                <w:szCs w:val="20"/>
                <w:lang w:val="uk-UA"/>
              </w:rPr>
              <w:t xml:space="preserve"> інформації</w:t>
            </w:r>
          </w:p>
        </w:tc>
        <w:tc>
          <w:tcPr>
            <w:tcW w:w="1560" w:type="pct"/>
            <w:tcMar>
              <w:top w:w="225" w:type="dxa"/>
              <w:left w:w="75" w:type="dxa"/>
              <w:bottom w:w="225" w:type="dxa"/>
              <w:right w:w="75" w:type="dxa"/>
            </w:tcMar>
          </w:tcPr>
          <w:p w:rsidR="00D37C06" w:rsidRPr="00D142AA" w:rsidRDefault="00D37C06" w:rsidP="00D37C06">
            <w:pPr>
              <w:jc w:val="both"/>
              <w:textAlignment w:val="baseline"/>
              <w:rPr>
                <w:rFonts w:ascii="Times New Roman" w:eastAsia="Times New Roman" w:hAnsi="Times New Roman" w:cs="Times New Roman"/>
                <w:b/>
                <w:sz w:val="20"/>
                <w:szCs w:val="20"/>
                <w:lang w:val="uk-UA"/>
              </w:rPr>
            </w:pPr>
          </w:p>
          <w:p w:rsidR="00D37C06" w:rsidRPr="00D142AA" w:rsidRDefault="00D37C06" w:rsidP="00D37C06">
            <w:pPr>
              <w:jc w:val="both"/>
              <w:textAlignment w:val="baseline"/>
              <w:rPr>
                <w:rFonts w:ascii="Times New Roman" w:eastAsia="Times New Roman" w:hAnsi="Times New Roman" w:cs="Times New Roman"/>
                <w:b/>
                <w:sz w:val="20"/>
                <w:szCs w:val="20"/>
                <w:lang w:val="uk-UA"/>
              </w:rPr>
            </w:pPr>
          </w:p>
          <w:p w:rsidR="00D37C06" w:rsidRPr="00D142AA" w:rsidRDefault="00D37C06" w:rsidP="00D37C06">
            <w:pPr>
              <w:jc w:val="both"/>
              <w:textAlignment w:val="baseline"/>
              <w:rPr>
                <w:rFonts w:ascii="Times New Roman" w:eastAsia="Times New Roman" w:hAnsi="Times New Roman" w:cs="Times New Roman"/>
                <w:b/>
                <w:sz w:val="20"/>
                <w:szCs w:val="20"/>
                <w:lang w:val="uk-UA"/>
              </w:rPr>
            </w:pPr>
          </w:p>
          <w:p w:rsidR="00D37C06" w:rsidRPr="00D142AA" w:rsidRDefault="00D37C06" w:rsidP="00D37C06">
            <w:pPr>
              <w:jc w:val="both"/>
              <w:textAlignment w:val="baseline"/>
              <w:rPr>
                <w:rFonts w:ascii="Times New Roman" w:eastAsia="Times New Roman" w:hAnsi="Times New Roman" w:cs="Times New Roman"/>
                <w:b/>
                <w:sz w:val="20"/>
                <w:szCs w:val="20"/>
                <w:lang w:val="uk-UA"/>
              </w:rPr>
            </w:pPr>
          </w:p>
          <w:p w:rsidR="00D37C06" w:rsidRPr="00D142AA" w:rsidRDefault="00D37C06" w:rsidP="00D37C06">
            <w:pPr>
              <w:jc w:val="both"/>
              <w:textAlignment w:val="baseline"/>
              <w:rPr>
                <w:rFonts w:ascii="Times New Roman" w:eastAsia="Times New Roman" w:hAnsi="Times New Roman" w:cs="Times New Roman"/>
                <w:b/>
                <w:sz w:val="20"/>
                <w:szCs w:val="20"/>
                <w:lang w:val="uk-UA"/>
              </w:rPr>
            </w:pPr>
          </w:p>
          <w:p w:rsidR="00D37C06" w:rsidRPr="00D142AA" w:rsidRDefault="00D37C06" w:rsidP="00D37C06">
            <w:pPr>
              <w:jc w:val="both"/>
              <w:textAlignment w:val="baseline"/>
              <w:rPr>
                <w:rFonts w:ascii="Times New Roman" w:eastAsia="Times New Roman" w:hAnsi="Times New Roman" w:cs="Times New Roman"/>
                <w:b/>
                <w:sz w:val="20"/>
                <w:szCs w:val="20"/>
                <w:lang w:val="uk-UA"/>
              </w:rPr>
            </w:pPr>
          </w:p>
          <w:p w:rsidR="00150153" w:rsidRPr="00D142AA" w:rsidRDefault="00150153" w:rsidP="00D37C06">
            <w:pPr>
              <w:jc w:val="both"/>
              <w:textAlignment w:val="baseline"/>
              <w:rPr>
                <w:rFonts w:ascii="Times New Roman" w:eastAsia="Times New Roman" w:hAnsi="Times New Roman" w:cs="Times New Roman"/>
                <w:b/>
                <w:sz w:val="20"/>
                <w:szCs w:val="20"/>
                <w:lang w:val="uk-UA"/>
              </w:rPr>
            </w:pPr>
            <w:proofErr w:type="spellStart"/>
            <w:r w:rsidRPr="00D142AA">
              <w:rPr>
                <w:rFonts w:ascii="Times New Roman" w:eastAsia="Times New Roman" w:hAnsi="Times New Roman" w:cs="Times New Roman"/>
                <w:b/>
                <w:sz w:val="20"/>
                <w:szCs w:val="20"/>
                <w:lang w:val="uk-UA"/>
              </w:rPr>
              <w:t>Відхилено</w:t>
            </w:r>
            <w:proofErr w:type="spellEnd"/>
          </w:p>
          <w:p w:rsidR="00FA04E1" w:rsidRPr="00D142AA" w:rsidRDefault="00150153" w:rsidP="00D37C06">
            <w:pPr>
              <w:jc w:val="both"/>
              <w:textAlignment w:val="baseline"/>
              <w:rPr>
                <w:rFonts w:ascii="Times New Roman" w:eastAsia="Times New Roman" w:hAnsi="Times New Roman" w:cs="Times New Roman"/>
                <w:sz w:val="20"/>
                <w:szCs w:val="20"/>
                <w:lang w:val="uk-UA"/>
              </w:rPr>
            </w:pPr>
            <w:r w:rsidRPr="00D142AA">
              <w:rPr>
                <w:rFonts w:ascii="Times New Roman" w:eastAsia="Times New Roman" w:hAnsi="Times New Roman" w:cs="Times New Roman"/>
                <w:sz w:val="20"/>
                <w:szCs w:val="20"/>
                <w:lang w:val="uk-UA"/>
              </w:rPr>
              <w:t>Відповідно до частини четвертої статті 11</w:t>
            </w:r>
            <w:r w:rsidRPr="00D142AA">
              <w:rPr>
                <w:rFonts w:ascii="Times New Roman" w:eastAsia="Times New Roman" w:hAnsi="Times New Roman" w:cs="Times New Roman"/>
                <w:sz w:val="20"/>
                <w:szCs w:val="20"/>
                <w:vertAlign w:val="superscript"/>
                <w:lang w:val="uk-UA"/>
              </w:rPr>
              <w:t>1</w:t>
            </w:r>
            <w:r w:rsidRPr="00D142AA">
              <w:rPr>
                <w:rFonts w:ascii="Times New Roman" w:eastAsia="Times New Roman" w:hAnsi="Times New Roman" w:cs="Times New Roman"/>
                <w:sz w:val="20"/>
                <w:szCs w:val="20"/>
                <w:lang w:val="uk-UA"/>
              </w:rPr>
              <w:t xml:space="preserve"> Закону України «Про ринок електричної енергії» учасники оптового енергетичного ринку зобов’язані </w:t>
            </w:r>
            <w:r w:rsidRPr="00D142AA">
              <w:rPr>
                <w:rFonts w:ascii="Times New Roman" w:eastAsia="Times New Roman" w:hAnsi="Times New Roman" w:cs="Times New Roman"/>
                <w:b/>
                <w:sz w:val="20"/>
                <w:szCs w:val="20"/>
                <w:lang w:val="uk-UA"/>
              </w:rPr>
              <w:t>ефективно та своєчасно</w:t>
            </w:r>
            <w:r w:rsidRPr="00D142AA">
              <w:rPr>
                <w:rFonts w:ascii="Times New Roman" w:eastAsia="Times New Roman" w:hAnsi="Times New Roman" w:cs="Times New Roman"/>
                <w:sz w:val="20"/>
                <w:szCs w:val="20"/>
                <w:lang w:val="uk-UA"/>
              </w:rPr>
              <w:t xml:space="preserve"> оприлюднювати (розкривати) наявну в них інсайдерську інформацію про господарську діяльність чи об’єкти, що належать чи підконтрольні відповідному учаснику ринку,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ринку чи суб’єкт господарювання. Таке оприлюднення (розкриття) повинно включати інформацію про потужності та використання потужностей електроустановок, призначених для виробництва, зберігання, передачі та споживання електричної енергії, у тому числі планову або позапланову недоступність таких електроустановок.</w:t>
            </w:r>
          </w:p>
        </w:tc>
      </w:tr>
    </w:tbl>
    <w:p w:rsidR="00D37C06" w:rsidRDefault="00D37C06" w:rsidP="00D37C06">
      <w:pPr>
        <w:pStyle w:val="aa"/>
        <w:shd w:val="clear" w:color="auto" w:fill="FFFFFF"/>
        <w:spacing w:before="0" w:beforeAutospacing="0" w:after="225" w:afterAutospacing="0"/>
        <w:textAlignment w:val="baseline"/>
        <w:rPr>
          <w:rFonts w:asciiTheme="minorHAnsi" w:hAnsiTheme="minorHAnsi" w:cstheme="minorHAnsi"/>
          <w:color w:val="000000"/>
          <w:sz w:val="22"/>
          <w:lang w:val="uk-UA"/>
        </w:rPr>
      </w:pPr>
    </w:p>
    <w:p w:rsidR="00FA04E1" w:rsidRPr="00523C91" w:rsidRDefault="00FA04E1" w:rsidP="00D37C06">
      <w:pPr>
        <w:pStyle w:val="aa"/>
        <w:shd w:val="clear" w:color="auto" w:fill="FFFFFF"/>
        <w:spacing w:before="0" w:beforeAutospacing="0" w:after="225" w:afterAutospacing="0"/>
        <w:textAlignment w:val="baseline"/>
        <w:rPr>
          <w:rFonts w:asciiTheme="minorHAnsi" w:hAnsiTheme="minorHAnsi" w:cstheme="minorHAnsi"/>
          <w:color w:val="000000"/>
          <w:sz w:val="22"/>
          <w:szCs w:val="27"/>
          <w:lang w:val="uk-UA"/>
        </w:rPr>
      </w:pPr>
      <w:r w:rsidRPr="008C7588">
        <w:rPr>
          <w:rFonts w:asciiTheme="minorHAnsi" w:hAnsiTheme="minorHAnsi" w:cstheme="minorHAnsi"/>
          <w:color w:val="000000"/>
          <w:sz w:val="22"/>
          <w:szCs w:val="27"/>
          <w:lang w:val="uk-UA"/>
        </w:rPr>
        <w:tab/>
        <w:t xml:space="preserve">                </w:t>
      </w:r>
    </w:p>
    <w:p w:rsidR="001F7C36" w:rsidRPr="00FA04E1" w:rsidRDefault="001F7C36" w:rsidP="00FA04E1">
      <w:pPr>
        <w:rPr>
          <w:lang w:val="uk-UA"/>
        </w:rPr>
      </w:pPr>
    </w:p>
    <w:sectPr w:rsidR="001F7C36" w:rsidRPr="00FA04E1" w:rsidSect="00150153">
      <w:headerReference w:type="default" r:id="rId7"/>
      <w:pgSz w:w="11900" w:h="16840"/>
      <w:pgMar w:top="993" w:right="1440" w:bottom="1440" w:left="1440" w:header="0"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CF1" w:rsidRDefault="002E4CF1">
      <w:r>
        <w:separator/>
      </w:r>
    </w:p>
  </w:endnote>
  <w:endnote w:type="continuationSeparator" w:id="0">
    <w:p w:rsidR="002E4CF1" w:rsidRDefault="002E4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Unicode MS">
    <w:altName w:val="Arial"/>
    <w:panose1 w:val="020B0604020202020204"/>
    <w:charset w:val="00"/>
    <w:family w:val="roman"/>
    <w:pitch w:val="default"/>
  </w:font>
  <w:font w:name="Calibri">
    <w:panose1 w:val="020F0502020204030204"/>
    <w:charset w:val="CC"/>
    <w:family w:val="swiss"/>
    <w:pitch w:val="variable"/>
    <w:sig w:usb0="E0002AFF" w:usb1="4000ACFF" w:usb2="00000001" w:usb3="00000000" w:csb0="000001FF" w:csb1="00000000"/>
  </w:font>
  <w:font w:name="Helvetica Neue">
    <w:altName w:val="Arial"/>
    <w:charset w:val="00"/>
    <w:family w:val="roman"/>
    <w:pitch w:val="default"/>
  </w:font>
  <w:font w:name="Rubik Light">
    <w:altName w:val="Arial"/>
    <w:charset w:val="B1"/>
    <w:family w:val="auto"/>
    <w:pitch w:val="variable"/>
    <w:sig w:usb0="A0000A6F" w:usb1="4000205B" w:usb2="00000000" w:usb3="00000000" w:csb0="000000B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CF1" w:rsidRDefault="002E4CF1">
      <w:r>
        <w:separator/>
      </w:r>
    </w:p>
  </w:footnote>
  <w:footnote w:type="continuationSeparator" w:id="0">
    <w:p w:rsidR="002E4CF1" w:rsidRDefault="002E4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111" w:rsidRDefault="00AA3111">
    <w:pPr>
      <w:pStyle w:val="a4"/>
      <w:tabs>
        <w:tab w:val="clear" w:pos="9026"/>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BA33F4"/>
    <w:multiLevelType w:val="hybridMultilevel"/>
    <w:tmpl w:val="CFE638AC"/>
    <w:numStyleLink w:val="1"/>
  </w:abstractNum>
  <w:abstractNum w:abstractNumId="1" w15:restartNumberingAfterBreak="0">
    <w:nsid w:val="474324CA"/>
    <w:multiLevelType w:val="hybridMultilevel"/>
    <w:tmpl w:val="13C27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A5D04C3"/>
    <w:multiLevelType w:val="hybridMultilevel"/>
    <w:tmpl w:val="CFE638AC"/>
    <w:styleLink w:val="1"/>
    <w:lvl w:ilvl="0" w:tplc="98CEA462">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ED1E5A12">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00E825F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8A35B0">
      <w:start w:val="1"/>
      <w:numFmt w:val="bullet"/>
      <w:lvlText w:val="•"/>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890A166">
      <w:start w:val="1"/>
      <w:numFmt w:val="bullet"/>
      <w:lvlText w:val="o"/>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536854B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260E58">
      <w:start w:val="1"/>
      <w:numFmt w:val="bullet"/>
      <w:lvlText w:val="•"/>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7FE96AE">
      <w:start w:val="1"/>
      <w:numFmt w:val="bullet"/>
      <w:lvlText w:val="o"/>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236EBE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C36"/>
    <w:rsid w:val="000947D5"/>
    <w:rsid w:val="000E2677"/>
    <w:rsid w:val="000F08D7"/>
    <w:rsid w:val="00150153"/>
    <w:rsid w:val="001F7C36"/>
    <w:rsid w:val="002E4CF1"/>
    <w:rsid w:val="00374752"/>
    <w:rsid w:val="005572DF"/>
    <w:rsid w:val="006A3CE8"/>
    <w:rsid w:val="00715361"/>
    <w:rsid w:val="00900487"/>
    <w:rsid w:val="00973814"/>
    <w:rsid w:val="00AA3111"/>
    <w:rsid w:val="00D142AA"/>
    <w:rsid w:val="00D37C06"/>
    <w:rsid w:val="00FA0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B1FC7"/>
  <w15:docId w15:val="{78E56096-0BDA-4723-8C65-0FC29497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Calibri" w:hAnsi="Calibri" w:cs="Arial Unicode M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tabs>
        <w:tab w:val="center" w:pos="4513"/>
        <w:tab w:val="right" w:pos="9026"/>
      </w:tabs>
    </w:pPr>
    <w:rPr>
      <w:rFonts w:ascii="Calibri" w:hAnsi="Calibri" w:cs="Arial Unicode MS"/>
      <w:color w:val="000000"/>
      <w:sz w:val="24"/>
      <w:szCs w:val="24"/>
      <w:u w:color="000000"/>
    </w:rPr>
  </w:style>
  <w:style w:type="paragraph" w:customStyle="1" w:styleId="a5">
    <w:name w:val="Колонтитули"/>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a6">
    <w:name w:val="Посилання"/>
    <w:rPr>
      <w:outline w:val="0"/>
      <w:color w:val="0563C1"/>
      <w:u w:val="single" w:color="0563C1"/>
    </w:rPr>
  </w:style>
  <w:style w:type="character" w:customStyle="1" w:styleId="Hyperlink0">
    <w:name w:val="Hyperlink.0"/>
    <w:basedOn w:val="a6"/>
    <w:rPr>
      <w:rFonts w:ascii="Rubik Light" w:eastAsia="Rubik Light" w:hAnsi="Rubik Light" w:cs="Rubik Light"/>
      <w:outline w:val="0"/>
      <w:color w:val="0563C1"/>
      <w:u w:val="single" w:color="0563C1"/>
    </w:rPr>
  </w:style>
  <w:style w:type="character" w:customStyle="1" w:styleId="Hyperlink1">
    <w:name w:val="Hyperlink.1"/>
    <w:basedOn w:val="a6"/>
    <w:rPr>
      <w:rFonts w:ascii="Rubik Light" w:eastAsia="Rubik Light" w:hAnsi="Rubik Light" w:cs="Rubik Light"/>
      <w:outline w:val="0"/>
      <w:color w:val="0563C1"/>
      <w:u w:val="single" w:color="0563C1"/>
      <w:lang w:val="en-US"/>
    </w:rPr>
  </w:style>
  <w:style w:type="paragraph" w:styleId="a7">
    <w:name w:val="List Paragraph"/>
    <w:pPr>
      <w:ind w:left="720"/>
    </w:pPr>
    <w:rPr>
      <w:rFonts w:ascii="Calibri" w:hAnsi="Calibri" w:cs="Arial Unicode MS"/>
      <w:color w:val="000000"/>
      <w:sz w:val="24"/>
      <w:szCs w:val="24"/>
      <w:u w:color="000000"/>
    </w:rPr>
  </w:style>
  <w:style w:type="numbering" w:customStyle="1" w:styleId="1">
    <w:name w:val="Імпортований стиль 1"/>
    <w:pPr>
      <w:numPr>
        <w:numId w:val="1"/>
      </w:numPr>
    </w:pPr>
  </w:style>
  <w:style w:type="paragraph" w:styleId="a8">
    <w:name w:val="footer"/>
    <w:basedOn w:val="a"/>
    <w:link w:val="a9"/>
    <w:uiPriority w:val="99"/>
    <w:unhideWhenUsed/>
    <w:rsid w:val="005572DF"/>
    <w:pPr>
      <w:tabs>
        <w:tab w:val="center" w:pos="4677"/>
        <w:tab w:val="right" w:pos="9355"/>
      </w:tabs>
    </w:pPr>
  </w:style>
  <w:style w:type="character" w:customStyle="1" w:styleId="a9">
    <w:name w:val="Нижній колонтитул Знак"/>
    <w:basedOn w:val="a0"/>
    <w:link w:val="a8"/>
    <w:uiPriority w:val="99"/>
    <w:rsid w:val="005572DF"/>
    <w:rPr>
      <w:rFonts w:ascii="Calibri" w:hAnsi="Calibri" w:cs="Arial Unicode MS"/>
      <w:color w:val="000000"/>
      <w:sz w:val="24"/>
      <w:szCs w:val="24"/>
      <w:u w:color="000000"/>
      <w:lang w:val="ru-RU"/>
    </w:rPr>
  </w:style>
  <w:style w:type="paragraph" w:styleId="aa">
    <w:name w:val="Normal (Web)"/>
    <w:basedOn w:val="a"/>
    <w:uiPriority w:val="99"/>
    <w:unhideWhenUsed/>
    <w:rsid w:val="00FA04E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rPr>
  </w:style>
  <w:style w:type="character" w:styleId="ab">
    <w:name w:val="Emphasis"/>
    <w:basedOn w:val="a0"/>
    <w:uiPriority w:val="20"/>
    <w:qFormat/>
    <w:rsid w:val="00FA04E1"/>
    <w:rPr>
      <w:i/>
      <w:iCs/>
    </w:rPr>
  </w:style>
  <w:style w:type="character" w:styleId="ac">
    <w:name w:val="Unresolved Mention"/>
    <w:basedOn w:val="a0"/>
    <w:uiPriority w:val="99"/>
    <w:semiHidden/>
    <w:unhideWhenUsed/>
    <w:rsid w:val="00715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2362</Words>
  <Characters>1347</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Ілона Кубкова</dc:creator>
  <cp:lastModifiedBy>Акімов Дмитро Едуардович</cp:lastModifiedBy>
  <cp:revision>5</cp:revision>
  <dcterms:created xsi:type="dcterms:W3CDTF">2023-08-08T11:39:00Z</dcterms:created>
  <dcterms:modified xsi:type="dcterms:W3CDTF">2023-09-15T08:39:00Z</dcterms:modified>
</cp:coreProperties>
</file>