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56" w:type="pct"/>
        <w:tblCellMar>
          <w:left w:w="0" w:type="dxa"/>
          <w:right w:w="0" w:type="dxa"/>
        </w:tblCellMar>
        <w:tblLook w:val="04A0" w:firstRow="1" w:lastRow="0" w:firstColumn="1" w:lastColumn="0" w:noHBand="0" w:noVBand="1"/>
      </w:tblPr>
      <w:tblGrid>
        <w:gridCol w:w="14733"/>
      </w:tblGrid>
      <w:tr w:rsidR="00FB409B" w:rsidRPr="00FB409B" w:rsidTr="00A91F56">
        <w:tc>
          <w:tcPr>
            <w:tcW w:w="5000" w:type="pct"/>
            <w:hideMark/>
          </w:tcPr>
          <w:p w:rsidR="00C32048" w:rsidRPr="00FB409B" w:rsidRDefault="00C32048" w:rsidP="00D0634D">
            <w:pPr>
              <w:spacing w:before="150" w:after="150" w:line="240" w:lineRule="auto"/>
              <w:ind w:left="10915"/>
              <w:rPr>
                <w:rFonts w:ascii="Times New Roman" w:eastAsia="Times New Roman" w:hAnsi="Times New Roman" w:cs="Times New Roman"/>
                <w:sz w:val="24"/>
                <w:szCs w:val="24"/>
                <w:lang w:eastAsia="uk-UA"/>
              </w:rPr>
            </w:pPr>
            <w:r w:rsidRPr="00FB409B">
              <w:rPr>
                <w:rFonts w:ascii="Times New Roman" w:eastAsia="Times New Roman" w:hAnsi="Times New Roman" w:cs="Times New Roman"/>
                <w:sz w:val="24"/>
                <w:szCs w:val="24"/>
                <w:lang w:eastAsia="uk-UA"/>
              </w:rPr>
              <w:t>Додаток 2</w:t>
            </w:r>
            <w:r w:rsidRPr="00FB409B">
              <w:rPr>
                <w:rFonts w:ascii="Times New Roman" w:eastAsia="Times New Roman" w:hAnsi="Times New Roman" w:cs="Times New Roman"/>
                <w:sz w:val="24"/>
                <w:szCs w:val="24"/>
                <w:lang w:eastAsia="uk-UA"/>
              </w:rPr>
              <w:br/>
              <w:t>до Порядку проведення відкритого</w:t>
            </w:r>
            <w:r w:rsidRPr="00FB409B">
              <w:rPr>
                <w:rFonts w:ascii="Times New Roman" w:eastAsia="Times New Roman" w:hAnsi="Times New Roman" w:cs="Times New Roman"/>
                <w:sz w:val="24"/>
                <w:szCs w:val="24"/>
                <w:lang w:eastAsia="uk-UA"/>
              </w:rPr>
              <w:br/>
              <w:t>обговорення проектів рішень</w:t>
            </w:r>
            <w:r w:rsidRPr="00FB409B">
              <w:rPr>
                <w:rFonts w:ascii="Times New Roman" w:eastAsia="Times New Roman" w:hAnsi="Times New Roman" w:cs="Times New Roman"/>
                <w:sz w:val="24"/>
                <w:szCs w:val="24"/>
                <w:lang w:eastAsia="uk-UA"/>
              </w:rPr>
              <w:br/>
              <w:t>Національної комісії, що здійснює</w:t>
            </w:r>
            <w:r w:rsidRPr="00FB409B">
              <w:rPr>
                <w:rFonts w:ascii="Times New Roman" w:eastAsia="Times New Roman" w:hAnsi="Times New Roman" w:cs="Times New Roman"/>
                <w:sz w:val="24"/>
                <w:szCs w:val="24"/>
                <w:lang w:eastAsia="uk-UA"/>
              </w:rPr>
              <w:br/>
              <w:t>державне регулювання у сферах</w:t>
            </w:r>
            <w:r w:rsidRPr="00FB409B">
              <w:rPr>
                <w:rFonts w:ascii="Times New Roman" w:eastAsia="Times New Roman" w:hAnsi="Times New Roman" w:cs="Times New Roman"/>
                <w:sz w:val="24"/>
                <w:szCs w:val="24"/>
                <w:lang w:eastAsia="uk-UA"/>
              </w:rPr>
              <w:br/>
              <w:t>енергетики та комунальних послуг</w:t>
            </w:r>
          </w:p>
        </w:tc>
      </w:tr>
    </w:tbl>
    <w:p w:rsidR="00C32048" w:rsidRPr="00FB409B" w:rsidRDefault="00C32048" w:rsidP="00CE5977">
      <w:pPr>
        <w:shd w:val="clear" w:color="auto" w:fill="FFFFFF"/>
        <w:spacing w:after="0" w:line="240" w:lineRule="auto"/>
        <w:ind w:left="448" w:right="448"/>
        <w:jc w:val="center"/>
        <w:rPr>
          <w:rFonts w:ascii="Times New Roman" w:eastAsia="Times New Roman" w:hAnsi="Times New Roman" w:cs="Times New Roman"/>
          <w:b/>
          <w:bCs/>
          <w:sz w:val="24"/>
          <w:szCs w:val="24"/>
          <w:lang w:eastAsia="uk-UA"/>
        </w:rPr>
      </w:pPr>
      <w:bookmarkStart w:id="0" w:name="n281"/>
      <w:bookmarkEnd w:id="0"/>
      <w:r w:rsidRPr="00FB409B">
        <w:rPr>
          <w:rFonts w:ascii="Times New Roman" w:eastAsia="Times New Roman" w:hAnsi="Times New Roman" w:cs="Times New Roman"/>
          <w:b/>
          <w:bCs/>
          <w:sz w:val="24"/>
          <w:szCs w:val="24"/>
          <w:lang w:eastAsia="uk-UA"/>
        </w:rPr>
        <w:t>УЗАГАЛЬНЕНІ ЗАУВАЖЕННЯ</w:t>
      </w:r>
      <w:r w:rsidRPr="00FB409B">
        <w:rPr>
          <w:rFonts w:ascii="Times New Roman" w:eastAsia="Times New Roman" w:hAnsi="Times New Roman" w:cs="Times New Roman"/>
          <w:sz w:val="24"/>
          <w:szCs w:val="24"/>
          <w:lang w:eastAsia="uk-UA"/>
        </w:rPr>
        <w:br/>
      </w:r>
      <w:r w:rsidRPr="00FB409B">
        <w:rPr>
          <w:rFonts w:ascii="Times New Roman" w:eastAsia="Times New Roman" w:hAnsi="Times New Roman" w:cs="Times New Roman"/>
          <w:b/>
          <w:bCs/>
          <w:sz w:val="24"/>
          <w:szCs w:val="24"/>
          <w:lang w:eastAsia="uk-UA"/>
        </w:rPr>
        <w:t xml:space="preserve">та пропозиції до проекту рішення НКРЕКП, що має ознаки регуляторного </w:t>
      </w:r>
      <w:proofErr w:type="spellStart"/>
      <w:r w:rsidRPr="00FB409B">
        <w:rPr>
          <w:rFonts w:ascii="Times New Roman" w:eastAsia="Times New Roman" w:hAnsi="Times New Roman" w:cs="Times New Roman"/>
          <w:b/>
          <w:bCs/>
          <w:sz w:val="24"/>
          <w:szCs w:val="24"/>
          <w:lang w:eastAsia="uk-UA"/>
        </w:rPr>
        <w:t>акта</w:t>
      </w:r>
      <w:proofErr w:type="spellEnd"/>
      <w:r w:rsidR="00D0634D" w:rsidRPr="00FB409B">
        <w:rPr>
          <w:rFonts w:ascii="Times New Roman" w:eastAsia="Times New Roman" w:hAnsi="Times New Roman" w:cs="Times New Roman"/>
          <w:b/>
          <w:bCs/>
          <w:sz w:val="24"/>
          <w:szCs w:val="24"/>
          <w:lang w:eastAsia="uk-UA"/>
        </w:rPr>
        <w:t>, -</w:t>
      </w:r>
    </w:p>
    <w:p w:rsidR="00CE5977" w:rsidRPr="00FB409B" w:rsidRDefault="00D0634D" w:rsidP="00CE5977">
      <w:pPr>
        <w:shd w:val="clear" w:color="auto" w:fill="FFFFFF"/>
        <w:spacing w:after="0" w:line="240" w:lineRule="auto"/>
        <w:ind w:left="448" w:right="448"/>
        <w:jc w:val="center"/>
        <w:rPr>
          <w:rFonts w:ascii="Times New Roman" w:hAnsi="Times New Roman" w:cs="Times New Roman"/>
          <w:b/>
          <w:sz w:val="24"/>
          <w:szCs w:val="24"/>
        </w:rPr>
      </w:pPr>
      <w:r w:rsidRPr="00FB409B">
        <w:rPr>
          <w:rFonts w:ascii="Times New Roman" w:hAnsi="Times New Roman" w:cs="Times New Roman"/>
          <w:b/>
          <w:sz w:val="24"/>
          <w:szCs w:val="24"/>
        </w:rPr>
        <w:t xml:space="preserve">постанови НКРЕКП «Про затвердження Змін </w:t>
      </w:r>
      <w:bookmarkStart w:id="1" w:name="_Hlk140578521"/>
      <w:r w:rsidRPr="00FB409B">
        <w:rPr>
          <w:rFonts w:ascii="Times New Roman" w:hAnsi="Times New Roman" w:cs="Times New Roman"/>
          <w:b/>
          <w:sz w:val="24"/>
          <w:szCs w:val="24"/>
        </w:rPr>
        <w:t xml:space="preserve">до </w:t>
      </w:r>
      <w:bookmarkEnd w:id="1"/>
      <w:r w:rsidRPr="00FB409B">
        <w:rPr>
          <w:rFonts w:ascii="Times New Roman" w:hAnsi="Times New Roman" w:cs="Times New Roman"/>
          <w:b/>
          <w:sz w:val="24"/>
          <w:szCs w:val="24"/>
        </w:rPr>
        <w:t xml:space="preserve">деяких постанов НКРЕКП» </w:t>
      </w:r>
    </w:p>
    <w:p w:rsidR="00973D6D" w:rsidRPr="00FB409B" w:rsidRDefault="00D0634D" w:rsidP="00CE5977">
      <w:pPr>
        <w:shd w:val="clear" w:color="auto" w:fill="FFFFFF"/>
        <w:spacing w:after="0" w:line="240" w:lineRule="auto"/>
        <w:ind w:left="448" w:right="448"/>
        <w:jc w:val="center"/>
        <w:rPr>
          <w:rFonts w:ascii="Times New Roman" w:hAnsi="Times New Roman" w:cs="Times New Roman"/>
          <w:b/>
          <w:i/>
          <w:sz w:val="24"/>
          <w:szCs w:val="24"/>
        </w:rPr>
      </w:pPr>
      <w:r w:rsidRPr="00FB409B">
        <w:rPr>
          <w:rFonts w:ascii="Times New Roman" w:hAnsi="Times New Roman" w:cs="Times New Roman"/>
          <w:b/>
          <w:i/>
          <w:sz w:val="24"/>
          <w:szCs w:val="24"/>
        </w:rPr>
        <w:t xml:space="preserve">(щодо затвердження змін до Кодексу газорозподільних систем </w:t>
      </w:r>
    </w:p>
    <w:p w:rsidR="00D0634D" w:rsidRPr="00FB409B" w:rsidRDefault="00D0634D" w:rsidP="00CE5977">
      <w:pPr>
        <w:shd w:val="clear" w:color="auto" w:fill="FFFFFF"/>
        <w:spacing w:after="0" w:line="240" w:lineRule="auto"/>
        <w:ind w:left="448" w:right="448"/>
        <w:jc w:val="center"/>
        <w:rPr>
          <w:rFonts w:ascii="Times New Roman" w:eastAsia="Times New Roman" w:hAnsi="Times New Roman" w:cs="Times New Roman"/>
          <w:b/>
          <w:bCs/>
          <w:sz w:val="24"/>
          <w:szCs w:val="24"/>
          <w:lang w:eastAsia="uk-UA"/>
        </w:rPr>
      </w:pPr>
      <w:r w:rsidRPr="00FB409B">
        <w:rPr>
          <w:rFonts w:ascii="Times New Roman" w:hAnsi="Times New Roman" w:cs="Times New Roman"/>
          <w:b/>
          <w:i/>
          <w:sz w:val="24"/>
          <w:szCs w:val="24"/>
        </w:rPr>
        <w:t>та Методики визначення та розрахунку тарифу на послуги розподілу природного газу)</w:t>
      </w:r>
    </w:p>
    <w:tbl>
      <w:tblPr>
        <w:tblStyle w:val="a6"/>
        <w:tblW w:w="15588" w:type="dxa"/>
        <w:jc w:val="center"/>
        <w:tblLayout w:type="fixed"/>
        <w:tblLook w:val="04A0" w:firstRow="1" w:lastRow="0" w:firstColumn="1" w:lastColumn="0" w:noHBand="0" w:noVBand="1"/>
      </w:tblPr>
      <w:tblGrid>
        <w:gridCol w:w="5098"/>
        <w:gridCol w:w="5812"/>
        <w:gridCol w:w="4678"/>
      </w:tblGrid>
      <w:tr w:rsidR="00FB409B" w:rsidRPr="00FB409B" w:rsidTr="0056288F">
        <w:trPr>
          <w:jc w:val="center"/>
        </w:trPr>
        <w:tc>
          <w:tcPr>
            <w:tcW w:w="5098" w:type="dxa"/>
            <w:vAlign w:val="center"/>
          </w:tcPr>
          <w:p w:rsidR="0088039F" w:rsidRPr="00FB409B" w:rsidRDefault="0088039F" w:rsidP="001F313B">
            <w:pPr>
              <w:jc w:val="center"/>
              <w:rPr>
                <w:rFonts w:ascii="Times New Roman" w:hAnsi="Times New Roman" w:cs="Times New Roman"/>
                <w:b/>
                <w:bCs/>
                <w:iCs/>
                <w:sz w:val="24"/>
                <w:szCs w:val="24"/>
                <w:shd w:val="clear" w:color="auto" w:fill="FFFFFF"/>
              </w:rPr>
            </w:pPr>
            <w:r w:rsidRPr="00FB409B">
              <w:rPr>
                <w:rFonts w:ascii="Times New Roman" w:hAnsi="Times New Roman" w:cs="Times New Roman"/>
                <w:b/>
                <w:bCs/>
                <w:iCs/>
                <w:sz w:val="24"/>
                <w:szCs w:val="24"/>
                <w:shd w:val="clear" w:color="auto" w:fill="FFFFFF"/>
              </w:rPr>
              <w:t>Редакція проєкту рішення НКРЕКП</w:t>
            </w:r>
          </w:p>
          <w:p w:rsidR="0088039F" w:rsidRPr="00FB409B" w:rsidRDefault="0088039F" w:rsidP="001F313B">
            <w:pPr>
              <w:jc w:val="center"/>
              <w:rPr>
                <w:rFonts w:ascii="Times New Roman" w:hAnsi="Times New Roman" w:cs="Times New Roman"/>
                <w:b/>
                <w:bCs/>
                <w:iCs/>
                <w:sz w:val="24"/>
                <w:szCs w:val="24"/>
              </w:rPr>
            </w:pPr>
          </w:p>
        </w:tc>
        <w:tc>
          <w:tcPr>
            <w:tcW w:w="5812" w:type="dxa"/>
            <w:vAlign w:val="center"/>
          </w:tcPr>
          <w:p w:rsidR="00AB1E1A" w:rsidRPr="00FB409B" w:rsidRDefault="0088039F" w:rsidP="001F313B">
            <w:pPr>
              <w:jc w:val="center"/>
              <w:rPr>
                <w:rFonts w:ascii="Times New Roman" w:hAnsi="Times New Roman" w:cs="Times New Roman"/>
                <w:b/>
                <w:bCs/>
                <w:iCs/>
                <w:sz w:val="24"/>
                <w:szCs w:val="24"/>
                <w:shd w:val="clear" w:color="auto" w:fill="FFFFFF"/>
              </w:rPr>
            </w:pPr>
            <w:r w:rsidRPr="00FB409B">
              <w:rPr>
                <w:rFonts w:ascii="Times New Roman" w:hAnsi="Times New Roman" w:cs="Times New Roman"/>
                <w:b/>
                <w:bCs/>
                <w:iCs/>
                <w:sz w:val="24"/>
                <w:szCs w:val="24"/>
                <w:shd w:val="clear" w:color="auto" w:fill="FFFFFF"/>
              </w:rPr>
              <w:t xml:space="preserve">Зауваження та пропозиції </w:t>
            </w:r>
          </w:p>
          <w:p w:rsidR="0088039F" w:rsidRPr="00FB409B" w:rsidRDefault="0088039F" w:rsidP="001F313B">
            <w:pPr>
              <w:jc w:val="center"/>
              <w:rPr>
                <w:rFonts w:ascii="Times New Roman" w:hAnsi="Times New Roman" w:cs="Times New Roman"/>
                <w:b/>
                <w:bCs/>
                <w:iCs/>
                <w:sz w:val="24"/>
                <w:szCs w:val="24"/>
              </w:rPr>
            </w:pPr>
            <w:r w:rsidRPr="00FB409B">
              <w:rPr>
                <w:rFonts w:ascii="Times New Roman" w:hAnsi="Times New Roman" w:cs="Times New Roman"/>
                <w:b/>
                <w:bCs/>
                <w:iCs/>
                <w:sz w:val="24"/>
                <w:szCs w:val="24"/>
                <w:shd w:val="clear" w:color="auto" w:fill="FFFFFF"/>
              </w:rPr>
              <w:t>до проєкту рішення НКРЕКП</w:t>
            </w:r>
          </w:p>
        </w:tc>
        <w:tc>
          <w:tcPr>
            <w:tcW w:w="4678" w:type="dxa"/>
            <w:vAlign w:val="center"/>
          </w:tcPr>
          <w:p w:rsidR="0088039F" w:rsidRPr="00FB409B" w:rsidRDefault="00C32048" w:rsidP="00952CE5">
            <w:pPr>
              <w:jc w:val="center"/>
              <w:rPr>
                <w:rFonts w:ascii="Times New Roman" w:hAnsi="Times New Roman" w:cs="Times New Roman"/>
                <w:b/>
                <w:bCs/>
                <w:iCs/>
                <w:sz w:val="24"/>
                <w:szCs w:val="24"/>
              </w:rPr>
            </w:pPr>
            <w:r w:rsidRPr="00FB409B">
              <w:rPr>
                <w:rFonts w:ascii="Times New Roman" w:eastAsia="Times New Roman" w:hAnsi="Times New Roman" w:cs="Times New Roman"/>
                <w:sz w:val="24"/>
                <w:szCs w:val="24"/>
                <w:lang w:eastAsia="uk-UA"/>
              </w:rPr>
              <w:t>Попередня позиція НКРЕКП щодо наданих зауважень та пропозицій з обґрунтуваннями щодо прийняття або відхилення</w:t>
            </w:r>
          </w:p>
        </w:tc>
      </w:tr>
      <w:tr w:rsidR="00FB409B" w:rsidRPr="00FB409B" w:rsidTr="00BD2171">
        <w:trPr>
          <w:trHeight w:val="429"/>
          <w:jc w:val="center"/>
        </w:trPr>
        <w:tc>
          <w:tcPr>
            <w:tcW w:w="15588" w:type="dxa"/>
            <w:gridSpan w:val="3"/>
          </w:tcPr>
          <w:p w:rsidR="00973D6D" w:rsidRPr="00FB409B" w:rsidRDefault="00BA6EF7" w:rsidP="006D1E3B">
            <w:pPr>
              <w:pStyle w:val="aa"/>
              <w:spacing w:after="120"/>
              <w:ind w:left="714"/>
              <w:jc w:val="center"/>
              <w:rPr>
                <w:rFonts w:ascii="Times New Roman" w:hAnsi="Times New Roman" w:cs="Times New Roman"/>
                <w:b/>
                <w:bCs/>
                <w:sz w:val="24"/>
                <w:szCs w:val="24"/>
                <w:shd w:val="clear" w:color="auto" w:fill="FFFFFF"/>
              </w:rPr>
            </w:pPr>
            <w:r w:rsidRPr="00FB409B">
              <w:rPr>
                <w:rFonts w:ascii="Times New Roman" w:hAnsi="Times New Roman" w:cs="Times New Roman"/>
                <w:b/>
                <w:bCs/>
                <w:sz w:val="24"/>
                <w:szCs w:val="24"/>
                <w:shd w:val="clear" w:color="auto" w:fill="FFFFFF"/>
              </w:rPr>
              <w:t>КОДЕКС ГАЗОРОЗПОДІЛЬНИХ СИСТЕМ</w:t>
            </w:r>
          </w:p>
          <w:p w:rsidR="00BD2171" w:rsidRPr="00FB409B" w:rsidRDefault="00BD2171" w:rsidP="00BD2171">
            <w:pPr>
              <w:pStyle w:val="aa"/>
              <w:spacing w:before="120" w:after="100" w:afterAutospacing="1"/>
              <w:ind w:left="714"/>
              <w:jc w:val="center"/>
              <w:rPr>
                <w:rFonts w:ascii="Times New Roman" w:hAnsi="Times New Roman" w:cs="Times New Roman"/>
                <w:b/>
                <w:i/>
                <w:sz w:val="24"/>
                <w:szCs w:val="24"/>
                <w:shd w:val="clear" w:color="auto" w:fill="FFFFFF"/>
              </w:rPr>
            </w:pPr>
          </w:p>
        </w:tc>
      </w:tr>
      <w:tr w:rsidR="00FB409B" w:rsidRPr="00FB409B" w:rsidTr="00973D6D">
        <w:trPr>
          <w:trHeight w:val="307"/>
          <w:jc w:val="center"/>
        </w:trPr>
        <w:tc>
          <w:tcPr>
            <w:tcW w:w="15588" w:type="dxa"/>
            <w:gridSpan w:val="3"/>
          </w:tcPr>
          <w:p w:rsidR="00BA6EF7" w:rsidRPr="00FB409B" w:rsidRDefault="00BA6EF7" w:rsidP="00BD2171">
            <w:pPr>
              <w:spacing w:before="60" w:after="60"/>
              <w:jc w:val="center"/>
              <w:rPr>
                <w:rFonts w:ascii="Times New Roman" w:hAnsi="Times New Roman" w:cs="Times New Roman"/>
                <w:bCs/>
                <w:iCs/>
                <w:sz w:val="24"/>
                <w:szCs w:val="24"/>
                <w:shd w:val="clear" w:color="auto" w:fill="FFFFFF"/>
              </w:rPr>
            </w:pPr>
            <w:r w:rsidRPr="00FB409B">
              <w:rPr>
                <w:rFonts w:ascii="Times New Roman" w:hAnsi="Times New Roman" w:cs="Times New Roman"/>
                <w:b/>
                <w:i/>
                <w:sz w:val="24"/>
                <w:szCs w:val="24"/>
              </w:rPr>
              <w:t>IV. ПЛАНУВАННЯ ТА РОЗВИТОК ГАЗОРОЗПОДІЛЬНОЇ СИСТЕМИ</w:t>
            </w:r>
          </w:p>
        </w:tc>
      </w:tr>
      <w:tr w:rsidR="00FB409B" w:rsidRPr="00FB409B" w:rsidTr="00CF6451">
        <w:trPr>
          <w:jc w:val="center"/>
        </w:trPr>
        <w:tc>
          <w:tcPr>
            <w:tcW w:w="15588" w:type="dxa"/>
            <w:gridSpan w:val="3"/>
          </w:tcPr>
          <w:p w:rsidR="00973D6D" w:rsidRPr="00FB409B" w:rsidRDefault="002E0938" w:rsidP="00BD2171">
            <w:pPr>
              <w:pStyle w:val="aa"/>
              <w:numPr>
                <w:ilvl w:val="0"/>
                <w:numId w:val="18"/>
              </w:numPr>
              <w:spacing w:before="60" w:after="60"/>
              <w:jc w:val="center"/>
              <w:rPr>
                <w:rFonts w:ascii="Times New Roman" w:hAnsi="Times New Roman" w:cs="Times New Roman"/>
                <w:b/>
                <w:sz w:val="24"/>
                <w:szCs w:val="24"/>
              </w:rPr>
            </w:pPr>
            <w:r w:rsidRPr="00FB409B">
              <w:rPr>
                <w:rFonts w:ascii="Times New Roman" w:hAnsi="Times New Roman" w:cs="Times New Roman"/>
                <w:b/>
                <w:sz w:val="24"/>
                <w:szCs w:val="24"/>
              </w:rPr>
              <w:t>Загальні умови</w:t>
            </w:r>
          </w:p>
        </w:tc>
      </w:tr>
      <w:tr w:rsidR="00FB409B" w:rsidRPr="00FB409B" w:rsidTr="0056288F">
        <w:trPr>
          <w:jc w:val="center"/>
        </w:trPr>
        <w:tc>
          <w:tcPr>
            <w:tcW w:w="5098" w:type="dxa"/>
          </w:tcPr>
          <w:p w:rsidR="00650FC2" w:rsidRPr="00FB409B" w:rsidRDefault="00BF250C" w:rsidP="00973D6D">
            <w:pPr>
              <w:pStyle w:val="rvps2"/>
              <w:shd w:val="clear" w:color="auto" w:fill="FFFFFF"/>
              <w:spacing w:before="0" w:beforeAutospacing="0" w:after="0" w:afterAutospacing="0"/>
              <w:ind w:firstLine="676"/>
              <w:jc w:val="both"/>
              <w:rPr>
                <w:b/>
                <w:i/>
                <w:lang w:val="uk-UA"/>
              </w:rPr>
            </w:pPr>
            <w:r w:rsidRPr="00FB409B">
              <w:rPr>
                <w:shd w:val="clear" w:color="auto" w:fill="FFFFFF"/>
                <w:lang w:val="uk-UA"/>
              </w:rPr>
              <w:t xml:space="preserve">3. Фінансування заходів з </w:t>
            </w:r>
            <w:proofErr w:type="spellStart"/>
            <w:r w:rsidRPr="00FB409B">
              <w:rPr>
                <w:shd w:val="clear" w:color="auto" w:fill="FFFFFF"/>
                <w:lang w:val="uk-UA"/>
              </w:rPr>
              <w:t>проєктування</w:t>
            </w:r>
            <w:proofErr w:type="spellEnd"/>
            <w:r w:rsidRPr="00FB409B">
              <w:rPr>
                <w:shd w:val="clear" w:color="auto" w:fill="FFFFFF"/>
                <w:lang w:val="uk-UA"/>
              </w:rPr>
              <w:t xml:space="preserve"> та будівництва об’єктів газорозподільної системи здійснюється на підставі плану розвитку газорозподільної системи Оператора ГРМ, схваленого Регулятором, за рахунок коштів, передбачених у тарифах на послуги розподілу природного газу, </w:t>
            </w:r>
            <w:r w:rsidRPr="00FB409B">
              <w:rPr>
                <w:strike/>
                <w:shd w:val="clear" w:color="auto" w:fill="FFFFFF"/>
                <w:lang w:val="uk-UA"/>
              </w:rPr>
              <w:t>з</w:t>
            </w:r>
            <w:r w:rsidRPr="00FB409B">
              <w:rPr>
                <w:shd w:val="clear" w:color="auto" w:fill="FFFFFF"/>
                <w:lang w:val="uk-UA"/>
              </w:rPr>
              <w:t xml:space="preserve"> інших джерел, не заборонених законодавством.</w:t>
            </w:r>
          </w:p>
        </w:tc>
        <w:tc>
          <w:tcPr>
            <w:tcW w:w="5812" w:type="dxa"/>
          </w:tcPr>
          <w:p w:rsidR="00650FC2" w:rsidRPr="00FB409B" w:rsidRDefault="00650FC2" w:rsidP="00DF03E6">
            <w:pPr>
              <w:ind w:firstLine="599"/>
              <w:rPr>
                <w:rFonts w:ascii="Times New Roman" w:hAnsi="Times New Roman" w:cs="Times New Roman"/>
                <w:b/>
                <w:i/>
                <w:sz w:val="24"/>
                <w:szCs w:val="24"/>
              </w:rPr>
            </w:pPr>
            <w:r w:rsidRPr="00FB409B">
              <w:rPr>
                <w:rFonts w:ascii="Times New Roman" w:hAnsi="Times New Roman" w:cs="Times New Roman"/>
                <w:b/>
                <w:i/>
                <w:sz w:val="24"/>
                <w:szCs w:val="24"/>
              </w:rPr>
              <w:t>Зауваження не надходили</w:t>
            </w:r>
          </w:p>
        </w:tc>
        <w:tc>
          <w:tcPr>
            <w:tcW w:w="4678" w:type="dxa"/>
          </w:tcPr>
          <w:p w:rsidR="00650FC2" w:rsidRPr="00FB409B" w:rsidRDefault="00650FC2" w:rsidP="005801B0">
            <w:pPr>
              <w:jc w:val="center"/>
              <w:rPr>
                <w:rFonts w:ascii="Times New Roman" w:hAnsi="Times New Roman" w:cs="Times New Roman"/>
                <w:b/>
                <w:i/>
                <w:sz w:val="24"/>
                <w:szCs w:val="24"/>
              </w:rPr>
            </w:pPr>
          </w:p>
        </w:tc>
      </w:tr>
      <w:tr w:rsidR="00FB409B" w:rsidRPr="00FB409B" w:rsidTr="0014200B">
        <w:trPr>
          <w:jc w:val="center"/>
        </w:trPr>
        <w:tc>
          <w:tcPr>
            <w:tcW w:w="15588" w:type="dxa"/>
            <w:gridSpan w:val="3"/>
          </w:tcPr>
          <w:p w:rsidR="002738C0" w:rsidRPr="00FB409B" w:rsidRDefault="002738C0" w:rsidP="00591DD5">
            <w:pPr>
              <w:pStyle w:val="aa"/>
              <w:spacing w:before="60" w:after="60"/>
              <w:jc w:val="center"/>
              <w:rPr>
                <w:rFonts w:ascii="Times New Roman" w:hAnsi="Times New Roman" w:cs="Times New Roman"/>
                <w:bCs/>
                <w:i/>
                <w:iCs/>
                <w:sz w:val="24"/>
                <w:szCs w:val="24"/>
                <w:shd w:val="clear" w:color="auto" w:fill="FFFFFF"/>
              </w:rPr>
            </w:pPr>
            <w:r w:rsidRPr="00FB409B">
              <w:rPr>
                <w:rFonts w:ascii="Times New Roman" w:hAnsi="Times New Roman" w:cs="Times New Roman"/>
                <w:b/>
                <w:sz w:val="24"/>
                <w:szCs w:val="24"/>
              </w:rPr>
              <w:t>2. План розвитку газорозподільної системи</w:t>
            </w:r>
          </w:p>
        </w:tc>
      </w:tr>
      <w:tr w:rsidR="00FB409B" w:rsidRPr="00FB409B" w:rsidTr="0056288F">
        <w:trPr>
          <w:trHeight w:val="983"/>
          <w:jc w:val="center"/>
        </w:trPr>
        <w:tc>
          <w:tcPr>
            <w:tcW w:w="5098" w:type="dxa"/>
          </w:tcPr>
          <w:p w:rsidR="00AB1E1A" w:rsidRPr="00FB409B" w:rsidRDefault="00AB1E1A" w:rsidP="007F7043">
            <w:pPr>
              <w:pStyle w:val="rvps2"/>
              <w:shd w:val="clear" w:color="auto" w:fill="FFFFFF"/>
              <w:spacing w:before="0" w:beforeAutospacing="0" w:after="0" w:afterAutospacing="0"/>
              <w:ind w:firstLine="676"/>
              <w:jc w:val="both"/>
              <w:rPr>
                <w:shd w:val="clear" w:color="auto" w:fill="FFFFFF"/>
                <w:lang w:val="uk-UA"/>
              </w:rPr>
            </w:pPr>
          </w:p>
          <w:p w:rsidR="007F7043" w:rsidRPr="00FB409B" w:rsidRDefault="007F7043" w:rsidP="007F7043">
            <w:pPr>
              <w:pStyle w:val="rvps2"/>
              <w:shd w:val="clear" w:color="auto" w:fill="FFFFFF"/>
              <w:spacing w:before="0" w:beforeAutospacing="0" w:after="0" w:afterAutospacing="0"/>
              <w:ind w:firstLine="676"/>
              <w:jc w:val="both"/>
              <w:rPr>
                <w:shd w:val="clear" w:color="auto" w:fill="FFFFFF"/>
                <w:lang w:val="uk-UA"/>
              </w:rPr>
            </w:pPr>
            <w:r w:rsidRPr="00FB409B">
              <w:rPr>
                <w:shd w:val="clear" w:color="auto" w:fill="FFFFFF"/>
                <w:lang w:val="uk-UA"/>
              </w:rPr>
              <w:t xml:space="preserve">1. </w:t>
            </w:r>
            <w:bookmarkStart w:id="2" w:name="_Hlk140070740"/>
            <w:r w:rsidRPr="00FB409B">
              <w:rPr>
                <w:shd w:val="clear" w:color="auto" w:fill="FFFFFF"/>
                <w:lang w:val="uk-UA"/>
              </w:rPr>
              <w:t xml:space="preserve">З метою забезпечення безпеки, надійності та якості розподілу (газопостачання) природного газу газорозподільною системою та з урахуванням законодавства з питань охорони довкілля та </w:t>
            </w:r>
            <w:r w:rsidRPr="00FB409B">
              <w:rPr>
                <w:b/>
                <w:shd w:val="clear" w:color="auto" w:fill="FFFFFF"/>
                <w:lang w:val="uk-UA"/>
              </w:rPr>
              <w:t xml:space="preserve">заходів з підвищення енергоефективності, передбачених Законом </w:t>
            </w:r>
            <w:r w:rsidRPr="00FB409B">
              <w:rPr>
                <w:b/>
                <w:shd w:val="clear" w:color="auto" w:fill="FFFFFF"/>
                <w:lang w:val="uk-UA"/>
              </w:rPr>
              <w:lastRenderedPageBreak/>
              <w:t>України «Про енергетичну ефективність»</w:t>
            </w:r>
            <w:r w:rsidRPr="00FB409B">
              <w:rPr>
                <w:shd w:val="clear" w:color="auto" w:fill="FFFFFF"/>
                <w:lang w:val="uk-UA"/>
              </w:rPr>
              <w:t xml:space="preserve">, Оператор ГРМ щороку до 31 липня розробляє та подає на затвердження Регулятору план розвитку газорозподільної системи на наступні 10 років, а після затвердження розміщує його на своєму </w:t>
            </w:r>
            <w:proofErr w:type="spellStart"/>
            <w:r w:rsidRPr="00FB409B">
              <w:rPr>
                <w:shd w:val="clear" w:color="auto" w:fill="FFFFFF"/>
                <w:lang w:val="uk-UA"/>
              </w:rPr>
              <w:t>вебсайті</w:t>
            </w:r>
            <w:proofErr w:type="spellEnd"/>
            <w:r w:rsidRPr="00FB409B">
              <w:rPr>
                <w:shd w:val="clear" w:color="auto" w:fill="FFFFFF"/>
                <w:lang w:val="uk-UA"/>
              </w:rPr>
              <w:t>.</w:t>
            </w:r>
            <w:bookmarkEnd w:id="2"/>
          </w:p>
        </w:tc>
        <w:tc>
          <w:tcPr>
            <w:tcW w:w="5812" w:type="dxa"/>
          </w:tcPr>
          <w:p w:rsidR="007F7043" w:rsidRPr="00FB409B" w:rsidRDefault="007F7043" w:rsidP="00DF03E6">
            <w:pPr>
              <w:pStyle w:val="a5"/>
              <w:spacing w:before="0" w:beforeAutospacing="0" w:after="0" w:afterAutospacing="0" w:line="260" w:lineRule="exact"/>
              <w:ind w:firstLine="599"/>
              <w:contextualSpacing/>
              <w:jc w:val="both"/>
              <w:rPr>
                <w:b/>
                <w:i/>
                <w:shd w:val="clear" w:color="auto" w:fill="FFFFFF"/>
                <w:lang w:val="uk-UA"/>
              </w:rPr>
            </w:pPr>
            <w:r w:rsidRPr="00FB409B">
              <w:rPr>
                <w:b/>
                <w:i/>
                <w:shd w:val="clear" w:color="auto" w:fill="FFFFFF"/>
                <w:lang w:val="uk-UA"/>
              </w:rPr>
              <w:lastRenderedPageBreak/>
              <w:t>Пропозиції ТОВ «ГАЗОРОЗПОДІЛЬНІ МЕРЕЖІ УКРАЇНИ»:</w:t>
            </w:r>
          </w:p>
          <w:p w:rsidR="007F7043" w:rsidRPr="00FB409B" w:rsidRDefault="00AB1E1A" w:rsidP="007F7043">
            <w:pPr>
              <w:pStyle w:val="rvps2"/>
              <w:shd w:val="clear" w:color="auto" w:fill="FFFFFF"/>
              <w:spacing w:before="0" w:beforeAutospacing="0" w:after="0" w:afterAutospacing="0"/>
              <w:ind w:firstLine="676"/>
              <w:jc w:val="both"/>
              <w:rPr>
                <w:shd w:val="clear" w:color="auto" w:fill="FFFFFF"/>
                <w:lang w:val="uk-UA"/>
              </w:rPr>
            </w:pPr>
            <w:r w:rsidRPr="00FB409B">
              <w:rPr>
                <w:shd w:val="clear" w:color="auto" w:fill="FFFFFF"/>
                <w:lang w:val="uk-UA"/>
              </w:rPr>
              <w:t>1.  </w:t>
            </w:r>
            <w:r w:rsidR="007F7043" w:rsidRPr="00FB409B">
              <w:rPr>
                <w:shd w:val="clear" w:color="auto" w:fill="FFFFFF"/>
                <w:lang w:val="uk-UA"/>
              </w:rPr>
              <w:t xml:space="preserve">З метою забезпечення безпеки, надійності та якості розподілу (газопостачання) природного газу газорозподільною системою та з урахуванням законодавства з питань охорони довкілля та заходів з підвищення енергоефективності, передбачених </w:t>
            </w:r>
            <w:r w:rsidR="007F7043" w:rsidRPr="00FB409B">
              <w:rPr>
                <w:shd w:val="clear" w:color="auto" w:fill="FFFFFF"/>
                <w:lang w:val="uk-UA"/>
              </w:rPr>
              <w:lastRenderedPageBreak/>
              <w:t xml:space="preserve">Законом України «Про енергетичну ефективність», Оператор ГРМ щороку до 31 липня розробляє та подає на затвердження Регулятору план розвитку газорозподільної системи на наступні 10 років, </w:t>
            </w:r>
            <w:r w:rsidR="007F7043" w:rsidRPr="00FB409B">
              <w:rPr>
                <w:b/>
                <w:lang w:val="uk-UA" w:eastAsia="uk-UA"/>
              </w:rPr>
              <w:t>окремо для кожної частини місць провадження господарської діяльності Оператора ГРМ, на яку встановлено окремий тариф на послуги розподілу природного газу,</w:t>
            </w:r>
            <w:r w:rsidR="007F7043" w:rsidRPr="00FB409B">
              <w:rPr>
                <w:shd w:val="clear" w:color="auto" w:fill="FFFFFF"/>
                <w:lang w:val="uk-UA"/>
              </w:rPr>
              <w:t xml:space="preserve"> а після затвердження розміщує його на своєму </w:t>
            </w:r>
            <w:proofErr w:type="spellStart"/>
            <w:r w:rsidR="007F7043" w:rsidRPr="00FB409B">
              <w:rPr>
                <w:shd w:val="clear" w:color="auto" w:fill="FFFFFF"/>
                <w:lang w:val="uk-UA"/>
              </w:rPr>
              <w:t>вебсайті</w:t>
            </w:r>
            <w:proofErr w:type="spellEnd"/>
            <w:r w:rsidR="007F7043" w:rsidRPr="00FB409B">
              <w:rPr>
                <w:shd w:val="clear" w:color="auto" w:fill="FFFFFF"/>
                <w:lang w:val="uk-UA"/>
              </w:rPr>
              <w:t>.</w:t>
            </w:r>
          </w:p>
          <w:p w:rsidR="00236FA1" w:rsidRPr="00FB409B" w:rsidRDefault="00236FA1" w:rsidP="007F7043">
            <w:pPr>
              <w:pStyle w:val="rvps2"/>
              <w:shd w:val="clear" w:color="auto" w:fill="FFFFFF"/>
              <w:spacing w:before="0" w:beforeAutospacing="0" w:after="0" w:afterAutospacing="0"/>
              <w:ind w:firstLine="676"/>
              <w:jc w:val="both"/>
              <w:rPr>
                <w:b/>
                <w:i/>
                <w:shd w:val="clear" w:color="auto" w:fill="FFFFFF"/>
                <w:lang w:val="uk-UA"/>
              </w:rPr>
            </w:pPr>
          </w:p>
          <w:p w:rsidR="007C74D1" w:rsidRPr="00FB409B" w:rsidRDefault="007C74D1" w:rsidP="007F7043">
            <w:pPr>
              <w:pStyle w:val="rvps2"/>
              <w:shd w:val="clear" w:color="auto" w:fill="FFFFFF"/>
              <w:spacing w:before="0" w:beforeAutospacing="0" w:after="0" w:afterAutospacing="0"/>
              <w:ind w:firstLine="676"/>
              <w:jc w:val="both"/>
              <w:rPr>
                <w:b/>
                <w:i/>
                <w:shd w:val="clear" w:color="auto" w:fill="FFFFFF"/>
                <w:lang w:val="uk-UA"/>
              </w:rPr>
            </w:pPr>
            <w:proofErr w:type="spellStart"/>
            <w:r w:rsidRPr="00FB409B">
              <w:rPr>
                <w:b/>
                <w:i/>
                <w:shd w:val="clear" w:color="auto" w:fill="FFFFFF"/>
                <w:lang w:val="uk-UA"/>
              </w:rPr>
              <w:t>Обгрунтування</w:t>
            </w:r>
            <w:proofErr w:type="spellEnd"/>
            <w:r w:rsidR="00544229" w:rsidRPr="00FB409B">
              <w:rPr>
                <w:b/>
                <w:i/>
                <w:shd w:val="clear" w:color="auto" w:fill="FFFFFF"/>
                <w:lang w:val="uk-UA"/>
              </w:rPr>
              <w:t xml:space="preserve"> ТОВ «ГАЗОРОЗПОДІЛЬНІ МЕРЕЖІ УКРАЇНИ»:</w:t>
            </w:r>
            <w:r w:rsidRPr="00FB409B">
              <w:rPr>
                <w:b/>
                <w:i/>
                <w:shd w:val="clear" w:color="auto" w:fill="FFFFFF"/>
                <w:lang w:val="uk-UA"/>
              </w:rPr>
              <w:t xml:space="preserve"> відсутні</w:t>
            </w:r>
          </w:p>
        </w:tc>
        <w:tc>
          <w:tcPr>
            <w:tcW w:w="4678" w:type="dxa"/>
          </w:tcPr>
          <w:p w:rsidR="00E72B60" w:rsidRPr="00FB409B" w:rsidRDefault="00E72B60" w:rsidP="00E72B60">
            <w:pPr>
              <w:jc w:val="both"/>
              <w:rPr>
                <w:rFonts w:ascii="Times New Roman" w:eastAsia="Times New Roman" w:hAnsi="Times New Roman" w:cs="Times New Roman"/>
                <w:b/>
                <w:sz w:val="24"/>
                <w:szCs w:val="24"/>
              </w:rPr>
            </w:pPr>
            <w:r w:rsidRPr="00FB409B">
              <w:rPr>
                <w:rFonts w:ascii="Times New Roman" w:eastAsia="Times New Roman" w:hAnsi="Times New Roman" w:cs="Times New Roman"/>
                <w:b/>
                <w:sz w:val="24"/>
                <w:szCs w:val="24"/>
              </w:rPr>
              <w:lastRenderedPageBreak/>
              <w:t>Попередньо частково враховується у редакції:</w:t>
            </w:r>
          </w:p>
          <w:p w:rsidR="003414C8" w:rsidRPr="00FB409B" w:rsidRDefault="0056288F" w:rsidP="00B16202">
            <w:pPr>
              <w:pStyle w:val="rvps2"/>
              <w:shd w:val="clear" w:color="auto" w:fill="FFFFFF"/>
              <w:spacing w:before="0" w:beforeAutospacing="0" w:after="0" w:afterAutospacing="0"/>
              <w:ind w:firstLine="458"/>
              <w:jc w:val="both"/>
              <w:rPr>
                <w:shd w:val="clear" w:color="auto" w:fill="FFFFFF"/>
                <w:lang w:val="uk-UA"/>
              </w:rPr>
            </w:pPr>
            <w:r w:rsidRPr="00FB409B">
              <w:rPr>
                <w:b/>
                <w:lang w:val="uk-UA"/>
              </w:rPr>
              <w:t>«</w:t>
            </w:r>
            <w:r w:rsidRPr="00FB409B">
              <w:rPr>
                <w:shd w:val="clear" w:color="auto" w:fill="FFFFFF"/>
                <w:lang w:val="uk-UA"/>
              </w:rPr>
              <w:t xml:space="preserve">1.  З метою забезпечення безпеки, надійності та якості розподілу (газопостачання) природного газу газорозподільною системою та з урахуванням законодавства з питань </w:t>
            </w:r>
            <w:r w:rsidRPr="00FB409B">
              <w:rPr>
                <w:shd w:val="clear" w:color="auto" w:fill="FFFFFF"/>
                <w:lang w:val="uk-UA"/>
              </w:rPr>
              <w:lastRenderedPageBreak/>
              <w:t>охорони довкілля та заходів з підвищення енергоефективності, передбачених Законом України «Про енергетичну ефективність», Оператор ГРМ щороку до</w:t>
            </w:r>
            <w:r w:rsidR="0070296A" w:rsidRPr="00FB409B">
              <w:rPr>
                <w:shd w:val="clear" w:color="auto" w:fill="FFFFFF"/>
                <w:lang w:val="uk-UA"/>
              </w:rPr>
              <w:t> </w:t>
            </w:r>
            <w:r w:rsidRPr="00FB409B">
              <w:rPr>
                <w:shd w:val="clear" w:color="auto" w:fill="FFFFFF"/>
                <w:lang w:val="uk-UA"/>
              </w:rPr>
              <w:t xml:space="preserve">31 липня розробляє та подає на затвердження Регулятору план розвитку газорозподільної системи на наступні 10 років, </w:t>
            </w:r>
            <w:r w:rsidR="003414C8" w:rsidRPr="00FB409B">
              <w:rPr>
                <w:shd w:val="clear" w:color="auto" w:fill="FFFFFF"/>
                <w:lang w:val="uk-UA"/>
              </w:rPr>
              <w:t xml:space="preserve"> а після затвердження розміщує його на своєму </w:t>
            </w:r>
            <w:proofErr w:type="spellStart"/>
            <w:r w:rsidR="003414C8" w:rsidRPr="00FB409B">
              <w:rPr>
                <w:shd w:val="clear" w:color="auto" w:fill="FFFFFF"/>
                <w:lang w:val="uk-UA"/>
              </w:rPr>
              <w:t>вебсайті</w:t>
            </w:r>
            <w:proofErr w:type="spellEnd"/>
          </w:p>
          <w:p w:rsidR="007F7043" w:rsidRPr="00FB409B" w:rsidRDefault="003414C8" w:rsidP="00B16202">
            <w:pPr>
              <w:pStyle w:val="rvps2"/>
              <w:shd w:val="clear" w:color="auto" w:fill="FFFFFF"/>
              <w:spacing w:before="0" w:beforeAutospacing="0" w:after="0" w:afterAutospacing="0"/>
              <w:ind w:firstLine="458"/>
              <w:jc w:val="both"/>
              <w:rPr>
                <w:b/>
                <w:lang w:val="uk-UA"/>
              </w:rPr>
            </w:pPr>
            <w:r w:rsidRPr="00FB409B">
              <w:rPr>
                <w:b/>
                <w:shd w:val="clear" w:color="auto" w:fill="FFFFFF"/>
                <w:lang w:val="uk-UA"/>
              </w:rPr>
              <w:t>Оператор ГРМ</w:t>
            </w:r>
            <w:r w:rsidR="00EE18F6" w:rsidRPr="00FB409B">
              <w:rPr>
                <w:b/>
                <w:shd w:val="clear" w:color="auto" w:fill="FFFFFF"/>
                <w:lang w:val="uk-UA"/>
              </w:rPr>
              <w:t xml:space="preserve"> пода</w:t>
            </w:r>
            <w:r w:rsidR="00243769" w:rsidRPr="00FB409B">
              <w:rPr>
                <w:b/>
                <w:shd w:val="clear" w:color="auto" w:fill="FFFFFF"/>
                <w:lang w:val="uk-UA"/>
              </w:rPr>
              <w:t>є</w:t>
            </w:r>
            <w:r w:rsidR="00EE18F6" w:rsidRPr="00FB409B">
              <w:rPr>
                <w:b/>
                <w:shd w:val="clear" w:color="auto" w:fill="FFFFFF"/>
                <w:lang w:val="uk-UA"/>
              </w:rPr>
              <w:t xml:space="preserve"> Регулятору </w:t>
            </w:r>
            <w:r w:rsidR="00E331A0" w:rsidRPr="00FB409B">
              <w:rPr>
                <w:b/>
                <w:shd w:val="clear" w:color="auto" w:fill="FFFFFF"/>
                <w:lang w:val="uk-UA"/>
              </w:rPr>
              <w:t>план</w:t>
            </w:r>
            <w:r w:rsidR="000017B5">
              <w:rPr>
                <w:b/>
                <w:shd w:val="clear" w:color="auto" w:fill="FFFFFF"/>
                <w:lang w:val="uk-UA"/>
              </w:rPr>
              <w:t>и</w:t>
            </w:r>
            <w:r w:rsidR="00E331A0" w:rsidRPr="00FB409B">
              <w:rPr>
                <w:b/>
                <w:shd w:val="clear" w:color="auto" w:fill="FFFFFF"/>
                <w:lang w:val="uk-UA"/>
              </w:rPr>
              <w:t xml:space="preserve"> розвитку </w:t>
            </w:r>
            <w:r w:rsidR="00EE18F6" w:rsidRPr="00FB409B">
              <w:rPr>
                <w:b/>
                <w:shd w:val="clear" w:color="auto" w:fill="FFFFFF"/>
                <w:lang w:val="uk-UA"/>
              </w:rPr>
              <w:t xml:space="preserve">з урахуванням положень цього пункту  </w:t>
            </w:r>
            <w:r w:rsidR="0056288F" w:rsidRPr="00FB409B">
              <w:rPr>
                <w:b/>
                <w:lang w:val="uk-UA" w:eastAsia="uk-UA"/>
              </w:rPr>
              <w:t xml:space="preserve">окремо </w:t>
            </w:r>
            <w:r w:rsidR="00083B69" w:rsidRPr="00FB409B">
              <w:rPr>
                <w:b/>
                <w:lang w:val="uk-UA" w:eastAsia="uk-UA"/>
              </w:rPr>
              <w:t>на</w:t>
            </w:r>
            <w:r w:rsidR="0056288F" w:rsidRPr="00FB409B">
              <w:rPr>
                <w:b/>
                <w:lang w:val="uk-UA" w:eastAsia="uk-UA"/>
              </w:rPr>
              <w:t xml:space="preserve"> частин</w:t>
            </w:r>
            <w:r w:rsidR="00083B69" w:rsidRPr="00FB409B">
              <w:rPr>
                <w:b/>
                <w:lang w:val="uk-UA" w:eastAsia="uk-UA"/>
              </w:rPr>
              <w:t>у</w:t>
            </w:r>
            <w:r w:rsidR="0056288F" w:rsidRPr="00FB409B">
              <w:rPr>
                <w:b/>
                <w:lang w:val="uk-UA" w:eastAsia="uk-UA"/>
              </w:rPr>
              <w:t xml:space="preserve"> місць провадження господарської діяльності Оператора ГРМ, на яку встановлено окремий тариф на послуги розподілу природного газу</w:t>
            </w:r>
            <w:r w:rsidR="0056288F" w:rsidRPr="00FB409B">
              <w:rPr>
                <w:b/>
                <w:shd w:val="clear" w:color="auto" w:fill="FFFFFF"/>
                <w:lang w:val="uk-UA"/>
              </w:rPr>
              <w:t>.</w:t>
            </w:r>
            <w:r w:rsidR="0056288F" w:rsidRPr="00FB409B">
              <w:rPr>
                <w:b/>
                <w:lang w:val="uk-UA"/>
              </w:rPr>
              <w:t>»</w:t>
            </w:r>
          </w:p>
        </w:tc>
      </w:tr>
      <w:tr w:rsidR="00FB409B" w:rsidRPr="00FB409B" w:rsidTr="0056288F">
        <w:trPr>
          <w:trHeight w:val="983"/>
          <w:jc w:val="center"/>
        </w:trPr>
        <w:tc>
          <w:tcPr>
            <w:tcW w:w="5098" w:type="dxa"/>
          </w:tcPr>
          <w:p w:rsidR="007F7043" w:rsidRPr="00FB409B" w:rsidRDefault="007F7043" w:rsidP="007F7043">
            <w:pPr>
              <w:pStyle w:val="rvps2"/>
              <w:shd w:val="clear" w:color="auto" w:fill="FFFFFF"/>
              <w:spacing w:before="0" w:beforeAutospacing="0" w:after="0" w:afterAutospacing="0"/>
              <w:ind w:firstLine="676"/>
              <w:jc w:val="both"/>
              <w:rPr>
                <w:shd w:val="clear" w:color="auto" w:fill="FFFFFF"/>
                <w:lang w:val="uk-UA"/>
              </w:rPr>
            </w:pPr>
            <w:r w:rsidRPr="00FB409B">
              <w:rPr>
                <w:shd w:val="clear" w:color="auto" w:fill="FFFFFF"/>
                <w:lang w:val="uk-UA"/>
              </w:rPr>
              <w:lastRenderedPageBreak/>
              <w:t>5. Десятирічний план розвитку газорозподільної системи складається із таких розділів:</w:t>
            </w:r>
          </w:p>
          <w:p w:rsidR="007F7043" w:rsidRPr="00FB409B" w:rsidRDefault="007F7043" w:rsidP="007F7043">
            <w:pPr>
              <w:pStyle w:val="rvps2"/>
              <w:shd w:val="clear" w:color="auto" w:fill="FFFFFF"/>
              <w:spacing w:before="0" w:beforeAutospacing="0" w:after="0" w:afterAutospacing="0"/>
              <w:ind w:firstLine="676"/>
              <w:jc w:val="both"/>
              <w:rPr>
                <w:shd w:val="clear" w:color="auto" w:fill="FFFFFF"/>
                <w:lang w:val="uk-UA"/>
              </w:rPr>
            </w:pPr>
            <w:r w:rsidRPr="00FB409B">
              <w:rPr>
                <w:shd w:val="clear" w:color="auto" w:fill="FFFFFF"/>
                <w:lang w:val="uk-UA"/>
              </w:rPr>
              <w:t>…</w:t>
            </w:r>
          </w:p>
          <w:p w:rsidR="007F7043" w:rsidRPr="00FB409B" w:rsidRDefault="007F7043" w:rsidP="00AB1E1A">
            <w:pPr>
              <w:pStyle w:val="rvps2"/>
              <w:shd w:val="clear" w:color="auto" w:fill="FFFFFF"/>
              <w:spacing w:before="0" w:beforeAutospacing="0" w:after="0" w:afterAutospacing="0"/>
              <w:ind w:firstLine="676"/>
              <w:jc w:val="both"/>
              <w:rPr>
                <w:shd w:val="clear" w:color="auto" w:fill="FFFFFF"/>
                <w:lang w:val="uk-UA"/>
              </w:rPr>
            </w:pPr>
            <w:bookmarkStart w:id="3" w:name="_Hlk140070859"/>
            <w:r w:rsidRPr="00FB409B">
              <w:rPr>
                <w:shd w:val="clear" w:color="auto" w:fill="FFFFFF"/>
                <w:lang w:val="uk-UA"/>
              </w:rPr>
              <w:t>розділ ІІ − опис заходів, які направлені на розвиток газорозподільної системи за рахунок будівництва нових об’єктів ГРМ, включаючи нове будівництво, реконструкцію, капітальний ремонт, технічне переоснащення тощо, у наступні десять років за рахунок планових інвестицій;</w:t>
            </w:r>
            <w:bookmarkEnd w:id="3"/>
          </w:p>
        </w:tc>
        <w:tc>
          <w:tcPr>
            <w:tcW w:w="5812" w:type="dxa"/>
          </w:tcPr>
          <w:p w:rsidR="007F7043" w:rsidRPr="00FB409B" w:rsidRDefault="007F7043" w:rsidP="00DF03E6">
            <w:pPr>
              <w:pStyle w:val="a5"/>
              <w:spacing w:before="0" w:beforeAutospacing="0" w:after="0" w:afterAutospacing="0" w:line="260" w:lineRule="exact"/>
              <w:ind w:firstLine="599"/>
              <w:contextualSpacing/>
              <w:jc w:val="both"/>
              <w:rPr>
                <w:b/>
                <w:i/>
                <w:shd w:val="clear" w:color="auto" w:fill="FFFFFF"/>
                <w:lang w:val="uk-UA"/>
              </w:rPr>
            </w:pPr>
            <w:r w:rsidRPr="00FB409B">
              <w:rPr>
                <w:b/>
                <w:i/>
                <w:lang w:val="uk-UA"/>
              </w:rPr>
              <w:t>Зауваження не надходили</w:t>
            </w:r>
          </w:p>
        </w:tc>
        <w:tc>
          <w:tcPr>
            <w:tcW w:w="4678" w:type="dxa"/>
          </w:tcPr>
          <w:p w:rsidR="007F7043" w:rsidRPr="00FB409B" w:rsidRDefault="007F7043" w:rsidP="007F7043">
            <w:pPr>
              <w:shd w:val="clear" w:color="auto" w:fill="FFFFFF"/>
              <w:spacing w:after="150"/>
              <w:jc w:val="both"/>
              <w:rPr>
                <w:rFonts w:ascii="Times New Roman" w:hAnsi="Times New Roman" w:cs="Times New Roman"/>
                <w:b/>
                <w:bCs/>
                <w:iCs/>
                <w:sz w:val="24"/>
                <w:szCs w:val="24"/>
                <w:shd w:val="clear" w:color="auto" w:fill="FFFFFF"/>
              </w:rPr>
            </w:pPr>
          </w:p>
        </w:tc>
      </w:tr>
      <w:tr w:rsidR="00FB409B" w:rsidRPr="00FB409B" w:rsidTr="00511B29">
        <w:trPr>
          <w:trHeight w:val="573"/>
          <w:jc w:val="center"/>
        </w:trPr>
        <w:tc>
          <w:tcPr>
            <w:tcW w:w="15588" w:type="dxa"/>
            <w:gridSpan w:val="3"/>
          </w:tcPr>
          <w:p w:rsidR="00C236A2" w:rsidRPr="00FB409B" w:rsidRDefault="00C236A2" w:rsidP="00511B29">
            <w:pPr>
              <w:spacing w:before="120" w:after="100" w:afterAutospacing="1"/>
              <w:ind w:firstLine="284"/>
              <w:jc w:val="center"/>
              <w:rPr>
                <w:rFonts w:ascii="Times New Roman" w:hAnsi="Times New Roman" w:cs="Times New Roman"/>
                <w:iCs/>
                <w:sz w:val="24"/>
                <w:szCs w:val="24"/>
              </w:rPr>
            </w:pPr>
            <w:r w:rsidRPr="00FB409B">
              <w:rPr>
                <w:rFonts w:ascii="Times New Roman" w:hAnsi="Times New Roman" w:cs="Times New Roman"/>
                <w:b/>
                <w:sz w:val="24"/>
                <w:szCs w:val="24"/>
              </w:rPr>
              <w:t>3. Документальне оформлення плану розвитку газорозподільної системи</w:t>
            </w:r>
          </w:p>
        </w:tc>
      </w:tr>
      <w:tr w:rsidR="00FB409B" w:rsidRPr="00FB409B" w:rsidTr="0056288F">
        <w:trPr>
          <w:jc w:val="center"/>
        </w:trPr>
        <w:tc>
          <w:tcPr>
            <w:tcW w:w="5098" w:type="dxa"/>
          </w:tcPr>
          <w:p w:rsidR="000B4186" w:rsidRPr="00FB409B" w:rsidRDefault="000B4186" w:rsidP="0032493A">
            <w:pPr>
              <w:shd w:val="clear" w:color="auto" w:fill="FFFFFF"/>
              <w:ind w:firstLine="450"/>
              <w:jc w:val="both"/>
              <w:rPr>
                <w:rFonts w:ascii="Times New Roman" w:hAnsi="Times New Roman" w:cs="Times New Roman"/>
                <w:b/>
                <w:i/>
                <w:sz w:val="24"/>
                <w:szCs w:val="24"/>
              </w:rPr>
            </w:pPr>
            <w:r w:rsidRPr="00FB409B">
              <w:rPr>
                <w:rFonts w:ascii="Times New Roman" w:hAnsi="Times New Roman" w:cs="Times New Roman"/>
                <w:b/>
                <w:i/>
                <w:sz w:val="24"/>
                <w:szCs w:val="24"/>
              </w:rPr>
              <w:t>Нова норма</w:t>
            </w:r>
          </w:p>
          <w:p w:rsidR="000B4186" w:rsidRPr="00FB409B" w:rsidRDefault="000B4186" w:rsidP="0032493A">
            <w:pPr>
              <w:shd w:val="clear" w:color="auto" w:fill="FFFFFF"/>
              <w:ind w:firstLine="450"/>
              <w:jc w:val="both"/>
              <w:rPr>
                <w:rFonts w:ascii="Times New Roman" w:hAnsi="Times New Roman" w:cs="Times New Roman"/>
                <w:b/>
                <w:sz w:val="24"/>
                <w:szCs w:val="24"/>
              </w:rPr>
            </w:pPr>
          </w:p>
          <w:p w:rsidR="000B4186" w:rsidRPr="00FB409B" w:rsidRDefault="000B4186" w:rsidP="0032493A">
            <w:pPr>
              <w:shd w:val="clear" w:color="auto" w:fill="FFFFFF"/>
              <w:ind w:firstLine="450"/>
              <w:jc w:val="both"/>
              <w:rPr>
                <w:rFonts w:ascii="Times New Roman" w:hAnsi="Times New Roman" w:cs="Times New Roman"/>
                <w:sz w:val="24"/>
                <w:szCs w:val="24"/>
                <w:shd w:val="clear" w:color="auto" w:fill="FFFFFF"/>
              </w:rPr>
            </w:pPr>
            <w:r w:rsidRPr="00FB409B">
              <w:rPr>
                <w:rFonts w:ascii="Times New Roman" w:hAnsi="Times New Roman" w:cs="Times New Roman"/>
                <w:sz w:val="24"/>
                <w:szCs w:val="24"/>
              </w:rPr>
              <w:t>2</w:t>
            </w:r>
            <w:r w:rsidRPr="00FB409B">
              <w:rPr>
                <w:rFonts w:ascii="Times New Roman" w:hAnsi="Times New Roman" w:cs="Times New Roman"/>
                <w:sz w:val="24"/>
                <w:szCs w:val="24"/>
                <w:shd w:val="clear" w:color="auto" w:fill="FFFFFF"/>
              </w:rPr>
              <w:t xml:space="preserve">. До плану розвитку не можуть бути включені такі заходи (окрім заходів, </w:t>
            </w:r>
            <w:proofErr w:type="spellStart"/>
            <w:r w:rsidRPr="00FB409B">
              <w:rPr>
                <w:rFonts w:ascii="Times New Roman" w:hAnsi="Times New Roman" w:cs="Times New Roman"/>
                <w:sz w:val="24"/>
                <w:szCs w:val="24"/>
                <w:shd w:val="clear" w:color="auto" w:fill="FFFFFF"/>
              </w:rPr>
              <w:t>повʼязаних</w:t>
            </w:r>
            <w:proofErr w:type="spellEnd"/>
            <w:r w:rsidRPr="00FB409B">
              <w:rPr>
                <w:rFonts w:ascii="Times New Roman" w:hAnsi="Times New Roman" w:cs="Times New Roman"/>
                <w:sz w:val="24"/>
                <w:szCs w:val="24"/>
                <w:shd w:val="clear" w:color="auto" w:fill="FFFFFF"/>
              </w:rPr>
              <w:t xml:space="preserve"> зі створенням обмінного фонду та/або встановленням, та/або заміною лічильників газу побутових споживачів (населення)):</w:t>
            </w:r>
          </w:p>
          <w:p w:rsidR="000B4186" w:rsidRPr="00FB409B" w:rsidRDefault="000B4186" w:rsidP="0032493A">
            <w:pPr>
              <w:shd w:val="clear" w:color="auto" w:fill="FFFFFF"/>
              <w:ind w:firstLine="450"/>
              <w:jc w:val="both"/>
              <w:rPr>
                <w:rFonts w:ascii="Times New Roman" w:hAnsi="Times New Roman" w:cs="Times New Roman"/>
                <w:sz w:val="24"/>
                <w:szCs w:val="24"/>
                <w:shd w:val="clear" w:color="auto" w:fill="FFFFFF"/>
              </w:rPr>
            </w:pPr>
            <w:r w:rsidRPr="00FB409B">
              <w:rPr>
                <w:rFonts w:ascii="Times New Roman" w:hAnsi="Times New Roman" w:cs="Times New Roman"/>
                <w:sz w:val="24"/>
                <w:szCs w:val="24"/>
                <w:shd w:val="clear" w:color="auto" w:fill="FFFFFF"/>
              </w:rPr>
              <w:lastRenderedPageBreak/>
              <w:t>які не створюють нові основні засоби/інші необоротні матеріальні активи/нематеріальні активи;</w:t>
            </w:r>
          </w:p>
          <w:p w:rsidR="000B4186" w:rsidRPr="00FB409B" w:rsidRDefault="000B4186" w:rsidP="00C236A2">
            <w:pPr>
              <w:shd w:val="clear" w:color="auto" w:fill="FFFFFF"/>
              <w:spacing w:after="150"/>
              <w:ind w:firstLine="450"/>
              <w:jc w:val="both"/>
              <w:rPr>
                <w:rFonts w:ascii="Times New Roman" w:hAnsi="Times New Roman" w:cs="Times New Roman"/>
                <w:b/>
                <w:sz w:val="24"/>
                <w:szCs w:val="24"/>
                <w:shd w:val="clear" w:color="auto" w:fill="FFFFFF"/>
              </w:rPr>
            </w:pPr>
            <w:r w:rsidRPr="00FB409B">
              <w:rPr>
                <w:rFonts w:ascii="Times New Roman" w:hAnsi="Times New Roman" w:cs="Times New Roman"/>
                <w:sz w:val="24"/>
                <w:szCs w:val="24"/>
                <w:shd w:val="clear" w:color="auto" w:fill="FFFFFF"/>
              </w:rPr>
              <w:t>які не призводять до збільшення балансової вартості основних засобів / інших необоротних матеріальних активів / нематеріальних активів.</w:t>
            </w:r>
          </w:p>
        </w:tc>
        <w:tc>
          <w:tcPr>
            <w:tcW w:w="5812" w:type="dxa"/>
          </w:tcPr>
          <w:p w:rsidR="000B4186" w:rsidRPr="00FB409B" w:rsidRDefault="000B4186" w:rsidP="00DF03E6">
            <w:pPr>
              <w:pStyle w:val="a5"/>
              <w:spacing w:before="0" w:beforeAutospacing="0" w:after="0" w:afterAutospacing="0" w:line="260" w:lineRule="exact"/>
              <w:ind w:firstLine="457"/>
              <w:contextualSpacing/>
              <w:jc w:val="both"/>
              <w:rPr>
                <w:b/>
                <w:i/>
                <w:shd w:val="clear" w:color="auto" w:fill="FFFFFF"/>
                <w:lang w:val="uk-UA"/>
              </w:rPr>
            </w:pPr>
            <w:r w:rsidRPr="00FB409B">
              <w:rPr>
                <w:b/>
                <w:i/>
                <w:shd w:val="clear" w:color="auto" w:fill="FFFFFF"/>
                <w:lang w:val="uk-UA"/>
              </w:rPr>
              <w:lastRenderedPageBreak/>
              <w:t>Пропозиції ТОВ «ГАЗОРОЗПОДІЛЬНІ МЕРЕЖІ УКРАЇНИ»:</w:t>
            </w:r>
          </w:p>
          <w:p w:rsidR="000B4186" w:rsidRPr="00FB409B" w:rsidRDefault="000B4186" w:rsidP="0032493A">
            <w:pPr>
              <w:shd w:val="clear" w:color="auto" w:fill="FFFFFF"/>
              <w:ind w:firstLine="450"/>
              <w:jc w:val="both"/>
              <w:rPr>
                <w:rFonts w:ascii="Times New Roman" w:hAnsi="Times New Roman" w:cs="Times New Roman"/>
                <w:sz w:val="24"/>
                <w:szCs w:val="24"/>
                <w:shd w:val="clear" w:color="auto" w:fill="FFFFFF"/>
              </w:rPr>
            </w:pPr>
            <w:r w:rsidRPr="00FB409B">
              <w:rPr>
                <w:rFonts w:ascii="Times New Roman" w:hAnsi="Times New Roman" w:cs="Times New Roman"/>
                <w:sz w:val="24"/>
                <w:szCs w:val="24"/>
                <w:shd w:val="clear" w:color="auto" w:fill="FFFFFF"/>
              </w:rPr>
              <w:t xml:space="preserve">2. До плану розвитку не можуть бути включені такі заходи (окрім заходів, </w:t>
            </w:r>
            <w:proofErr w:type="spellStart"/>
            <w:r w:rsidRPr="00FB409B">
              <w:rPr>
                <w:rFonts w:ascii="Times New Roman" w:hAnsi="Times New Roman" w:cs="Times New Roman"/>
                <w:sz w:val="24"/>
                <w:szCs w:val="24"/>
                <w:shd w:val="clear" w:color="auto" w:fill="FFFFFF"/>
              </w:rPr>
              <w:t>повʼязаних</w:t>
            </w:r>
            <w:proofErr w:type="spellEnd"/>
            <w:r w:rsidRPr="00FB409B">
              <w:rPr>
                <w:rFonts w:ascii="Times New Roman" w:hAnsi="Times New Roman" w:cs="Times New Roman"/>
                <w:sz w:val="24"/>
                <w:szCs w:val="24"/>
                <w:shd w:val="clear" w:color="auto" w:fill="FFFFFF"/>
              </w:rPr>
              <w:t xml:space="preserve"> зі створенням обмінного фонду та/або встановленням, та/або заміною лічильників газу побутових споживачів (населення), </w:t>
            </w:r>
            <w:r w:rsidRPr="00FB409B">
              <w:rPr>
                <w:rFonts w:ascii="Times New Roman" w:hAnsi="Times New Roman" w:cs="Times New Roman"/>
                <w:b/>
                <w:sz w:val="24"/>
                <w:szCs w:val="24"/>
                <w:shd w:val="clear" w:color="auto" w:fill="FFFFFF"/>
              </w:rPr>
              <w:t>та ПКД</w:t>
            </w:r>
            <w:r w:rsidRPr="00FB409B">
              <w:rPr>
                <w:rFonts w:ascii="Times New Roman" w:hAnsi="Times New Roman" w:cs="Times New Roman"/>
                <w:sz w:val="24"/>
                <w:szCs w:val="24"/>
                <w:shd w:val="clear" w:color="auto" w:fill="FFFFFF"/>
              </w:rPr>
              <w:t>):</w:t>
            </w:r>
          </w:p>
          <w:p w:rsidR="000B4186" w:rsidRPr="00FB409B" w:rsidRDefault="000B4186" w:rsidP="0032493A">
            <w:pPr>
              <w:shd w:val="clear" w:color="auto" w:fill="FFFFFF"/>
              <w:ind w:firstLine="450"/>
              <w:jc w:val="both"/>
              <w:rPr>
                <w:rFonts w:ascii="Times New Roman" w:hAnsi="Times New Roman" w:cs="Times New Roman"/>
                <w:sz w:val="24"/>
                <w:szCs w:val="24"/>
                <w:shd w:val="clear" w:color="auto" w:fill="FFFFFF"/>
              </w:rPr>
            </w:pPr>
            <w:r w:rsidRPr="00FB409B">
              <w:rPr>
                <w:rFonts w:ascii="Times New Roman" w:hAnsi="Times New Roman" w:cs="Times New Roman"/>
                <w:sz w:val="24"/>
                <w:szCs w:val="24"/>
                <w:shd w:val="clear" w:color="auto" w:fill="FFFFFF"/>
              </w:rPr>
              <w:t>які не створюють нові основні засоби/інші необоротні матеріальні активи/нематеріальні активи;</w:t>
            </w:r>
          </w:p>
          <w:p w:rsidR="000B4186" w:rsidRPr="00FB409B" w:rsidRDefault="000B4186" w:rsidP="0064587A">
            <w:pPr>
              <w:shd w:val="clear" w:color="auto" w:fill="FFFFFF"/>
              <w:spacing w:after="150"/>
              <w:ind w:firstLine="450"/>
              <w:jc w:val="both"/>
              <w:rPr>
                <w:rFonts w:ascii="Times New Roman" w:hAnsi="Times New Roman" w:cs="Times New Roman"/>
                <w:sz w:val="24"/>
                <w:szCs w:val="24"/>
                <w:shd w:val="clear" w:color="auto" w:fill="FFFFFF"/>
              </w:rPr>
            </w:pPr>
            <w:r w:rsidRPr="00FB409B">
              <w:rPr>
                <w:rFonts w:ascii="Times New Roman" w:hAnsi="Times New Roman" w:cs="Times New Roman"/>
                <w:sz w:val="24"/>
                <w:szCs w:val="24"/>
                <w:shd w:val="clear" w:color="auto" w:fill="FFFFFF"/>
              </w:rPr>
              <w:lastRenderedPageBreak/>
              <w:t>які не призводять до збільшення балансової вартості основних засобів / інших необоротних матеріальних активів / нематеріальних активів.</w:t>
            </w:r>
          </w:p>
          <w:p w:rsidR="00544229" w:rsidRPr="00FB409B" w:rsidRDefault="00544229" w:rsidP="0064587A">
            <w:pPr>
              <w:shd w:val="clear" w:color="auto" w:fill="FFFFFF"/>
              <w:spacing w:after="150"/>
              <w:ind w:firstLine="450"/>
              <w:jc w:val="both"/>
              <w:rPr>
                <w:rFonts w:ascii="Times New Roman" w:hAnsi="Times New Roman" w:cs="Times New Roman"/>
                <w:strike/>
                <w:sz w:val="24"/>
                <w:szCs w:val="24"/>
              </w:rPr>
            </w:pPr>
            <w:proofErr w:type="spellStart"/>
            <w:r w:rsidRPr="00FB409B">
              <w:rPr>
                <w:rFonts w:ascii="Times New Roman" w:hAnsi="Times New Roman" w:cs="Times New Roman"/>
                <w:b/>
                <w:i/>
                <w:sz w:val="24"/>
                <w:szCs w:val="24"/>
                <w:shd w:val="clear" w:color="auto" w:fill="FFFFFF"/>
              </w:rPr>
              <w:t>Обгрунтування</w:t>
            </w:r>
            <w:proofErr w:type="spellEnd"/>
            <w:r w:rsidRPr="00FB409B">
              <w:rPr>
                <w:rFonts w:ascii="Times New Roman" w:hAnsi="Times New Roman" w:cs="Times New Roman"/>
                <w:b/>
                <w:i/>
                <w:sz w:val="24"/>
                <w:szCs w:val="24"/>
                <w:shd w:val="clear" w:color="auto" w:fill="FFFFFF"/>
              </w:rPr>
              <w:t xml:space="preserve"> ТОВ «ГАЗОРОЗПОДІЛЬНІ МЕРЕЖІ УКРАЇНИ»: відсутні</w:t>
            </w:r>
          </w:p>
        </w:tc>
        <w:tc>
          <w:tcPr>
            <w:tcW w:w="4678" w:type="dxa"/>
          </w:tcPr>
          <w:p w:rsidR="00DD6F68" w:rsidRPr="00FB409B" w:rsidRDefault="00DD6F68" w:rsidP="00DD6F68">
            <w:pPr>
              <w:jc w:val="both"/>
              <w:rPr>
                <w:rFonts w:ascii="Times New Roman" w:eastAsia="Times New Roman" w:hAnsi="Times New Roman" w:cs="Times New Roman"/>
                <w:b/>
                <w:sz w:val="24"/>
                <w:szCs w:val="24"/>
              </w:rPr>
            </w:pPr>
            <w:r w:rsidRPr="00FB409B">
              <w:rPr>
                <w:rFonts w:ascii="Times New Roman" w:eastAsia="Times New Roman" w:hAnsi="Times New Roman" w:cs="Times New Roman"/>
                <w:b/>
                <w:sz w:val="24"/>
                <w:szCs w:val="24"/>
              </w:rPr>
              <w:lastRenderedPageBreak/>
              <w:t>Попередньо частково враховується у редакції:</w:t>
            </w:r>
          </w:p>
          <w:p w:rsidR="00EE2AED" w:rsidRPr="00FB409B" w:rsidRDefault="00EE2AED" w:rsidP="00EE2AED">
            <w:pPr>
              <w:shd w:val="clear" w:color="auto" w:fill="FFFFFF"/>
              <w:ind w:firstLine="450"/>
              <w:jc w:val="both"/>
              <w:rPr>
                <w:rFonts w:ascii="Times New Roman" w:hAnsi="Times New Roman" w:cs="Times New Roman"/>
                <w:sz w:val="24"/>
                <w:szCs w:val="24"/>
                <w:shd w:val="clear" w:color="auto" w:fill="FFFFFF"/>
              </w:rPr>
            </w:pPr>
            <w:r w:rsidRPr="00FB409B">
              <w:rPr>
                <w:rFonts w:ascii="Times New Roman" w:hAnsi="Times New Roman" w:cs="Times New Roman"/>
                <w:sz w:val="24"/>
                <w:szCs w:val="24"/>
                <w:shd w:val="clear" w:color="auto" w:fill="FFFFFF"/>
              </w:rPr>
              <w:t xml:space="preserve">2. До плану розвитку не можуть бути включені такі заходи (окрім заходів, </w:t>
            </w:r>
            <w:proofErr w:type="spellStart"/>
            <w:r w:rsidRPr="00FB409B">
              <w:rPr>
                <w:rFonts w:ascii="Times New Roman" w:hAnsi="Times New Roman" w:cs="Times New Roman"/>
                <w:sz w:val="24"/>
                <w:szCs w:val="24"/>
                <w:shd w:val="clear" w:color="auto" w:fill="FFFFFF"/>
              </w:rPr>
              <w:t>повʼязаних</w:t>
            </w:r>
            <w:proofErr w:type="spellEnd"/>
            <w:r w:rsidRPr="00FB409B">
              <w:rPr>
                <w:rFonts w:ascii="Times New Roman" w:hAnsi="Times New Roman" w:cs="Times New Roman"/>
                <w:sz w:val="24"/>
                <w:szCs w:val="24"/>
                <w:shd w:val="clear" w:color="auto" w:fill="FFFFFF"/>
              </w:rPr>
              <w:t xml:space="preserve"> зі створенням обмінного фонду та/або встановленням, та/або заміною лічильників газу побутових споживачів (населення)</w:t>
            </w:r>
            <w:r w:rsidR="008C2C89" w:rsidRPr="00FB409B">
              <w:rPr>
                <w:rFonts w:ascii="Times New Roman" w:hAnsi="Times New Roman" w:cs="Times New Roman"/>
                <w:sz w:val="24"/>
                <w:szCs w:val="24"/>
                <w:shd w:val="clear" w:color="auto" w:fill="FFFFFF"/>
              </w:rPr>
              <w:t>,</w:t>
            </w:r>
            <w:r w:rsidRPr="00FB409B">
              <w:rPr>
                <w:rFonts w:ascii="Times New Roman" w:hAnsi="Times New Roman" w:cs="Times New Roman"/>
                <w:sz w:val="24"/>
                <w:szCs w:val="24"/>
                <w:shd w:val="clear" w:color="auto" w:fill="FFFFFF"/>
              </w:rPr>
              <w:t xml:space="preserve"> </w:t>
            </w:r>
            <w:r w:rsidRPr="00FB409B">
              <w:rPr>
                <w:rFonts w:ascii="Times New Roman" w:hAnsi="Times New Roman" w:cs="Times New Roman"/>
                <w:b/>
                <w:sz w:val="24"/>
                <w:szCs w:val="24"/>
                <w:shd w:val="clear" w:color="auto" w:fill="FFFFFF"/>
              </w:rPr>
              <w:t xml:space="preserve">та </w:t>
            </w:r>
            <w:r w:rsidR="00FB409B" w:rsidRPr="00FB409B">
              <w:rPr>
                <w:rFonts w:ascii="Times New Roman" w:hAnsi="Times New Roman" w:cs="Times New Roman"/>
                <w:b/>
                <w:sz w:val="24"/>
                <w:szCs w:val="24"/>
                <w:shd w:val="clear" w:color="auto" w:fill="FFFFFF"/>
              </w:rPr>
              <w:t xml:space="preserve">заходів </w:t>
            </w:r>
            <w:r w:rsidR="005962A6" w:rsidRPr="00FB409B">
              <w:rPr>
                <w:rFonts w:ascii="Times New Roman" w:hAnsi="Times New Roman" w:cs="Times New Roman"/>
                <w:b/>
                <w:sz w:val="24"/>
                <w:szCs w:val="24"/>
                <w:shd w:val="clear" w:color="auto" w:fill="FFFFFF"/>
              </w:rPr>
              <w:t xml:space="preserve">із </w:t>
            </w:r>
            <w:r w:rsidRPr="00FB409B">
              <w:rPr>
                <w:rFonts w:ascii="Times New Roman" w:hAnsi="Times New Roman" w:cs="Times New Roman"/>
                <w:b/>
                <w:sz w:val="24"/>
                <w:szCs w:val="24"/>
                <w:shd w:val="clear" w:color="auto" w:fill="FFFFFF"/>
              </w:rPr>
              <w:t>розробк</w:t>
            </w:r>
            <w:r w:rsidR="005962A6" w:rsidRPr="00FB409B">
              <w:rPr>
                <w:rFonts w:ascii="Times New Roman" w:hAnsi="Times New Roman" w:cs="Times New Roman"/>
                <w:b/>
                <w:sz w:val="24"/>
                <w:szCs w:val="24"/>
                <w:shd w:val="clear" w:color="auto" w:fill="FFFFFF"/>
              </w:rPr>
              <w:t>и</w:t>
            </w:r>
            <w:r w:rsidRPr="00FB409B">
              <w:rPr>
                <w:rFonts w:ascii="Times New Roman" w:hAnsi="Times New Roman" w:cs="Times New Roman"/>
                <w:b/>
                <w:sz w:val="24"/>
                <w:szCs w:val="24"/>
                <w:shd w:val="clear" w:color="auto" w:fill="FFFFFF"/>
              </w:rPr>
              <w:t xml:space="preserve"> </w:t>
            </w:r>
            <w:proofErr w:type="spellStart"/>
            <w:r w:rsidRPr="00FB409B">
              <w:rPr>
                <w:rFonts w:ascii="Times New Roman" w:hAnsi="Times New Roman" w:cs="Times New Roman"/>
                <w:b/>
                <w:sz w:val="24"/>
                <w:szCs w:val="24"/>
                <w:shd w:val="clear" w:color="auto" w:fill="FFFFFF"/>
              </w:rPr>
              <w:t>проєктно</w:t>
            </w:r>
            <w:proofErr w:type="spellEnd"/>
            <w:r w:rsidRPr="00FB409B">
              <w:rPr>
                <w:rFonts w:ascii="Times New Roman" w:hAnsi="Times New Roman" w:cs="Times New Roman"/>
                <w:b/>
                <w:sz w:val="24"/>
                <w:szCs w:val="24"/>
                <w:shd w:val="clear" w:color="auto" w:fill="FFFFFF"/>
              </w:rPr>
              <w:t>-кошторисної документації</w:t>
            </w:r>
            <w:r w:rsidRPr="00FB409B">
              <w:rPr>
                <w:rFonts w:ascii="Times New Roman" w:hAnsi="Times New Roman" w:cs="Times New Roman"/>
                <w:sz w:val="24"/>
                <w:szCs w:val="24"/>
                <w:shd w:val="clear" w:color="auto" w:fill="FFFFFF"/>
              </w:rPr>
              <w:t>):</w:t>
            </w:r>
          </w:p>
          <w:p w:rsidR="00EE2AED" w:rsidRPr="00FB409B" w:rsidRDefault="00EE2AED" w:rsidP="00EE2AED">
            <w:pPr>
              <w:shd w:val="clear" w:color="auto" w:fill="FFFFFF"/>
              <w:ind w:firstLine="450"/>
              <w:jc w:val="both"/>
              <w:rPr>
                <w:rFonts w:ascii="Times New Roman" w:hAnsi="Times New Roman" w:cs="Times New Roman"/>
                <w:sz w:val="24"/>
                <w:szCs w:val="24"/>
                <w:shd w:val="clear" w:color="auto" w:fill="FFFFFF"/>
              </w:rPr>
            </w:pPr>
            <w:r w:rsidRPr="00FB409B">
              <w:rPr>
                <w:rFonts w:ascii="Times New Roman" w:hAnsi="Times New Roman" w:cs="Times New Roman"/>
                <w:sz w:val="24"/>
                <w:szCs w:val="24"/>
                <w:shd w:val="clear" w:color="auto" w:fill="FFFFFF"/>
              </w:rPr>
              <w:lastRenderedPageBreak/>
              <w:t>які не створюють нові основні засоби/інші необоротні матеріальні активи/нематеріальні активи;</w:t>
            </w:r>
          </w:p>
          <w:p w:rsidR="000B4186" w:rsidRPr="00FB409B" w:rsidRDefault="00EE2AED" w:rsidP="000017B5">
            <w:pPr>
              <w:shd w:val="clear" w:color="auto" w:fill="FFFFFF"/>
              <w:spacing w:after="150"/>
              <w:ind w:firstLine="450"/>
              <w:jc w:val="both"/>
              <w:rPr>
                <w:rFonts w:ascii="Times New Roman" w:hAnsi="Times New Roman" w:cs="Times New Roman"/>
                <w:bCs/>
                <w:i/>
                <w:iCs/>
                <w:sz w:val="24"/>
                <w:szCs w:val="24"/>
                <w:shd w:val="clear" w:color="auto" w:fill="FFFFFF"/>
              </w:rPr>
            </w:pPr>
            <w:r w:rsidRPr="00FB409B">
              <w:rPr>
                <w:rFonts w:ascii="Times New Roman" w:hAnsi="Times New Roman" w:cs="Times New Roman"/>
                <w:sz w:val="24"/>
                <w:szCs w:val="24"/>
                <w:shd w:val="clear" w:color="auto" w:fill="FFFFFF"/>
              </w:rPr>
              <w:t>які не призводять до збільшення балансової вартості основних засобів / інших необоротних матеріальних активів / нематеріальних активів.</w:t>
            </w:r>
          </w:p>
        </w:tc>
      </w:tr>
      <w:tr w:rsidR="00FB409B" w:rsidRPr="00FB409B" w:rsidTr="0056288F">
        <w:trPr>
          <w:jc w:val="center"/>
        </w:trPr>
        <w:tc>
          <w:tcPr>
            <w:tcW w:w="5098" w:type="dxa"/>
          </w:tcPr>
          <w:p w:rsidR="00716A61" w:rsidRPr="00FB409B" w:rsidRDefault="007C74D1" w:rsidP="0032493A">
            <w:pPr>
              <w:shd w:val="clear" w:color="auto" w:fill="FFFFFF"/>
              <w:ind w:firstLine="450"/>
              <w:jc w:val="both"/>
              <w:rPr>
                <w:rFonts w:ascii="Times New Roman" w:hAnsi="Times New Roman" w:cs="Times New Roman"/>
                <w:b/>
                <w:i/>
                <w:sz w:val="24"/>
                <w:szCs w:val="24"/>
              </w:rPr>
            </w:pPr>
            <w:r w:rsidRPr="00FB409B">
              <w:rPr>
                <w:rFonts w:ascii="Times New Roman" w:hAnsi="Times New Roman" w:cs="Times New Roman"/>
                <w:sz w:val="24"/>
                <w:szCs w:val="24"/>
              </w:rPr>
              <w:lastRenderedPageBreak/>
              <w:t>4. Другий розділ плану розвитку має включати опис заходів, які направлені на розвиток газорозподільної системи за рахунок будівництва нових об’єктів ГРМ, включаючи нове будівництво, реконструкцію, капітальний ремонт, технічне переоснащення тощо у наступні десять років за рахунок планових інвестицій.</w:t>
            </w:r>
          </w:p>
        </w:tc>
        <w:tc>
          <w:tcPr>
            <w:tcW w:w="5812" w:type="dxa"/>
          </w:tcPr>
          <w:p w:rsidR="00716A61" w:rsidRPr="00FB409B" w:rsidRDefault="00886024" w:rsidP="00DF03E6">
            <w:pPr>
              <w:pStyle w:val="a5"/>
              <w:spacing w:before="0" w:beforeAutospacing="0" w:after="0" w:afterAutospacing="0" w:line="260" w:lineRule="exact"/>
              <w:ind w:firstLine="457"/>
              <w:contextualSpacing/>
              <w:jc w:val="both"/>
              <w:rPr>
                <w:b/>
                <w:i/>
                <w:shd w:val="clear" w:color="auto" w:fill="FFFFFF"/>
                <w:lang w:val="uk-UA"/>
              </w:rPr>
            </w:pPr>
            <w:r w:rsidRPr="00FB409B">
              <w:rPr>
                <w:b/>
                <w:i/>
                <w:lang w:val="uk-UA"/>
              </w:rPr>
              <w:t>Зауваження не надходили</w:t>
            </w:r>
          </w:p>
        </w:tc>
        <w:tc>
          <w:tcPr>
            <w:tcW w:w="4678" w:type="dxa"/>
          </w:tcPr>
          <w:p w:rsidR="00716A61" w:rsidRPr="00FB409B" w:rsidRDefault="00716A61" w:rsidP="0032493A">
            <w:pPr>
              <w:ind w:firstLine="284"/>
              <w:rPr>
                <w:rFonts w:ascii="Times New Roman" w:hAnsi="Times New Roman" w:cs="Times New Roman"/>
                <w:iCs/>
                <w:sz w:val="24"/>
                <w:szCs w:val="24"/>
              </w:rPr>
            </w:pPr>
          </w:p>
        </w:tc>
      </w:tr>
      <w:tr w:rsidR="00FB409B" w:rsidRPr="00FB409B" w:rsidTr="0056288F">
        <w:trPr>
          <w:jc w:val="center"/>
        </w:trPr>
        <w:tc>
          <w:tcPr>
            <w:tcW w:w="5098" w:type="dxa"/>
          </w:tcPr>
          <w:p w:rsidR="00A206C3" w:rsidRPr="00FB409B" w:rsidRDefault="00A206C3" w:rsidP="0032493A">
            <w:pPr>
              <w:shd w:val="clear" w:color="auto" w:fill="FFFFFF"/>
              <w:spacing w:after="150"/>
              <w:ind w:firstLine="450"/>
              <w:jc w:val="both"/>
              <w:rPr>
                <w:rFonts w:ascii="Times New Roman" w:hAnsi="Times New Roman" w:cs="Times New Roman"/>
                <w:sz w:val="24"/>
                <w:szCs w:val="24"/>
                <w:shd w:val="clear" w:color="auto" w:fill="FFFFFF"/>
              </w:rPr>
            </w:pPr>
          </w:p>
          <w:p w:rsidR="007C74D1" w:rsidRPr="00FB409B" w:rsidRDefault="007C74D1" w:rsidP="007C74D1">
            <w:pPr>
              <w:shd w:val="clear" w:color="auto" w:fill="FFFFFF"/>
              <w:spacing w:after="150"/>
              <w:ind w:firstLine="450"/>
              <w:jc w:val="both"/>
              <w:rPr>
                <w:rFonts w:ascii="Times New Roman" w:hAnsi="Times New Roman" w:cs="Times New Roman"/>
                <w:sz w:val="24"/>
                <w:szCs w:val="24"/>
                <w:shd w:val="clear" w:color="auto" w:fill="FFFFFF"/>
              </w:rPr>
            </w:pPr>
            <w:r w:rsidRPr="00FB409B">
              <w:rPr>
                <w:rFonts w:ascii="Times New Roman" w:hAnsi="Times New Roman" w:cs="Times New Roman"/>
                <w:sz w:val="24"/>
                <w:szCs w:val="24"/>
                <w:shd w:val="clear" w:color="auto" w:fill="FFFFFF"/>
              </w:rPr>
              <w:t>5. На підставі даних розділів I та II плану розвитку Оператор ГРМ формує розділ III плану розвитку (інвестиційну програму), що має включати опис заходів та необхідних витрат на перший рік плану розвитку, у розрізі таких розділів:</w:t>
            </w:r>
          </w:p>
          <w:p w:rsidR="007C74D1" w:rsidRPr="00FB409B" w:rsidRDefault="007C74D1" w:rsidP="007C74D1">
            <w:pPr>
              <w:shd w:val="clear" w:color="auto" w:fill="FFFFFF"/>
              <w:spacing w:after="150"/>
              <w:ind w:firstLine="450"/>
              <w:jc w:val="both"/>
              <w:rPr>
                <w:rFonts w:ascii="Times New Roman" w:hAnsi="Times New Roman" w:cs="Times New Roman"/>
                <w:i/>
                <w:sz w:val="24"/>
                <w:szCs w:val="24"/>
              </w:rPr>
            </w:pPr>
            <w:r w:rsidRPr="00FB409B">
              <w:rPr>
                <w:rFonts w:ascii="Times New Roman" w:hAnsi="Times New Roman" w:cs="Times New Roman"/>
                <w:i/>
                <w:sz w:val="24"/>
                <w:szCs w:val="24"/>
              </w:rPr>
              <w:t>Таблиця</w:t>
            </w:r>
          </w:p>
          <w:p w:rsidR="007C74D1" w:rsidRPr="00FB409B" w:rsidRDefault="007C74D1" w:rsidP="007C74D1">
            <w:pPr>
              <w:shd w:val="clear" w:color="auto" w:fill="FFFFFF"/>
              <w:spacing w:after="150"/>
              <w:ind w:firstLine="450"/>
              <w:jc w:val="both"/>
              <w:rPr>
                <w:rFonts w:ascii="Times New Roman" w:hAnsi="Times New Roman" w:cs="Times New Roman"/>
                <w:sz w:val="24"/>
                <w:szCs w:val="24"/>
              </w:rPr>
            </w:pPr>
            <w:r w:rsidRPr="00FB409B">
              <w:rPr>
                <w:rFonts w:ascii="Times New Roman" w:hAnsi="Times New Roman" w:cs="Times New Roman"/>
                <w:sz w:val="24"/>
                <w:szCs w:val="24"/>
              </w:rPr>
              <w:t>Фінансування заходів інвестиційної програми Оператора ГРМ планується ліцензіатом за рахунок таких джерел фінансування:</w:t>
            </w:r>
          </w:p>
          <w:p w:rsidR="007C74D1" w:rsidRPr="00FB409B" w:rsidRDefault="007C74D1" w:rsidP="007C74D1">
            <w:pPr>
              <w:shd w:val="clear" w:color="auto" w:fill="FFFFFF"/>
              <w:spacing w:after="150"/>
              <w:ind w:firstLine="450"/>
              <w:jc w:val="both"/>
              <w:rPr>
                <w:rFonts w:ascii="Times New Roman" w:hAnsi="Times New Roman" w:cs="Times New Roman"/>
                <w:sz w:val="24"/>
                <w:szCs w:val="24"/>
              </w:rPr>
            </w:pPr>
            <w:r w:rsidRPr="00FB409B">
              <w:rPr>
                <w:rFonts w:ascii="Times New Roman" w:hAnsi="Times New Roman" w:cs="Times New Roman"/>
                <w:sz w:val="24"/>
                <w:szCs w:val="24"/>
              </w:rPr>
              <w:t>амортизаційних відрахувань, передбачених відповідним тарифом Оператора ГРМ;</w:t>
            </w:r>
          </w:p>
          <w:p w:rsidR="007C74D1" w:rsidRPr="00FB409B" w:rsidRDefault="007C74D1" w:rsidP="007C74D1">
            <w:pPr>
              <w:shd w:val="clear" w:color="auto" w:fill="FFFFFF"/>
              <w:spacing w:after="150"/>
              <w:ind w:firstLine="450"/>
              <w:jc w:val="both"/>
              <w:rPr>
                <w:rFonts w:ascii="Times New Roman" w:hAnsi="Times New Roman" w:cs="Times New Roman"/>
                <w:b/>
                <w:sz w:val="24"/>
                <w:szCs w:val="24"/>
              </w:rPr>
            </w:pPr>
            <w:r w:rsidRPr="00FB409B">
              <w:rPr>
                <w:rFonts w:ascii="Times New Roman" w:hAnsi="Times New Roman" w:cs="Times New Roman"/>
                <w:b/>
                <w:sz w:val="24"/>
                <w:szCs w:val="24"/>
              </w:rPr>
              <w:t>капітальних інвестицій, передбачених відповідним тарифом Оператора ГРМ;</w:t>
            </w:r>
          </w:p>
          <w:p w:rsidR="007C74D1" w:rsidRPr="00FB409B" w:rsidRDefault="007C74D1" w:rsidP="007C74D1">
            <w:pPr>
              <w:shd w:val="clear" w:color="auto" w:fill="FFFFFF"/>
              <w:spacing w:after="150"/>
              <w:ind w:firstLine="450"/>
              <w:jc w:val="both"/>
              <w:rPr>
                <w:rFonts w:ascii="Times New Roman" w:hAnsi="Times New Roman" w:cs="Times New Roman"/>
                <w:b/>
                <w:sz w:val="24"/>
                <w:szCs w:val="24"/>
              </w:rPr>
            </w:pPr>
            <w:r w:rsidRPr="00FB409B">
              <w:rPr>
                <w:rFonts w:ascii="Times New Roman" w:hAnsi="Times New Roman" w:cs="Times New Roman"/>
                <w:b/>
                <w:sz w:val="24"/>
                <w:szCs w:val="24"/>
              </w:rPr>
              <w:t xml:space="preserve">витрат на встановлення індивідуальних лічильників газу населенню / на встановлення інтелектуальних лічильників </w:t>
            </w:r>
            <w:r w:rsidRPr="00FB409B">
              <w:rPr>
                <w:rFonts w:ascii="Times New Roman" w:hAnsi="Times New Roman" w:cs="Times New Roman"/>
                <w:b/>
                <w:sz w:val="24"/>
                <w:szCs w:val="24"/>
              </w:rPr>
              <w:lastRenderedPageBreak/>
              <w:t>газу / на заміну лічильників газу та/або створення обмінного фонду лічильників газу, передбачених  відповідним тарифом Оператора ГРМ;</w:t>
            </w:r>
            <w:bookmarkStart w:id="4" w:name="_Hlk140070968"/>
          </w:p>
          <w:bookmarkEnd w:id="4"/>
          <w:p w:rsidR="000B4186" w:rsidRPr="00FB409B" w:rsidRDefault="007C74D1" w:rsidP="007C74D1">
            <w:pPr>
              <w:shd w:val="clear" w:color="auto" w:fill="FFFFFF"/>
              <w:spacing w:after="150"/>
              <w:ind w:firstLine="450"/>
              <w:jc w:val="both"/>
              <w:rPr>
                <w:rFonts w:ascii="Times New Roman" w:hAnsi="Times New Roman" w:cs="Times New Roman"/>
                <w:sz w:val="24"/>
                <w:szCs w:val="24"/>
              </w:rPr>
            </w:pPr>
            <w:r w:rsidRPr="00FB409B">
              <w:rPr>
                <w:rFonts w:ascii="Times New Roman" w:hAnsi="Times New Roman" w:cs="Times New Roman"/>
                <w:sz w:val="24"/>
                <w:szCs w:val="24"/>
              </w:rPr>
              <w:t>інших джерел, не заборонених законодавством, з обов’язковим обґрунтуванням та розшифруванням таких джерел</w:t>
            </w:r>
          </w:p>
        </w:tc>
        <w:tc>
          <w:tcPr>
            <w:tcW w:w="5812" w:type="dxa"/>
          </w:tcPr>
          <w:p w:rsidR="000B4186" w:rsidRPr="00FB409B" w:rsidRDefault="000B4186" w:rsidP="00DF03E6">
            <w:pPr>
              <w:pStyle w:val="a5"/>
              <w:spacing w:before="0" w:beforeAutospacing="0" w:after="0" w:afterAutospacing="0" w:line="260" w:lineRule="exact"/>
              <w:ind w:firstLine="457"/>
              <w:contextualSpacing/>
              <w:jc w:val="both"/>
              <w:rPr>
                <w:b/>
                <w:i/>
                <w:shd w:val="clear" w:color="auto" w:fill="FFFFFF"/>
                <w:lang w:val="uk-UA"/>
              </w:rPr>
            </w:pPr>
            <w:r w:rsidRPr="00FB409B">
              <w:rPr>
                <w:b/>
                <w:i/>
                <w:shd w:val="clear" w:color="auto" w:fill="FFFFFF"/>
                <w:lang w:val="uk-UA"/>
              </w:rPr>
              <w:lastRenderedPageBreak/>
              <w:t>Пропозиції АТ «КИЇВГАЗ»:</w:t>
            </w:r>
          </w:p>
          <w:p w:rsidR="000B4186" w:rsidRPr="00FB409B" w:rsidRDefault="000B4186" w:rsidP="0032493A">
            <w:pPr>
              <w:shd w:val="clear" w:color="auto" w:fill="FFFFFF"/>
              <w:spacing w:after="150"/>
              <w:ind w:firstLine="450"/>
              <w:jc w:val="both"/>
              <w:rPr>
                <w:rFonts w:ascii="Times New Roman" w:hAnsi="Times New Roman" w:cs="Times New Roman"/>
                <w:sz w:val="24"/>
                <w:szCs w:val="24"/>
                <w:shd w:val="clear" w:color="auto" w:fill="FFFFFF"/>
              </w:rPr>
            </w:pPr>
            <w:r w:rsidRPr="00FB409B">
              <w:rPr>
                <w:rFonts w:ascii="Times New Roman" w:hAnsi="Times New Roman" w:cs="Times New Roman"/>
                <w:sz w:val="24"/>
                <w:szCs w:val="24"/>
                <w:shd w:val="clear" w:color="auto" w:fill="FFFFFF"/>
              </w:rPr>
              <w:t>5. На підставі даних розділів I та II плану розвитку Оператор ГРМ формує розділ III плану розвитку (інвестиційну програму), що має включати опис заходів та необхідних витрат на перший рік плану розвитку, у розрізі таких розділів:</w:t>
            </w:r>
          </w:p>
          <w:p w:rsidR="000B4186" w:rsidRPr="00FB409B" w:rsidRDefault="000B4186" w:rsidP="0032493A">
            <w:pPr>
              <w:shd w:val="clear" w:color="auto" w:fill="FFFFFF"/>
              <w:spacing w:after="150"/>
              <w:ind w:firstLine="450"/>
              <w:jc w:val="both"/>
              <w:rPr>
                <w:rFonts w:ascii="Times New Roman" w:hAnsi="Times New Roman" w:cs="Times New Roman"/>
                <w:i/>
                <w:sz w:val="24"/>
                <w:szCs w:val="24"/>
              </w:rPr>
            </w:pPr>
            <w:r w:rsidRPr="00FB409B">
              <w:rPr>
                <w:rFonts w:ascii="Times New Roman" w:hAnsi="Times New Roman" w:cs="Times New Roman"/>
                <w:i/>
                <w:sz w:val="24"/>
                <w:szCs w:val="24"/>
              </w:rPr>
              <w:t>Таблиця</w:t>
            </w:r>
          </w:p>
          <w:p w:rsidR="000B4186" w:rsidRPr="00FB409B" w:rsidRDefault="000B4186" w:rsidP="0032493A">
            <w:pPr>
              <w:shd w:val="clear" w:color="auto" w:fill="FFFFFF"/>
              <w:spacing w:after="150"/>
              <w:ind w:firstLine="450"/>
              <w:jc w:val="both"/>
              <w:rPr>
                <w:rFonts w:ascii="Times New Roman" w:hAnsi="Times New Roman" w:cs="Times New Roman"/>
                <w:sz w:val="24"/>
                <w:szCs w:val="24"/>
              </w:rPr>
            </w:pPr>
            <w:r w:rsidRPr="00FB409B">
              <w:rPr>
                <w:rFonts w:ascii="Times New Roman" w:hAnsi="Times New Roman" w:cs="Times New Roman"/>
                <w:sz w:val="24"/>
                <w:szCs w:val="24"/>
              </w:rPr>
              <w:t>Фінансування заходів інвестиційної програми Оператора ГРМ планується ліцензіатом за рахунок таких джерел фінансування:</w:t>
            </w:r>
          </w:p>
          <w:p w:rsidR="000B4186" w:rsidRPr="00FB409B" w:rsidRDefault="000B4186" w:rsidP="0032493A">
            <w:pPr>
              <w:shd w:val="clear" w:color="auto" w:fill="FFFFFF"/>
              <w:spacing w:after="150"/>
              <w:ind w:firstLine="450"/>
              <w:jc w:val="both"/>
              <w:rPr>
                <w:rFonts w:ascii="Times New Roman" w:hAnsi="Times New Roman" w:cs="Times New Roman"/>
                <w:sz w:val="24"/>
                <w:szCs w:val="24"/>
              </w:rPr>
            </w:pPr>
            <w:r w:rsidRPr="00FB409B">
              <w:rPr>
                <w:rFonts w:ascii="Times New Roman" w:hAnsi="Times New Roman" w:cs="Times New Roman"/>
                <w:sz w:val="24"/>
                <w:szCs w:val="24"/>
              </w:rPr>
              <w:t>амортизаційних відрахувань, передбачених відповідним тарифом Оператора ГРМ;</w:t>
            </w:r>
          </w:p>
          <w:p w:rsidR="000B4186" w:rsidRPr="00FB409B" w:rsidRDefault="000B4186" w:rsidP="0032493A">
            <w:pPr>
              <w:shd w:val="clear" w:color="auto" w:fill="FFFFFF"/>
              <w:spacing w:after="150"/>
              <w:ind w:firstLine="450"/>
              <w:jc w:val="both"/>
              <w:rPr>
                <w:rFonts w:ascii="Times New Roman" w:hAnsi="Times New Roman" w:cs="Times New Roman"/>
                <w:sz w:val="24"/>
                <w:szCs w:val="24"/>
              </w:rPr>
            </w:pPr>
            <w:r w:rsidRPr="00FB409B">
              <w:rPr>
                <w:rFonts w:ascii="Times New Roman" w:hAnsi="Times New Roman" w:cs="Times New Roman"/>
                <w:sz w:val="24"/>
                <w:szCs w:val="24"/>
              </w:rPr>
              <w:t>капітальних інвестицій, передбачених відповідним тарифом Оператора ГРМ;</w:t>
            </w:r>
          </w:p>
          <w:p w:rsidR="000B4186" w:rsidRPr="00FB409B" w:rsidRDefault="000B4186" w:rsidP="0032493A">
            <w:pPr>
              <w:shd w:val="clear" w:color="auto" w:fill="FFFFFF"/>
              <w:spacing w:after="150"/>
              <w:ind w:firstLine="450"/>
              <w:jc w:val="both"/>
              <w:rPr>
                <w:rFonts w:ascii="Times New Roman" w:hAnsi="Times New Roman" w:cs="Times New Roman"/>
                <w:sz w:val="24"/>
                <w:szCs w:val="24"/>
              </w:rPr>
            </w:pPr>
            <w:r w:rsidRPr="00FB409B">
              <w:rPr>
                <w:rFonts w:ascii="Times New Roman" w:hAnsi="Times New Roman" w:cs="Times New Roman"/>
                <w:sz w:val="24"/>
                <w:szCs w:val="24"/>
              </w:rPr>
              <w:t xml:space="preserve">витрат на встановлення індивідуальних лічильників газу населенню / на встановлення інтелектуальних лічильників газу / на заміну лічильників газу та/або створення обмінного фонду лічильників газу, передбачених  відповідним тарифом Оператора ГРМ/ </w:t>
            </w:r>
            <w:r w:rsidRPr="00FB409B">
              <w:rPr>
                <w:rFonts w:ascii="Times New Roman" w:hAnsi="Times New Roman" w:cs="Times New Roman"/>
                <w:b/>
                <w:sz w:val="24"/>
                <w:szCs w:val="24"/>
              </w:rPr>
              <w:t xml:space="preserve">на заміну </w:t>
            </w:r>
            <w:proofErr w:type="spellStart"/>
            <w:r w:rsidRPr="00FB409B">
              <w:rPr>
                <w:rFonts w:ascii="Times New Roman" w:hAnsi="Times New Roman" w:cs="Times New Roman"/>
                <w:b/>
                <w:iCs/>
                <w:sz w:val="24"/>
                <w:szCs w:val="24"/>
              </w:rPr>
              <w:t>загальнобудинкових</w:t>
            </w:r>
            <w:proofErr w:type="spellEnd"/>
            <w:r w:rsidRPr="00FB409B">
              <w:rPr>
                <w:rFonts w:ascii="Times New Roman" w:hAnsi="Times New Roman" w:cs="Times New Roman"/>
                <w:b/>
                <w:iCs/>
                <w:sz w:val="24"/>
                <w:szCs w:val="24"/>
              </w:rPr>
              <w:t xml:space="preserve"> </w:t>
            </w:r>
            <w:r w:rsidRPr="00FB409B">
              <w:rPr>
                <w:rFonts w:ascii="Times New Roman" w:hAnsi="Times New Roman" w:cs="Times New Roman"/>
                <w:b/>
                <w:iCs/>
                <w:sz w:val="24"/>
                <w:szCs w:val="24"/>
              </w:rPr>
              <w:lastRenderedPageBreak/>
              <w:t>вузлів обліку</w:t>
            </w:r>
            <w:r w:rsidRPr="00FB409B">
              <w:rPr>
                <w:rFonts w:ascii="Times New Roman" w:hAnsi="Times New Roman" w:cs="Times New Roman"/>
                <w:b/>
                <w:sz w:val="24"/>
                <w:szCs w:val="24"/>
              </w:rPr>
              <w:t xml:space="preserve"> газу для населення та/або створення обмінного фонду лічильників газу в </w:t>
            </w:r>
            <w:proofErr w:type="spellStart"/>
            <w:r w:rsidRPr="00FB409B">
              <w:rPr>
                <w:rFonts w:ascii="Times New Roman" w:hAnsi="Times New Roman" w:cs="Times New Roman"/>
                <w:b/>
                <w:sz w:val="24"/>
                <w:szCs w:val="24"/>
              </w:rPr>
              <w:t>т.ч</w:t>
            </w:r>
            <w:proofErr w:type="spellEnd"/>
            <w:r w:rsidRPr="00FB409B">
              <w:rPr>
                <w:rFonts w:ascii="Times New Roman" w:hAnsi="Times New Roman" w:cs="Times New Roman"/>
                <w:b/>
                <w:sz w:val="24"/>
                <w:szCs w:val="24"/>
              </w:rPr>
              <w:t>.</w:t>
            </w:r>
            <w:r w:rsidR="00281AC9" w:rsidRPr="00FB409B">
              <w:rPr>
                <w:rFonts w:ascii="Times New Roman" w:hAnsi="Times New Roman" w:cs="Times New Roman"/>
                <w:b/>
                <w:sz w:val="24"/>
                <w:szCs w:val="24"/>
              </w:rPr>
              <w:t>  </w:t>
            </w:r>
            <w:proofErr w:type="spellStart"/>
            <w:r w:rsidRPr="00FB409B">
              <w:rPr>
                <w:rFonts w:ascii="Times New Roman" w:hAnsi="Times New Roman" w:cs="Times New Roman"/>
                <w:b/>
                <w:iCs/>
                <w:sz w:val="24"/>
                <w:szCs w:val="24"/>
              </w:rPr>
              <w:t>загальнобудинкових</w:t>
            </w:r>
            <w:proofErr w:type="spellEnd"/>
            <w:r w:rsidRPr="00FB409B">
              <w:rPr>
                <w:rFonts w:ascii="Times New Roman" w:hAnsi="Times New Roman" w:cs="Times New Roman"/>
                <w:b/>
                <w:iCs/>
                <w:sz w:val="24"/>
                <w:szCs w:val="24"/>
              </w:rPr>
              <w:t xml:space="preserve"> вузлів</w:t>
            </w:r>
            <w:r w:rsidRPr="00FB409B">
              <w:rPr>
                <w:rFonts w:ascii="Times New Roman" w:hAnsi="Times New Roman" w:cs="Times New Roman"/>
                <w:b/>
                <w:sz w:val="24"/>
                <w:szCs w:val="24"/>
              </w:rPr>
              <w:t xml:space="preserve"> </w:t>
            </w:r>
            <w:r w:rsidRPr="00FB409B">
              <w:rPr>
                <w:rFonts w:ascii="Times New Roman" w:hAnsi="Times New Roman" w:cs="Times New Roman"/>
                <w:b/>
                <w:iCs/>
                <w:sz w:val="24"/>
                <w:szCs w:val="24"/>
              </w:rPr>
              <w:t>обліку</w:t>
            </w:r>
            <w:r w:rsidRPr="00FB409B">
              <w:rPr>
                <w:rFonts w:ascii="Times New Roman" w:hAnsi="Times New Roman" w:cs="Times New Roman"/>
                <w:b/>
                <w:sz w:val="24"/>
                <w:szCs w:val="24"/>
              </w:rPr>
              <w:t xml:space="preserve"> газу для населення</w:t>
            </w:r>
            <w:r w:rsidRPr="00FB409B">
              <w:rPr>
                <w:rFonts w:ascii="Times New Roman" w:hAnsi="Times New Roman" w:cs="Times New Roman"/>
                <w:sz w:val="24"/>
                <w:szCs w:val="24"/>
              </w:rPr>
              <w:t>, передбачених  відповідним тарифом Оператора ГРМ;</w:t>
            </w:r>
          </w:p>
          <w:p w:rsidR="000B4186" w:rsidRPr="00FB409B" w:rsidRDefault="000B4186" w:rsidP="0032493A">
            <w:pPr>
              <w:shd w:val="clear" w:color="auto" w:fill="FFFFFF"/>
              <w:spacing w:after="150"/>
              <w:ind w:firstLine="450"/>
              <w:jc w:val="both"/>
              <w:rPr>
                <w:rFonts w:ascii="Times New Roman" w:hAnsi="Times New Roman" w:cs="Times New Roman"/>
                <w:sz w:val="24"/>
                <w:szCs w:val="24"/>
              </w:rPr>
            </w:pPr>
            <w:r w:rsidRPr="00FB409B">
              <w:rPr>
                <w:rFonts w:ascii="Times New Roman" w:hAnsi="Times New Roman" w:cs="Times New Roman"/>
                <w:sz w:val="24"/>
                <w:szCs w:val="24"/>
              </w:rPr>
              <w:t>інших джерел, не заборонених законодавством, з обов’язковим обґрунтуванням та розшифруванням таких джерел.</w:t>
            </w:r>
          </w:p>
          <w:p w:rsidR="000B4186" w:rsidRPr="00FB409B" w:rsidRDefault="000B4186" w:rsidP="00DF03E6">
            <w:pPr>
              <w:shd w:val="clear" w:color="auto" w:fill="FFFFFF"/>
              <w:spacing w:line="260" w:lineRule="exact"/>
              <w:ind w:firstLine="457"/>
              <w:jc w:val="both"/>
              <w:rPr>
                <w:rFonts w:ascii="Times New Roman" w:hAnsi="Times New Roman" w:cs="Times New Roman"/>
                <w:b/>
                <w:i/>
                <w:sz w:val="24"/>
                <w:szCs w:val="24"/>
              </w:rPr>
            </w:pPr>
            <w:proofErr w:type="spellStart"/>
            <w:r w:rsidRPr="00FB409B">
              <w:rPr>
                <w:rFonts w:ascii="Times New Roman" w:hAnsi="Times New Roman" w:cs="Times New Roman"/>
                <w:b/>
                <w:i/>
                <w:sz w:val="24"/>
                <w:szCs w:val="24"/>
              </w:rPr>
              <w:t>Обгрунтування</w:t>
            </w:r>
            <w:proofErr w:type="spellEnd"/>
            <w:r w:rsidRPr="00FB409B">
              <w:rPr>
                <w:rFonts w:ascii="Times New Roman" w:hAnsi="Times New Roman" w:cs="Times New Roman"/>
                <w:b/>
                <w:i/>
                <w:sz w:val="24"/>
                <w:szCs w:val="24"/>
              </w:rPr>
              <w:t xml:space="preserve"> </w:t>
            </w:r>
            <w:r w:rsidRPr="00FB409B">
              <w:rPr>
                <w:rFonts w:ascii="Times New Roman" w:hAnsi="Times New Roman" w:cs="Times New Roman"/>
                <w:b/>
                <w:i/>
                <w:sz w:val="24"/>
                <w:szCs w:val="24"/>
                <w:shd w:val="clear" w:color="auto" w:fill="FFFFFF"/>
              </w:rPr>
              <w:t>АТ «КИЇВГАЗ»:</w:t>
            </w:r>
          </w:p>
          <w:p w:rsidR="000B4186" w:rsidRPr="00FB409B" w:rsidRDefault="000B4186" w:rsidP="00CC5F8D">
            <w:pPr>
              <w:shd w:val="clear" w:color="auto" w:fill="FFFFFF"/>
              <w:spacing w:after="150"/>
              <w:ind w:firstLine="450"/>
              <w:jc w:val="both"/>
              <w:rPr>
                <w:rFonts w:ascii="Times New Roman" w:hAnsi="Times New Roman" w:cs="Times New Roman"/>
                <w:sz w:val="24"/>
                <w:szCs w:val="24"/>
                <w:shd w:val="clear" w:color="auto" w:fill="FFFFFF"/>
              </w:rPr>
            </w:pPr>
            <w:r w:rsidRPr="00FB409B">
              <w:rPr>
                <w:rFonts w:ascii="Times New Roman" w:hAnsi="Times New Roman" w:cs="Times New Roman"/>
                <w:i/>
                <w:iCs/>
                <w:sz w:val="24"/>
                <w:szCs w:val="24"/>
              </w:rPr>
              <w:t xml:space="preserve">Оснащення </w:t>
            </w:r>
            <w:proofErr w:type="spellStart"/>
            <w:r w:rsidRPr="00FB409B">
              <w:rPr>
                <w:rFonts w:ascii="Times New Roman" w:hAnsi="Times New Roman" w:cs="Times New Roman"/>
                <w:i/>
                <w:iCs/>
                <w:sz w:val="24"/>
                <w:szCs w:val="24"/>
              </w:rPr>
              <w:t>загальнобудинковими</w:t>
            </w:r>
            <w:proofErr w:type="spellEnd"/>
            <w:r w:rsidRPr="00FB409B">
              <w:rPr>
                <w:rFonts w:ascii="Times New Roman" w:hAnsi="Times New Roman" w:cs="Times New Roman"/>
                <w:i/>
                <w:iCs/>
                <w:sz w:val="24"/>
                <w:szCs w:val="24"/>
              </w:rPr>
              <w:t xml:space="preserve"> вузлами обліку було передбачено планами розвитку ГРС у попередні періоди. Відповідно, як і індивідуальні лічильники газу так і </w:t>
            </w:r>
            <w:proofErr w:type="spellStart"/>
            <w:r w:rsidRPr="00FB409B">
              <w:rPr>
                <w:rFonts w:ascii="Times New Roman" w:hAnsi="Times New Roman" w:cs="Times New Roman"/>
                <w:i/>
                <w:iCs/>
                <w:sz w:val="24"/>
                <w:szCs w:val="24"/>
              </w:rPr>
              <w:t>загальнобудинкові</w:t>
            </w:r>
            <w:proofErr w:type="spellEnd"/>
            <w:r w:rsidRPr="00FB409B">
              <w:rPr>
                <w:rFonts w:ascii="Times New Roman" w:hAnsi="Times New Roman" w:cs="Times New Roman"/>
                <w:i/>
                <w:iCs/>
                <w:sz w:val="24"/>
                <w:szCs w:val="24"/>
              </w:rPr>
              <w:t xml:space="preserve"> вузли обліку потребують замін</w:t>
            </w:r>
            <w:r w:rsidR="00B27EC6" w:rsidRPr="00FB409B">
              <w:rPr>
                <w:rFonts w:ascii="Times New Roman" w:hAnsi="Times New Roman" w:cs="Times New Roman"/>
                <w:i/>
                <w:iCs/>
                <w:sz w:val="24"/>
                <w:szCs w:val="24"/>
              </w:rPr>
              <w:t>и</w:t>
            </w:r>
            <w:r w:rsidRPr="00FB409B">
              <w:rPr>
                <w:rFonts w:ascii="Times New Roman" w:hAnsi="Times New Roman" w:cs="Times New Roman"/>
                <w:i/>
                <w:iCs/>
                <w:sz w:val="24"/>
                <w:szCs w:val="24"/>
              </w:rPr>
              <w:t xml:space="preserve"> та/або створення обмінного фонду</w:t>
            </w:r>
          </w:p>
        </w:tc>
        <w:tc>
          <w:tcPr>
            <w:tcW w:w="4678" w:type="dxa"/>
          </w:tcPr>
          <w:p w:rsidR="00A8167E" w:rsidRPr="00FB409B" w:rsidRDefault="00A8167E" w:rsidP="00A8167E">
            <w:pPr>
              <w:jc w:val="both"/>
              <w:rPr>
                <w:rFonts w:ascii="Times New Roman" w:eastAsia="Times New Roman" w:hAnsi="Times New Roman" w:cs="Times New Roman"/>
                <w:b/>
                <w:sz w:val="24"/>
                <w:szCs w:val="24"/>
              </w:rPr>
            </w:pPr>
            <w:r w:rsidRPr="00FB409B">
              <w:rPr>
                <w:rFonts w:ascii="Times New Roman" w:eastAsia="Times New Roman" w:hAnsi="Times New Roman" w:cs="Times New Roman"/>
                <w:b/>
                <w:sz w:val="24"/>
                <w:szCs w:val="24"/>
              </w:rPr>
              <w:lastRenderedPageBreak/>
              <w:t>Попередньо відхиляється</w:t>
            </w:r>
          </w:p>
          <w:p w:rsidR="00A8167E" w:rsidRPr="00FB409B" w:rsidRDefault="003C0239" w:rsidP="00A8167E">
            <w:pPr>
              <w:rPr>
                <w:rFonts w:ascii="Times New Roman" w:hAnsi="Times New Roman" w:cs="Times New Roman"/>
                <w:iCs/>
                <w:sz w:val="24"/>
                <w:szCs w:val="24"/>
              </w:rPr>
            </w:pPr>
            <w:r w:rsidRPr="00FB409B">
              <w:rPr>
                <w:rFonts w:ascii="Times New Roman" w:hAnsi="Times New Roman" w:cs="Times New Roman"/>
                <w:iCs/>
                <w:sz w:val="24"/>
                <w:szCs w:val="24"/>
              </w:rPr>
              <w:t>Н</w:t>
            </w:r>
            <w:r w:rsidR="00A8167E" w:rsidRPr="00FB409B">
              <w:rPr>
                <w:rFonts w:ascii="Times New Roman" w:hAnsi="Times New Roman" w:cs="Times New Roman"/>
                <w:iCs/>
                <w:sz w:val="24"/>
                <w:szCs w:val="24"/>
              </w:rPr>
              <w:t xml:space="preserve">орма </w:t>
            </w:r>
            <w:r w:rsidR="00984133" w:rsidRPr="00FB409B">
              <w:rPr>
                <w:rFonts w:ascii="Times New Roman" w:hAnsi="Times New Roman" w:cs="Times New Roman"/>
                <w:iCs/>
                <w:sz w:val="24"/>
                <w:szCs w:val="24"/>
              </w:rPr>
              <w:t>передбачає узагальнене формулювання</w:t>
            </w:r>
            <w:r w:rsidR="0041009A" w:rsidRPr="00FB409B">
              <w:rPr>
                <w:rFonts w:ascii="Times New Roman" w:hAnsi="Times New Roman" w:cs="Times New Roman"/>
                <w:iCs/>
                <w:sz w:val="24"/>
                <w:szCs w:val="24"/>
              </w:rPr>
              <w:t xml:space="preserve"> </w:t>
            </w:r>
            <w:r w:rsidR="00F942F6" w:rsidRPr="00FB409B">
              <w:rPr>
                <w:rFonts w:ascii="Times New Roman" w:hAnsi="Times New Roman" w:cs="Times New Roman"/>
                <w:iCs/>
                <w:sz w:val="24"/>
                <w:szCs w:val="24"/>
              </w:rPr>
              <w:t xml:space="preserve">щодо </w:t>
            </w:r>
            <w:r w:rsidR="00544925" w:rsidRPr="00FB409B">
              <w:rPr>
                <w:rFonts w:ascii="Times New Roman" w:hAnsi="Times New Roman" w:cs="Times New Roman"/>
                <w:iCs/>
                <w:sz w:val="24"/>
                <w:szCs w:val="24"/>
              </w:rPr>
              <w:t>лічильників газу</w:t>
            </w:r>
            <w:r w:rsidR="00A8167E" w:rsidRPr="00FB409B">
              <w:rPr>
                <w:rFonts w:ascii="Times New Roman" w:hAnsi="Times New Roman" w:cs="Times New Roman"/>
                <w:iCs/>
                <w:sz w:val="24"/>
                <w:szCs w:val="24"/>
              </w:rPr>
              <w:t xml:space="preserve"> </w:t>
            </w:r>
            <w:r w:rsidR="00514AF3" w:rsidRPr="00FB409B">
              <w:rPr>
                <w:rFonts w:ascii="Times New Roman" w:hAnsi="Times New Roman" w:cs="Times New Roman"/>
                <w:iCs/>
                <w:sz w:val="24"/>
                <w:szCs w:val="24"/>
              </w:rPr>
              <w:t>на</w:t>
            </w:r>
            <w:r w:rsidR="00A8167E" w:rsidRPr="00FB409B">
              <w:rPr>
                <w:rFonts w:ascii="Times New Roman" w:hAnsi="Times New Roman" w:cs="Times New Roman"/>
                <w:iCs/>
                <w:sz w:val="24"/>
                <w:szCs w:val="24"/>
              </w:rPr>
              <w:t xml:space="preserve"> замін</w:t>
            </w:r>
            <w:r w:rsidR="00514AF3" w:rsidRPr="00FB409B">
              <w:rPr>
                <w:rFonts w:ascii="Times New Roman" w:hAnsi="Times New Roman" w:cs="Times New Roman"/>
                <w:iCs/>
                <w:sz w:val="24"/>
                <w:szCs w:val="24"/>
              </w:rPr>
              <w:t>у</w:t>
            </w:r>
            <w:r w:rsidR="00A8167E" w:rsidRPr="00FB409B">
              <w:rPr>
                <w:rFonts w:ascii="Times New Roman" w:hAnsi="Times New Roman" w:cs="Times New Roman"/>
                <w:iCs/>
                <w:sz w:val="24"/>
                <w:szCs w:val="24"/>
              </w:rPr>
              <w:t xml:space="preserve"> </w:t>
            </w:r>
            <w:r w:rsidR="00514AF3" w:rsidRPr="00FB409B">
              <w:rPr>
                <w:rFonts w:ascii="Times New Roman" w:hAnsi="Times New Roman" w:cs="Times New Roman"/>
                <w:iCs/>
                <w:sz w:val="24"/>
                <w:szCs w:val="24"/>
              </w:rPr>
              <w:t>та/або створення обмінного фонду</w:t>
            </w:r>
            <w:r w:rsidR="008C2C89" w:rsidRPr="00FB409B">
              <w:rPr>
                <w:rFonts w:ascii="Times New Roman" w:hAnsi="Times New Roman" w:cs="Times New Roman"/>
                <w:iCs/>
                <w:sz w:val="24"/>
                <w:szCs w:val="24"/>
              </w:rPr>
              <w:t xml:space="preserve"> та не потребує </w:t>
            </w:r>
            <w:r w:rsidR="00AD6907" w:rsidRPr="00FB409B">
              <w:rPr>
                <w:rFonts w:ascii="Times New Roman" w:hAnsi="Times New Roman" w:cs="Times New Roman"/>
                <w:iCs/>
                <w:sz w:val="24"/>
                <w:szCs w:val="24"/>
              </w:rPr>
              <w:t>подальш</w:t>
            </w:r>
            <w:r w:rsidR="008C2C89" w:rsidRPr="00FB409B">
              <w:rPr>
                <w:rFonts w:ascii="Times New Roman" w:hAnsi="Times New Roman" w:cs="Times New Roman"/>
                <w:iCs/>
                <w:sz w:val="24"/>
                <w:szCs w:val="24"/>
              </w:rPr>
              <w:t>ої</w:t>
            </w:r>
            <w:r w:rsidR="00AD6907" w:rsidRPr="00FB409B">
              <w:rPr>
                <w:rFonts w:ascii="Times New Roman" w:hAnsi="Times New Roman" w:cs="Times New Roman"/>
                <w:iCs/>
                <w:sz w:val="24"/>
                <w:szCs w:val="24"/>
              </w:rPr>
              <w:t xml:space="preserve"> </w:t>
            </w:r>
            <w:r w:rsidR="0037299C" w:rsidRPr="00FB409B">
              <w:rPr>
                <w:rFonts w:ascii="Times New Roman" w:hAnsi="Times New Roman" w:cs="Times New Roman"/>
                <w:iCs/>
                <w:sz w:val="24"/>
                <w:szCs w:val="24"/>
              </w:rPr>
              <w:t>деталі</w:t>
            </w:r>
            <w:r w:rsidR="00AD6907" w:rsidRPr="00FB409B">
              <w:rPr>
                <w:rFonts w:ascii="Times New Roman" w:hAnsi="Times New Roman" w:cs="Times New Roman"/>
                <w:iCs/>
                <w:sz w:val="24"/>
                <w:szCs w:val="24"/>
              </w:rPr>
              <w:t>заці</w:t>
            </w:r>
            <w:r w:rsidR="008C2C89" w:rsidRPr="00FB409B">
              <w:rPr>
                <w:rFonts w:ascii="Times New Roman" w:hAnsi="Times New Roman" w:cs="Times New Roman"/>
                <w:iCs/>
                <w:sz w:val="24"/>
                <w:szCs w:val="24"/>
              </w:rPr>
              <w:t>ї.</w:t>
            </w:r>
            <w:r w:rsidR="0037299C" w:rsidRPr="00FB409B">
              <w:rPr>
                <w:rFonts w:ascii="Times New Roman" w:hAnsi="Times New Roman" w:cs="Times New Roman"/>
                <w:iCs/>
                <w:sz w:val="24"/>
                <w:szCs w:val="24"/>
              </w:rPr>
              <w:t xml:space="preserve"> </w:t>
            </w:r>
          </w:p>
          <w:p w:rsidR="000B4186" w:rsidRPr="00FB409B" w:rsidRDefault="000B4186" w:rsidP="0032493A">
            <w:pPr>
              <w:rPr>
                <w:rFonts w:ascii="Times New Roman" w:eastAsia="Calibri" w:hAnsi="Times New Roman" w:cs="Times New Roman"/>
                <w:b/>
                <w:sz w:val="24"/>
                <w:szCs w:val="24"/>
                <w:lang w:eastAsia="ru-RU"/>
              </w:rPr>
            </w:pPr>
          </w:p>
          <w:p w:rsidR="005500FE" w:rsidRPr="00FB409B" w:rsidRDefault="005500FE" w:rsidP="0032493A">
            <w:pPr>
              <w:rPr>
                <w:rFonts w:ascii="Times New Roman" w:eastAsia="Calibri" w:hAnsi="Times New Roman" w:cs="Times New Roman"/>
                <w:b/>
                <w:sz w:val="24"/>
                <w:szCs w:val="24"/>
                <w:lang w:eastAsia="ru-RU"/>
              </w:rPr>
            </w:pPr>
          </w:p>
          <w:p w:rsidR="000B4186" w:rsidRPr="00FB409B" w:rsidRDefault="000B4186" w:rsidP="00996F82">
            <w:pPr>
              <w:rPr>
                <w:rFonts w:ascii="Times New Roman" w:hAnsi="Times New Roman" w:cs="Times New Roman"/>
                <w:iCs/>
                <w:sz w:val="24"/>
                <w:szCs w:val="24"/>
              </w:rPr>
            </w:pPr>
          </w:p>
        </w:tc>
      </w:tr>
      <w:tr w:rsidR="00FB409B" w:rsidRPr="00FB409B" w:rsidTr="0056288F">
        <w:trPr>
          <w:trHeight w:val="1307"/>
          <w:jc w:val="center"/>
        </w:trPr>
        <w:tc>
          <w:tcPr>
            <w:tcW w:w="5098" w:type="dxa"/>
          </w:tcPr>
          <w:p w:rsidR="007C74D1" w:rsidRPr="00FB409B" w:rsidRDefault="007C74D1" w:rsidP="007C74D1">
            <w:pPr>
              <w:shd w:val="clear" w:color="auto" w:fill="FFFFFF"/>
              <w:ind w:firstLine="450"/>
              <w:jc w:val="both"/>
              <w:rPr>
                <w:rFonts w:ascii="Times New Roman" w:hAnsi="Times New Roman" w:cs="Times New Roman"/>
                <w:sz w:val="24"/>
                <w:szCs w:val="24"/>
              </w:rPr>
            </w:pPr>
            <w:r w:rsidRPr="00FB409B">
              <w:rPr>
                <w:rFonts w:ascii="Times New Roman" w:hAnsi="Times New Roman" w:cs="Times New Roman"/>
                <w:sz w:val="24"/>
                <w:szCs w:val="24"/>
              </w:rPr>
              <w:t>12. План розвитку формується із зазначенням обсягу фінансування без урахування податку на додану вартість.</w:t>
            </w:r>
          </w:p>
          <w:p w:rsidR="007C74D1" w:rsidRPr="00FB409B" w:rsidRDefault="007C74D1" w:rsidP="007C74D1">
            <w:pPr>
              <w:shd w:val="clear" w:color="auto" w:fill="FFFFFF"/>
              <w:ind w:firstLine="450"/>
              <w:jc w:val="both"/>
              <w:rPr>
                <w:rFonts w:ascii="Times New Roman" w:hAnsi="Times New Roman" w:cs="Times New Roman"/>
                <w:sz w:val="24"/>
                <w:szCs w:val="24"/>
                <w:shd w:val="clear" w:color="auto" w:fill="FFFFFF"/>
              </w:rPr>
            </w:pPr>
            <w:r w:rsidRPr="00FB409B">
              <w:rPr>
                <w:rFonts w:ascii="Times New Roman" w:hAnsi="Times New Roman" w:cs="Times New Roman"/>
                <w:sz w:val="24"/>
                <w:szCs w:val="24"/>
              </w:rPr>
              <w:t xml:space="preserve">Числова інформація у плані розвитку та у </w:t>
            </w:r>
            <w:r w:rsidRPr="00FB409B">
              <w:rPr>
                <w:rFonts w:ascii="Times New Roman" w:hAnsi="Times New Roman" w:cs="Times New Roman"/>
                <w:b/>
                <w:sz w:val="24"/>
                <w:szCs w:val="24"/>
              </w:rPr>
              <w:t>звітній інформації</w:t>
            </w:r>
            <w:r w:rsidRPr="00FB409B">
              <w:rPr>
                <w:rFonts w:ascii="Times New Roman" w:hAnsi="Times New Roman" w:cs="Times New Roman"/>
                <w:sz w:val="24"/>
                <w:szCs w:val="24"/>
              </w:rPr>
              <w:t xml:space="preserve"> щодо його виконання зазначається в тисячах гривень  </w:t>
            </w:r>
            <w:r w:rsidRPr="00FB409B">
              <w:rPr>
                <w:rFonts w:ascii="Times New Roman" w:hAnsi="Times New Roman" w:cs="Times New Roman"/>
                <w:b/>
                <w:sz w:val="24"/>
                <w:szCs w:val="24"/>
              </w:rPr>
              <w:t xml:space="preserve">з точністю до одного </w:t>
            </w:r>
            <w:proofErr w:type="spellStart"/>
            <w:r w:rsidRPr="00FB409B">
              <w:rPr>
                <w:rFonts w:ascii="Times New Roman" w:hAnsi="Times New Roman" w:cs="Times New Roman"/>
                <w:b/>
                <w:sz w:val="24"/>
                <w:szCs w:val="24"/>
              </w:rPr>
              <w:t>знака</w:t>
            </w:r>
            <w:proofErr w:type="spellEnd"/>
            <w:r w:rsidRPr="00FB409B">
              <w:rPr>
                <w:rFonts w:ascii="Times New Roman" w:hAnsi="Times New Roman" w:cs="Times New Roman"/>
                <w:b/>
                <w:sz w:val="24"/>
                <w:szCs w:val="24"/>
              </w:rPr>
              <w:t xml:space="preserve"> після коми.</w:t>
            </w:r>
          </w:p>
        </w:tc>
        <w:tc>
          <w:tcPr>
            <w:tcW w:w="5812" w:type="dxa"/>
          </w:tcPr>
          <w:p w:rsidR="007C74D1" w:rsidRPr="00FB409B" w:rsidRDefault="00DF03E6" w:rsidP="00DF03E6">
            <w:pPr>
              <w:pStyle w:val="a5"/>
              <w:spacing w:before="0" w:beforeAutospacing="0" w:after="0" w:afterAutospacing="0" w:line="260" w:lineRule="exact"/>
              <w:ind w:firstLine="457"/>
              <w:contextualSpacing/>
              <w:jc w:val="both"/>
              <w:rPr>
                <w:b/>
                <w:i/>
                <w:shd w:val="clear" w:color="auto" w:fill="FFFFFF"/>
                <w:lang w:val="uk-UA"/>
              </w:rPr>
            </w:pPr>
            <w:r w:rsidRPr="00FB409B">
              <w:rPr>
                <w:b/>
                <w:i/>
                <w:lang w:val="uk-UA"/>
              </w:rPr>
              <w:t>Зауваження не надходили</w:t>
            </w:r>
          </w:p>
        </w:tc>
        <w:tc>
          <w:tcPr>
            <w:tcW w:w="4678" w:type="dxa"/>
          </w:tcPr>
          <w:p w:rsidR="007C74D1" w:rsidRPr="00FB409B" w:rsidRDefault="007C74D1" w:rsidP="0032493A">
            <w:pPr>
              <w:ind w:firstLine="284"/>
              <w:rPr>
                <w:rFonts w:ascii="Times New Roman" w:hAnsi="Times New Roman" w:cs="Times New Roman"/>
                <w:iCs/>
                <w:sz w:val="24"/>
                <w:szCs w:val="24"/>
              </w:rPr>
            </w:pPr>
          </w:p>
        </w:tc>
      </w:tr>
      <w:tr w:rsidR="00FB409B" w:rsidRPr="00FB409B" w:rsidTr="00455D86">
        <w:trPr>
          <w:jc w:val="center"/>
        </w:trPr>
        <w:tc>
          <w:tcPr>
            <w:tcW w:w="15588" w:type="dxa"/>
            <w:gridSpan w:val="3"/>
          </w:tcPr>
          <w:p w:rsidR="00CE18C9" w:rsidRPr="00FB409B" w:rsidRDefault="007A3564" w:rsidP="00202E08">
            <w:pPr>
              <w:pStyle w:val="a5"/>
              <w:spacing w:before="60" w:beforeAutospacing="0" w:after="60" w:afterAutospacing="0"/>
              <w:ind w:firstLine="567"/>
              <w:jc w:val="center"/>
              <w:rPr>
                <w:b/>
                <w:lang w:val="uk-UA"/>
              </w:rPr>
            </w:pPr>
            <w:r w:rsidRPr="00FB409B">
              <w:rPr>
                <w:b/>
                <w:lang w:val="uk-UA"/>
              </w:rPr>
              <w:t>5. Виконання плану розвитку</w:t>
            </w:r>
          </w:p>
        </w:tc>
      </w:tr>
      <w:tr w:rsidR="00FB409B" w:rsidRPr="00FB409B" w:rsidTr="0056288F">
        <w:trPr>
          <w:jc w:val="center"/>
        </w:trPr>
        <w:tc>
          <w:tcPr>
            <w:tcW w:w="5098" w:type="dxa"/>
          </w:tcPr>
          <w:p w:rsidR="00B01FF7" w:rsidRPr="00FB409B" w:rsidRDefault="00B01FF7" w:rsidP="0032493A">
            <w:pPr>
              <w:pStyle w:val="rvps2"/>
              <w:shd w:val="clear" w:color="auto" w:fill="FFFFFF"/>
              <w:spacing w:before="0" w:beforeAutospacing="0" w:after="0" w:afterAutospacing="0"/>
              <w:ind w:firstLine="709"/>
              <w:jc w:val="both"/>
              <w:rPr>
                <w:lang w:val="uk-UA"/>
              </w:rPr>
            </w:pPr>
          </w:p>
          <w:p w:rsidR="000B4186" w:rsidRPr="00FB409B" w:rsidRDefault="000B4186" w:rsidP="0032493A">
            <w:pPr>
              <w:pStyle w:val="rvps2"/>
              <w:shd w:val="clear" w:color="auto" w:fill="FFFFFF"/>
              <w:spacing w:before="0" w:beforeAutospacing="0" w:after="0" w:afterAutospacing="0"/>
              <w:ind w:firstLine="709"/>
              <w:jc w:val="both"/>
              <w:rPr>
                <w:lang w:val="uk-UA"/>
              </w:rPr>
            </w:pPr>
            <w:r w:rsidRPr="00FB409B">
              <w:rPr>
                <w:lang w:val="uk-UA"/>
              </w:rPr>
              <w:t>2.  Виконаними вважаються об'єкти, які введені в експлуатацію відповідно до вимог чинного законодавства, прийняті на баланс та щодо яких здійснено повне фінансування, що підтверджено такими документами:</w:t>
            </w:r>
          </w:p>
          <w:p w:rsidR="000B4186" w:rsidRPr="00FB409B" w:rsidRDefault="000B4186" w:rsidP="0032493A">
            <w:pPr>
              <w:pStyle w:val="rvps2"/>
              <w:shd w:val="clear" w:color="auto" w:fill="FFFFFF"/>
              <w:spacing w:before="0" w:beforeAutospacing="0" w:after="0" w:afterAutospacing="0"/>
              <w:ind w:firstLine="709"/>
              <w:jc w:val="both"/>
              <w:rPr>
                <w:lang w:val="uk-UA"/>
              </w:rPr>
            </w:pPr>
          </w:p>
          <w:p w:rsidR="000B4186" w:rsidRPr="00FB409B" w:rsidRDefault="000B4186" w:rsidP="0032493A">
            <w:pPr>
              <w:pStyle w:val="rvps2"/>
              <w:shd w:val="clear" w:color="auto" w:fill="FFFFFF"/>
              <w:spacing w:before="0" w:beforeAutospacing="0" w:after="0" w:afterAutospacing="0"/>
              <w:ind w:firstLine="709"/>
              <w:jc w:val="both"/>
              <w:rPr>
                <w:lang w:val="uk-UA"/>
              </w:rPr>
            </w:pPr>
            <w:r w:rsidRPr="00FB409B">
              <w:rPr>
                <w:lang w:val="uk-UA"/>
              </w:rPr>
              <w:t>1)  для необоротних активів, а саме основних засобів та інших необоротних матеріальних активів:</w:t>
            </w:r>
          </w:p>
          <w:p w:rsidR="000B4186" w:rsidRPr="00FB409B" w:rsidRDefault="000B4186" w:rsidP="008F4D6E">
            <w:pPr>
              <w:pStyle w:val="rvps2"/>
              <w:shd w:val="clear" w:color="auto" w:fill="FFFFFF"/>
              <w:spacing w:before="120" w:beforeAutospacing="0" w:after="0" w:afterAutospacing="0"/>
              <w:ind w:firstLine="709"/>
              <w:jc w:val="both"/>
              <w:rPr>
                <w:lang w:val="uk-UA"/>
              </w:rPr>
            </w:pPr>
            <w:r w:rsidRPr="00FB409B">
              <w:rPr>
                <w:lang w:val="uk-UA"/>
              </w:rPr>
              <w:t xml:space="preserve">акт виконаних робіт/акт приймання-передачі наданих послуг, та/або акт введення в експлуатацію основних засобів, та/або акт </w:t>
            </w:r>
            <w:r w:rsidRPr="00FB409B">
              <w:rPr>
                <w:lang w:val="uk-UA"/>
              </w:rPr>
              <w:lastRenderedPageBreak/>
              <w:t>готовності об’єкта до експлуатації, та/або сертифікат (декларація), виданий відповідними органами державного архітектурно-будівельного контролю, та/або інші первинні документи відповідно до стандартів бухгалтерського обліку, що підтверджують прийняття основних засобів на баланс;</w:t>
            </w:r>
          </w:p>
          <w:p w:rsidR="000B4186" w:rsidRPr="00FB409B" w:rsidRDefault="000B4186" w:rsidP="0032493A">
            <w:pPr>
              <w:pStyle w:val="rvps2"/>
              <w:shd w:val="clear" w:color="auto" w:fill="FFFFFF"/>
              <w:spacing w:before="0" w:beforeAutospacing="0" w:after="0" w:afterAutospacing="0"/>
              <w:ind w:firstLine="709"/>
              <w:jc w:val="both"/>
              <w:rPr>
                <w:lang w:val="uk-UA"/>
              </w:rPr>
            </w:pPr>
            <w:r w:rsidRPr="00FB409B">
              <w:rPr>
                <w:lang w:val="uk-UA"/>
              </w:rPr>
              <w:t>платіжні доручення та/або інші документи, що підтверджують здійснення оплати;</w:t>
            </w:r>
          </w:p>
          <w:p w:rsidR="000B4186" w:rsidRPr="00FB409B" w:rsidRDefault="000B4186" w:rsidP="0032493A">
            <w:pPr>
              <w:pStyle w:val="rvps2"/>
              <w:shd w:val="clear" w:color="auto" w:fill="FFFFFF"/>
              <w:spacing w:before="0" w:beforeAutospacing="0" w:after="0" w:afterAutospacing="0"/>
              <w:ind w:firstLine="709"/>
              <w:jc w:val="both"/>
              <w:rPr>
                <w:lang w:val="uk-UA"/>
              </w:rPr>
            </w:pPr>
          </w:p>
          <w:p w:rsidR="000B4186" w:rsidRPr="00FB409B" w:rsidRDefault="000B4186" w:rsidP="008F4D6E">
            <w:pPr>
              <w:pStyle w:val="rvps2"/>
              <w:shd w:val="clear" w:color="auto" w:fill="FFFFFF"/>
              <w:spacing w:before="120" w:beforeAutospacing="0" w:after="0" w:afterAutospacing="0"/>
              <w:ind w:firstLine="709"/>
              <w:jc w:val="both"/>
              <w:rPr>
                <w:lang w:val="uk-UA"/>
              </w:rPr>
            </w:pPr>
            <w:r w:rsidRPr="00FB409B">
              <w:rPr>
                <w:lang w:val="uk-UA"/>
              </w:rPr>
              <w:t>2)  для нематеріальних активів:</w:t>
            </w:r>
          </w:p>
          <w:p w:rsidR="000B4186" w:rsidRPr="00FB409B" w:rsidRDefault="000B4186" w:rsidP="008F4D6E">
            <w:pPr>
              <w:pStyle w:val="rvps2"/>
              <w:shd w:val="clear" w:color="auto" w:fill="FFFFFF"/>
              <w:spacing w:before="120" w:beforeAutospacing="0" w:after="0" w:afterAutospacing="0"/>
              <w:ind w:firstLine="709"/>
              <w:jc w:val="both"/>
              <w:rPr>
                <w:lang w:val="uk-UA"/>
              </w:rPr>
            </w:pPr>
            <w:r w:rsidRPr="00FB409B">
              <w:rPr>
                <w:lang w:val="uk-UA"/>
              </w:rPr>
              <w:t>акт введення в господарський оборот об'єкта права інтелектуальної власності у складі нематеріальних активів та/або інші первинні документи відповідно до стандартів бухгалтерського обліку, що підтверджують прийняття нематеріальних активів на баланс;</w:t>
            </w:r>
          </w:p>
          <w:p w:rsidR="000B4186" w:rsidRPr="00FB409B" w:rsidRDefault="000B4186" w:rsidP="008F4D6E">
            <w:pPr>
              <w:pStyle w:val="rvps2"/>
              <w:shd w:val="clear" w:color="auto" w:fill="FFFFFF"/>
              <w:spacing w:before="120" w:beforeAutospacing="0" w:after="0" w:afterAutospacing="0"/>
              <w:ind w:firstLine="709"/>
              <w:jc w:val="both"/>
              <w:rPr>
                <w:lang w:val="uk-UA"/>
              </w:rPr>
            </w:pPr>
            <w:r w:rsidRPr="00FB409B">
              <w:rPr>
                <w:lang w:val="uk-UA"/>
              </w:rPr>
              <w:t>платіжні доручення та/або інші документи, що підтверджують здійснення оплати.</w:t>
            </w:r>
          </w:p>
          <w:p w:rsidR="000B4186" w:rsidRPr="00FB409B" w:rsidRDefault="000B4186" w:rsidP="008F4D6E">
            <w:pPr>
              <w:pStyle w:val="rvps2"/>
              <w:shd w:val="clear" w:color="auto" w:fill="FFFFFF"/>
              <w:spacing w:before="120" w:beforeAutospacing="0" w:after="0" w:afterAutospacing="0"/>
              <w:ind w:firstLine="709"/>
              <w:jc w:val="both"/>
              <w:rPr>
                <w:lang w:val="uk-UA"/>
              </w:rPr>
            </w:pPr>
            <w:r w:rsidRPr="00FB409B">
              <w:rPr>
                <w:lang w:val="uk-UA"/>
              </w:rPr>
              <w:t xml:space="preserve">Заходи з розробки </w:t>
            </w:r>
            <w:proofErr w:type="spellStart"/>
            <w:r w:rsidRPr="00FB409B">
              <w:rPr>
                <w:lang w:val="uk-UA"/>
              </w:rPr>
              <w:t>проєктно</w:t>
            </w:r>
            <w:proofErr w:type="spellEnd"/>
            <w:r w:rsidRPr="00FB409B">
              <w:rPr>
                <w:lang w:val="uk-UA"/>
              </w:rPr>
              <w:t xml:space="preserve">-кошторисної документації вважаються виконаними, якщо за результатами їх виконання складено акт приймання-передачі </w:t>
            </w:r>
            <w:proofErr w:type="spellStart"/>
            <w:r w:rsidRPr="00FB409B">
              <w:rPr>
                <w:lang w:val="uk-UA"/>
              </w:rPr>
              <w:t>проєктно</w:t>
            </w:r>
            <w:proofErr w:type="spellEnd"/>
            <w:r w:rsidRPr="00FB409B">
              <w:rPr>
                <w:lang w:val="uk-UA"/>
              </w:rPr>
              <w:t>-кошторисної документації на об'єкт та щодо яких здійснено повне фінансування.</w:t>
            </w:r>
          </w:p>
          <w:p w:rsidR="000B4186" w:rsidRPr="00FB409B" w:rsidRDefault="000B4186" w:rsidP="008F4D6E">
            <w:pPr>
              <w:shd w:val="clear" w:color="auto" w:fill="FFFFFF"/>
              <w:spacing w:before="120"/>
              <w:ind w:firstLine="709"/>
              <w:jc w:val="both"/>
              <w:rPr>
                <w:rFonts w:ascii="Times New Roman" w:eastAsia="Calibri" w:hAnsi="Times New Roman" w:cs="Times New Roman"/>
                <w:sz w:val="24"/>
                <w:szCs w:val="24"/>
                <w:lang w:eastAsia="ru-RU"/>
              </w:rPr>
            </w:pPr>
            <w:r w:rsidRPr="00FB409B">
              <w:rPr>
                <w:rFonts w:ascii="Times New Roman" w:eastAsia="Calibri" w:hAnsi="Times New Roman" w:cs="Times New Roman"/>
                <w:sz w:val="24"/>
                <w:szCs w:val="24"/>
                <w:lang w:eastAsia="ru-RU"/>
              </w:rPr>
              <w:t>Етапи перехідних заходів (об’єкти незавершеного будівництва, розподілені на етапи будівництва), передбачені інвестиційною програмою, вважаються виконаними, якщо за результатами їх виконання складено акти виконаних робіт та/або акти приймання-передачі, а також здійснено повне фінансування відповідно до цих актів.</w:t>
            </w:r>
          </w:p>
          <w:p w:rsidR="000B4186" w:rsidRPr="00FB409B" w:rsidRDefault="000B4186" w:rsidP="0032493A">
            <w:pPr>
              <w:shd w:val="clear" w:color="auto" w:fill="FFFFFF"/>
              <w:spacing w:after="150"/>
              <w:ind w:firstLine="450"/>
              <w:jc w:val="both"/>
              <w:rPr>
                <w:rFonts w:ascii="Times New Roman" w:hAnsi="Times New Roman" w:cs="Times New Roman"/>
                <w:sz w:val="24"/>
                <w:szCs w:val="24"/>
                <w:shd w:val="clear" w:color="auto" w:fill="FFFFFF"/>
              </w:rPr>
            </w:pPr>
          </w:p>
        </w:tc>
        <w:tc>
          <w:tcPr>
            <w:tcW w:w="5812" w:type="dxa"/>
          </w:tcPr>
          <w:p w:rsidR="00A12E6A" w:rsidRPr="00FB409B" w:rsidRDefault="00A12E6A" w:rsidP="00DF03E6">
            <w:pPr>
              <w:pStyle w:val="a5"/>
              <w:spacing w:before="0" w:beforeAutospacing="0" w:after="0" w:afterAutospacing="0" w:line="260" w:lineRule="exact"/>
              <w:ind w:firstLine="457"/>
              <w:contextualSpacing/>
              <w:jc w:val="both"/>
              <w:rPr>
                <w:b/>
                <w:i/>
                <w:shd w:val="clear" w:color="auto" w:fill="FFFFFF"/>
                <w:lang w:val="uk-UA"/>
              </w:rPr>
            </w:pPr>
            <w:r w:rsidRPr="00FB409B">
              <w:rPr>
                <w:b/>
                <w:i/>
                <w:shd w:val="clear" w:color="auto" w:fill="FFFFFF"/>
                <w:lang w:val="uk-UA"/>
              </w:rPr>
              <w:lastRenderedPageBreak/>
              <w:t>Пропозиції АТ «КИЇВГАЗ»:</w:t>
            </w:r>
          </w:p>
          <w:p w:rsidR="000B4186" w:rsidRPr="00FB409B" w:rsidRDefault="000B4186" w:rsidP="006A7995">
            <w:pPr>
              <w:pStyle w:val="rvps2"/>
              <w:shd w:val="clear" w:color="auto" w:fill="FFFFFF"/>
              <w:spacing w:before="120" w:beforeAutospacing="0" w:after="0" w:afterAutospacing="0"/>
              <w:ind w:firstLine="459"/>
              <w:jc w:val="both"/>
              <w:rPr>
                <w:lang w:val="uk-UA"/>
              </w:rPr>
            </w:pPr>
            <w:r w:rsidRPr="00FB409B">
              <w:rPr>
                <w:lang w:val="uk-UA"/>
              </w:rPr>
              <w:t>2.  Виконаними вважаються об'єкти, які введені в експлуатацію відповідно до вимог чинного законодавства, прийняті на баланс та щодо яких здійснено повне фінансування, що підтверджено такими документами:</w:t>
            </w:r>
          </w:p>
          <w:p w:rsidR="000B4186" w:rsidRPr="00FB409B" w:rsidRDefault="000B4186" w:rsidP="006A7995">
            <w:pPr>
              <w:pStyle w:val="rvps2"/>
              <w:shd w:val="clear" w:color="auto" w:fill="FFFFFF"/>
              <w:spacing w:before="120" w:beforeAutospacing="0" w:after="0" w:afterAutospacing="0"/>
              <w:ind w:firstLine="459"/>
              <w:jc w:val="both"/>
              <w:rPr>
                <w:lang w:val="uk-UA"/>
              </w:rPr>
            </w:pPr>
            <w:r w:rsidRPr="00FB409B">
              <w:rPr>
                <w:lang w:val="uk-UA"/>
              </w:rPr>
              <w:t>1) для необоротних активів, а саме основних засобів та інших необоротних матеріальних активів:</w:t>
            </w:r>
          </w:p>
          <w:p w:rsidR="000B4186" w:rsidRPr="00FB409B" w:rsidRDefault="000B4186" w:rsidP="006A7995">
            <w:pPr>
              <w:pStyle w:val="rvps2"/>
              <w:shd w:val="clear" w:color="auto" w:fill="FFFFFF"/>
              <w:spacing w:before="120" w:beforeAutospacing="0" w:after="0" w:afterAutospacing="0"/>
              <w:ind w:firstLine="459"/>
              <w:jc w:val="both"/>
              <w:rPr>
                <w:lang w:val="uk-UA"/>
              </w:rPr>
            </w:pPr>
            <w:r w:rsidRPr="00FB409B">
              <w:rPr>
                <w:lang w:val="uk-UA"/>
              </w:rPr>
              <w:t>акт виконаних робіт/акт приймання-передачі наданих послуг, та/або акт введення в експлуатацію основних засобів, та/або акт готовності об’єкта до експлуатації, та/або сертифікат (декларація), виданий відповідними органами державного архітектурно-</w:t>
            </w:r>
            <w:r w:rsidRPr="00FB409B">
              <w:rPr>
                <w:lang w:val="uk-UA"/>
              </w:rPr>
              <w:lastRenderedPageBreak/>
              <w:t>будівельного контролю, та/або інші первинні документи відповідно до стандартів бухгалтерського обліку, що підтверджують прийняття основних засобів на баланс;</w:t>
            </w:r>
          </w:p>
          <w:p w:rsidR="000B4186" w:rsidRPr="00FB409B" w:rsidRDefault="000B4186" w:rsidP="006A7995">
            <w:pPr>
              <w:pStyle w:val="rvps2"/>
              <w:shd w:val="clear" w:color="auto" w:fill="FFFFFF"/>
              <w:spacing w:before="120" w:beforeAutospacing="0" w:after="0" w:afterAutospacing="0"/>
              <w:ind w:firstLine="459"/>
              <w:jc w:val="both"/>
              <w:rPr>
                <w:lang w:val="uk-UA"/>
              </w:rPr>
            </w:pPr>
            <w:r w:rsidRPr="00FB409B">
              <w:rPr>
                <w:b/>
                <w:lang w:val="uk-UA"/>
              </w:rPr>
              <w:t>платіжні інструкції</w:t>
            </w:r>
            <w:r w:rsidRPr="00FB409B">
              <w:rPr>
                <w:lang w:val="uk-UA"/>
              </w:rPr>
              <w:t xml:space="preserve"> та/або інші документи, що підтверджують здійснення оплати;</w:t>
            </w:r>
          </w:p>
          <w:p w:rsidR="000B4186" w:rsidRPr="00FB409B" w:rsidRDefault="000B4186" w:rsidP="006A7995">
            <w:pPr>
              <w:pStyle w:val="rvps2"/>
              <w:shd w:val="clear" w:color="auto" w:fill="FFFFFF"/>
              <w:spacing w:before="120" w:beforeAutospacing="0" w:after="0" w:afterAutospacing="0"/>
              <w:ind w:firstLine="459"/>
              <w:jc w:val="both"/>
              <w:rPr>
                <w:lang w:val="uk-UA"/>
              </w:rPr>
            </w:pPr>
            <w:r w:rsidRPr="00FB409B">
              <w:rPr>
                <w:lang w:val="uk-UA"/>
              </w:rPr>
              <w:t>2)  для нематеріальних активів:</w:t>
            </w:r>
          </w:p>
          <w:p w:rsidR="000B4186" w:rsidRPr="00FB409B" w:rsidRDefault="000B4186" w:rsidP="008F4D6E">
            <w:pPr>
              <w:pStyle w:val="rvps2"/>
              <w:shd w:val="clear" w:color="auto" w:fill="FFFFFF"/>
              <w:spacing w:before="120" w:beforeAutospacing="0" w:after="0" w:afterAutospacing="0"/>
              <w:ind w:firstLine="459"/>
              <w:jc w:val="both"/>
              <w:rPr>
                <w:lang w:val="uk-UA"/>
              </w:rPr>
            </w:pPr>
            <w:r w:rsidRPr="00FB409B">
              <w:rPr>
                <w:lang w:val="uk-UA"/>
              </w:rPr>
              <w:t>акт введення в господарський оборот об'єкта права інтелектуальної власності у складі нематеріальних активів та/або інші первинні документи відповідно до стандартів бухгалтерського обліку, що підтверджують прийняття нематеріальних активів на баланс;</w:t>
            </w:r>
          </w:p>
          <w:p w:rsidR="000B4186" w:rsidRPr="00FB409B" w:rsidRDefault="000B4186" w:rsidP="008F4D6E">
            <w:pPr>
              <w:pStyle w:val="rvps2"/>
              <w:shd w:val="clear" w:color="auto" w:fill="FFFFFF"/>
              <w:spacing w:before="120" w:beforeAutospacing="0" w:after="0" w:afterAutospacing="0"/>
              <w:ind w:firstLine="457"/>
              <w:jc w:val="both"/>
              <w:rPr>
                <w:lang w:val="uk-UA"/>
              </w:rPr>
            </w:pPr>
            <w:r w:rsidRPr="00FB409B">
              <w:rPr>
                <w:b/>
                <w:lang w:val="uk-UA"/>
              </w:rPr>
              <w:t xml:space="preserve">платіжні інструкції </w:t>
            </w:r>
            <w:r w:rsidRPr="00FB409B">
              <w:rPr>
                <w:lang w:val="uk-UA"/>
              </w:rPr>
              <w:t>та/або інші документи, що підтверджують здійснення оплати.</w:t>
            </w:r>
          </w:p>
          <w:p w:rsidR="000B4186" w:rsidRPr="00FB409B" w:rsidRDefault="000B4186" w:rsidP="008F4D6E">
            <w:pPr>
              <w:pStyle w:val="rvps2"/>
              <w:shd w:val="clear" w:color="auto" w:fill="FFFFFF"/>
              <w:spacing w:before="120" w:beforeAutospacing="0" w:after="0" w:afterAutospacing="0"/>
              <w:ind w:firstLine="457"/>
              <w:jc w:val="both"/>
              <w:rPr>
                <w:lang w:val="uk-UA"/>
              </w:rPr>
            </w:pPr>
            <w:r w:rsidRPr="00FB409B">
              <w:rPr>
                <w:lang w:val="uk-UA"/>
              </w:rPr>
              <w:t xml:space="preserve">Заходи з розробки </w:t>
            </w:r>
            <w:proofErr w:type="spellStart"/>
            <w:r w:rsidRPr="00FB409B">
              <w:rPr>
                <w:lang w:val="uk-UA"/>
              </w:rPr>
              <w:t>проєктно</w:t>
            </w:r>
            <w:proofErr w:type="spellEnd"/>
            <w:r w:rsidRPr="00FB409B">
              <w:rPr>
                <w:lang w:val="uk-UA"/>
              </w:rPr>
              <w:t xml:space="preserve">-кошторисної документації вважаються виконаними, якщо за результатами їх виконання складено акт приймання-передачі </w:t>
            </w:r>
            <w:proofErr w:type="spellStart"/>
            <w:r w:rsidRPr="00FB409B">
              <w:rPr>
                <w:lang w:val="uk-UA"/>
              </w:rPr>
              <w:t>проєктно</w:t>
            </w:r>
            <w:proofErr w:type="spellEnd"/>
            <w:r w:rsidRPr="00FB409B">
              <w:rPr>
                <w:lang w:val="uk-UA"/>
              </w:rPr>
              <w:t>-кошторисної документації на об'єкт та щодо яких здійснено повне фінансування.</w:t>
            </w:r>
          </w:p>
          <w:p w:rsidR="000B4186" w:rsidRPr="00FB409B" w:rsidRDefault="000B4186" w:rsidP="008F4D6E">
            <w:pPr>
              <w:shd w:val="clear" w:color="auto" w:fill="FFFFFF"/>
              <w:spacing w:before="120"/>
              <w:ind w:firstLine="457"/>
              <w:jc w:val="both"/>
              <w:rPr>
                <w:rFonts w:ascii="Times New Roman" w:eastAsia="Times New Roman" w:hAnsi="Times New Roman" w:cs="Times New Roman"/>
                <w:sz w:val="24"/>
                <w:szCs w:val="24"/>
              </w:rPr>
            </w:pPr>
            <w:r w:rsidRPr="00FB409B">
              <w:rPr>
                <w:rFonts w:ascii="Times New Roman" w:eastAsia="Times New Roman" w:hAnsi="Times New Roman" w:cs="Times New Roman"/>
                <w:sz w:val="24"/>
                <w:szCs w:val="24"/>
              </w:rPr>
              <w:t>Етапи перехідних заходів (об’єкти незавершеного будівництва, розподілені на етапи будівництва), передбачені інвестиційною програмою, вважаються виконаними, якщо за результатами їх виконання складено акти виконаних робіт та/або акти приймання-передачі, а також здійснено повне фінансування відповідно до цих актів.</w:t>
            </w:r>
          </w:p>
          <w:p w:rsidR="000B4186" w:rsidRPr="00FB409B" w:rsidRDefault="000B4186" w:rsidP="00CE18C9">
            <w:pPr>
              <w:shd w:val="clear" w:color="auto" w:fill="FFFFFF"/>
              <w:spacing w:line="260" w:lineRule="exact"/>
              <w:ind w:firstLine="457"/>
              <w:jc w:val="both"/>
              <w:rPr>
                <w:rFonts w:ascii="Times New Roman" w:hAnsi="Times New Roman" w:cs="Times New Roman"/>
                <w:b/>
                <w:i/>
                <w:sz w:val="24"/>
                <w:szCs w:val="24"/>
              </w:rPr>
            </w:pPr>
            <w:proofErr w:type="spellStart"/>
            <w:r w:rsidRPr="00FB409B">
              <w:rPr>
                <w:rFonts w:ascii="Times New Roman" w:hAnsi="Times New Roman" w:cs="Times New Roman"/>
                <w:b/>
                <w:i/>
                <w:sz w:val="24"/>
                <w:szCs w:val="24"/>
              </w:rPr>
              <w:t>Обгрунтування</w:t>
            </w:r>
            <w:proofErr w:type="spellEnd"/>
            <w:r w:rsidRPr="00FB409B">
              <w:rPr>
                <w:rFonts w:ascii="Times New Roman" w:hAnsi="Times New Roman" w:cs="Times New Roman"/>
                <w:b/>
                <w:i/>
                <w:sz w:val="24"/>
                <w:szCs w:val="24"/>
              </w:rPr>
              <w:t xml:space="preserve"> </w:t>
            </w:r>
            <w:r w:rsidRPr="00FB409B">
              <w:rPr>
                <w:rFonts w:ascii="Times New Roman" w:hAnsi="Times New Roman" w:cs="Times New Roman"/>
                <w:b/>
                <w:i/>
                <w:sz w:val="24"/>
                <w:szCs w:val="24"/>
                <w:shd w:val="clear" w:color="auto" w:fill="FFFFFF"/>
              </w:rPr>
              <w:t>АТ «КИЇВГАЗ»:</w:t>
            </w:r>
          </w:p>
          <w:p w:rsidR="000B4186" w:rsidRPr="00FB409B" w:rsidRDefault="000B4186" w:rsidP="008F4D6E">
            <w:pPr>
              <w:pStyle w:val="a5"/>
              <w:shd w:val="clear" w:color="auto" w:fill="FFFFFF"/>
              <w:spacing w:before="120" w:beforeAutospacing="0" w:after="0" w:afterAutospacing="0"/>
              <w:rPr>
                <w:rFonts w:eastAsia="Times New Roman"/>
                <w:i/>
                <w:lang w:val="uk-UA" w:eastAsia="en-US"/>
              </w:rPr>
            </w:pPr>
            <w:r w:rsidRPr="00FB409B">
              <w:rPr>
                <w:bCs/>
                <w:i/>
                <w:iCs/>
                <w:shd w:val="clear" w:color="auto" w:fill="FFFFFF"/>
                <w:lang w:val="uk-UA"/>
              </w:rPr>
              <w:t xml:space="preserve">Відповідно до </w:t>
            </w:r>
            <w:r w:rsidRPr="00FB409B">
              <w:rPr>
                <w:rFonts w:eastAsia="Times New Roman"/>
                <w:i/>
                <w:lang w:val="uk-UA" w:eastAsia="en-US"/>
              </w:rPr>
              <w:t xml:space="preserve">Наказу Міністерства фінансів України від 13.12.2022 р. №430 (зареєстрований в Мін'юсті  28.12.2022 р. за №1694/39030) </w:t>
            </w:r>
            <w:proofErr w:type="spellStart"/>
            <w:r w:rsidRPr="00FB409B">
              <w:rPr>
                <w:rFonts w:eastAsia="Times New Roman"/>
                <w:i/>
                <w:lang w:val="uk-UA" w:eastAsia="en-US"/>
              </w:rPr>
              <w:t>внесено</w:t>
            </w:r>
            <w:proofErr w:type="spellEnd"/>
            <w:r w:rsidRPr="00FB409B">
              <w:rPr>
                <w:rFonts w:eastAsia="Times New Roman"/>
                <w:i/>
                <w:lang w:val="uk-UA" w:eastAsia="en-US"/>
              </w:rPr>
              <w:t xml:space="preserve"> зміни до:</w:t>
            </w:r>
          </w:p>
          <w:p w:rsidR="000B4186" w:rsidRPr="00FB409B" w:rsidRDefault="000B4186" w:rsidP="008F4D6E">
            <w:pPr>
              <w:numPr>
                <w:ilvl w:val="0"/>
                <w:numId w:val="15"/>
              </w:numPr>
              <w:shd w:val="clear" w:color="auto" w:fill="FFFFFF"/>
              <w:tabs>
                <w:tab w:val="clear" w:pos="720"/>
                <w:tab w:val="num" w:pos="455"/>
              </w:tabs>
              <w:spacing w:before="120"/>
              <w:ind w:left="0" w:firstLine="172"/>
              <w:rPr>
                <w:rFonts w:ascii="Times New Roman" w:eastAsia="Times New Roman" w:hAnsi="Times New Roman" w:cs="Times New Roman"/>
                <w:i/>
                <w:sz w:val="24"/>
                <w:szCs w:val="24"/>
              </w:rPr>
            </w:pPr>
            <w:r w:rsidRPr="00FB409B">
              <w:rPr>
                <w:rFonts w:ascii="Times New Roman" w:eastAsia="Times New Roman" w:hAnsi="Times New Roman" w:cs="Times New Roman"/>
                <w:i/>
                <w:sz w:val="24"/>
                <w:szCs w:val="24"/>
              </w:rPr>
              <w:t>Порядку відкриття та закриття рахунків у національній валюті в органах Державної казначейської служби України;</w:t>
            </w:r>
          </w:p>
          <w:p w:rsidR="000B4186" w:rsidRPr="00FB409B" w:rsidRDefault="000B4186" w:rsidP="008F4D6E">
            <w:pPr>
              <w:numPr>
                <w:ilvl w:val="0"/>
                <w:numId w:val="15"/>
              </w:numPr>
              <w:shd w:val="clear" w:color="auto" w:fill="FFFFFF"/>
              <w:tabs>
                <w:tab w:val="clear" w:pos="720"/>
                <w:tab w:val="num" w:pos="455"/>
              </w:tabs>
              <w:spacing w:before="120" w:after="100" w:afterAutospacing="1"/>
              <w:ind w:left="0" w:firstLine="172"/>
              <w:rPr>
                <w:rFonts w:ascii="Times New Roman" w:eastAsia="Times New Roman" w:hAnsi="Times New Roman" w:cs="Times New Roman"/>
                <w:i/>
                <w:sz w:val="24"/>
                <w:szCs w:val="24"/>
              </w:rPr>
            </w:pPr>
            <w:r w:rsidRPr="00FB409B">
              <w:rPr>
                <w:rFonts w:ascii="Times New Roman" w:eastAsia="Times New Roman" w:hAnsi="Times New Roman" w:cs="Times New Roman"/>
                <w:i/>
                <w:sz w:val="24"/>
                <w:szCs w:val="24"/>
              </w:rPr>
              <w:lastRenderedPageBreak/>
              <w:t>Порядку казначейського обслуговування державного бюджету за витратами;</w:t>
            </w:r>
          </w:p>
          <w:p w:rsidR="000B4186" w:rsidRPr="00FB409B" w:rsidRDefault="000B4186" w:rsidP="008F4D6E">
            <w:pPr>
              <w:numPr>
                <w:ilvl w:val="0"/>
                <w:numId w:val="15"/>
              </w:numPr>
              <w:shd w:val="clear" w:color="auto" w:fill="FFFFFF"/>
              <w:tabs>
                <w:tab w:val="clear" w:pos="720"/>
                <w:tab w:val="num" w:pos="455"/>
              </w:tabs>
              <w:spacing w:before="120"/>
              <w:ind w:left="0" w:firstLine="172"/>
              <w:rPr>
                <w:rFonts w:ascii="Times New Roman" w:eastAsia="Times New Roman" w:hAnsi="Times New Roman" w:cs="Times New Roman"/>
                <w:i/>
                <w:sz w:val="24"/>
                <w:szCs w:val="24"/>
              </w:rPr>
            </w:pPr>
            <w:r w:rsidRPr="00FB409B">
              <w:rPr>
                <w:rFonts w:ascii="Times New Roman" w:eastAsia="Times New Roman" w:hAnsi="Times New Roman" w:cs="Times New Roman"/>
                <w:i/>
                <w:sz w:val="24"/>
                <w:szCs w:val="24"/>
              </w:rPr>
              <w:t>Порядку казначейського обслуговування небюджетних рахунків клієнтів.</w:t>
            </w:r>
          </w:p>
          <w:p w:rsidR="000B4186" w:rsidRPr="00FB409B" w:rsidRDefault="000B4186" w:rsidP="008F4D6E">
            <w:pPr>
              <w:shd w:val="clear" w:color="auto" w:fill="FFFFFF"/>
              <w:spacing w:before="120"/>
              <w:jc w:val="both"/>
              <w:rPr>
                <w:rFonts w:ascii="Times New Roman" w:eastAsia="Times New Roman" w:hAnsi="Times New Roman" w:cs="Times New Roman"/>
                <w:i/>
                <w:sz w:val="24"/>
                <w:szCs w:val="24"/>
              </w:rPr>
            </w:pPr>
            <w:r w:rsidRPr="00FB409B">
              <w:rPr>
                <w:rFonts w:ascii="Times New Roman" w:eastAsia="Times New Roman" w:hAnsi="Times New Roman" w:cs="Times New Roman"/>
                <w:i/>
                <w:sz w:val="24"/>
                <w:szCs w:val="24"/>
              </w:rPr>
              <w:t>Зокрема,</w:t>
            </w:r>
            <w:r w:rsidRPr="00FB409B">
              <w:rPr>
                <w:rFonts w:ascii="Times New Roman" w:eastAsia="Times New Roman" w:hAnsi="Times New Roman" w:cs="Times New Roman"/>
                <w:b/>
                <w:bCs/>
                <w:i/>
                <w:sz w:val="24"/>
                <w:szCs w:val="24"/>
              </w:rPr>
              <w:t> затверджено форму платіжної інструкції та пояснення щодо заповнення платіжної інструкції</w:t>
            </w:r>
            <w:r w:rsidRPr="00FB409B">
              <w:rPr>
                <w:rFonts w:ascii="Times New Roman" w:eastAsia="Times New Roman" w:hAnsi="Times New Roman" w:cs="Times New Roman"/>
                <w:i/>
                <w:sz w:val="24"/>
                <w:szCs w:val="24"/>
              </w:rPr>
              <w:t>. Відповідно виключено терміни "платіжне доручення" та "розрахункові документи".</w:t>
            </w:r>
          </w:p>
          <w:p w:rsidR="00B01FF7" w:rsidRPr="00FB409B" w:rsidRDefault="00B01FF7" w:rsidP="00544229">
            <w:pPr>
              <w:pStyle w:val="a5"/>
              <w:spacing w:before="0" w:beforeAutospacing="0" w:after="0" w:afterAutospacing="0" w:line="260" w:lineRule="exact"/>
              <w:ind w:firstLine="599"/>
              <w:contextualSpacing/>
              <w:jc w:val="both"/>
              <w:rPr>
                <w:b/>
                <w:i/>
                <w:shd w:val="clear" w:color="auto" w:fill="FFFFFF"/>
                <w:lang w:val="uk-UA"/>
              </w:rPr>
            </w:pPr>
          </w:p>
          <w:p w:rsidR="00B01FF7" w:rsidRPr="00FB409B" w:rsidRDefault="00B01FF7" w:rsidP="00544229">
            <w:pPr>
              <w:pStyle w:val="a5"/>
              <w:spacing w:before="0" w:beforeAutospacing="0" w:after="0" w:afterAutospacing="0" w:line="260" w:lineRule="exact"/>
              <w:ind w:firstLine="599"/>
              <w:contextualSpacing/>
              <w:jc w:val="both"/>
              <w:rPr>
                <w:b/>
                <w:i/>
                <w:shd w:val="clear" w:color="auto" w:fill="FFFFFF"/>
                <w:lang w:val="uk-UA"/>
              </w:rPr>
            </w:pPr>
          </w:p>
          <w:p w:rsidR="007A3564" w:rsidRPr="00FB409B" w:rsidRDefault="007A3564" w:rsidP="00544229">
            <w:pPr>
              <w:pStyle w:val="a5"/>
              <w:spacing w:before="0" w:beforeAutospacing="0" w:after="0" w:afterAutospacing="0" w:line="260" w:lineRule="exact"/>
              <w:ind w:firstLine="599"/>
              <w:contextualSpacing/>
              <w:jc w:val="both"/>
              <w:rPr>
                <w:b/>
                <w:i/>
                <w:shd w:val="clear" w:color="auto" w:fill="FFFFFF"/>
                <w:lang w:val="uk-UA"/>
              </w:rPr>
            </w:pPr>
            <w:r w:rsidRPr="00FB409B">
              <w:rPr>
                <w:b/>
                <w:i/>
                <w:shd w:val="clear" w:color="auto" w:fill="FFFFFF"/>
                <w:lang w:val="uk-UA"/>
              </w:rPr>
              <w:t>Пропозиції ТОВ «ГАЗОРОЗПОДІЛЬНІ МЕРЕЖІ УКРАЇНИ»:</w:t>
            </w:r>
          </w:p>
          <w:p w:rsidR="00A22D6E" w:rsidRPr="00FB409B" w:rsidRDefault="00A22D6E" w:rsidP="00A22D6E">
            <w:pPr>
              <w:pStyle w:val="rvps2"/>
              <w:shd w:val="clear" w:color="auto" w:fill="FFFFFF"/>
              <w:spacing w:before="0" w:beforeAutospacing="0" w:after="0" w:afterAutospacing="0"/>
              <w:ind w:firstLine="709"/>
              <w:jc w:val="both"/>
              <w:rPr>
                <w:lang w:val="uk-UA"/>
              </w:rPr>
            </w:pPr>
            <w:r w:rsidRPr="00FB409B">
              <w:rPr>
                <w:lang w:val="uk-UA"/>
              </w:rPr>
              <w:t>2.</w:t>
            </w:r>
            <w:r w:rsidRPr="00FB409B">
              <w:rPr>
                <w:b/>
                <w:lang w:val="uk-UA"/>
              </w:rPr>
              <w:t xml:space="preserve"> </w:t>
            </w:r>
            <w:r w:rsidRPr="00FB409B">
              <w:rPr>
                <w:lang w:val="uk-UA"/>
              </w:rPr>
              <w:t xml:space="preserve">Виконаними вважаються об'єкти, які введені в експлуатацію відповідно до вимог чинного законодавства, прийняті на баланс та щодо яких здійснено </w:t>
            </w:r>
            <w:r w:rsidRPr="00FB409B">
              <w:rPr>
                <w:b/>
                <w:strike/>
                <w:lang w:val="uk-UA"/>
              </w:rPr>
              <w:t>повне</w:t>
            </w:r>
            <w:r w:rsidRPr="00FB409B">
              <w:rPr>
                <w:lang w:val="uk-UA"/>
              </w:rPr>
              <w:t xml:space="preserve"> фінансування, що підтверджено такими документами:</w:t>
            </w:r>
          </w:p>
          <w:p w:rsidR="00A22D6E" w:rsidRPr="00FB409B" w:rsidRDefault="00A22D6E" w:rsidP="00A22D6E">
            <w:pPr>
              <w:pStyle w:val="rvps2"/>
              <w:shd w:val="clear" w:color="auto" w:fill="FFFFFF"/>
              <w:spacing w:before="0" w:beforeAutospacing="0" w:after="0" w:afterAutospacing="0"/>
              <w:ind w:firstLine="709"/>
              <w:jc w:val="both"/>
              <w:rPr>
                <w:lang w:val="uk-UA"/>
              </w:rPr>
            </w:pPr>
            <w:r w:rsidRPr="00FB409B">
              <w:rPr>
                <w:lang w:val="uk-UA"/>
              </w:rPr>
              <w:t>1)  для необоротних активів, а саме основних засобів та інших необоротних матеріальних активів:</w:t>
            </w:r>
          </w:p>
          <w:p w:rsidR="00A22D6E" w:rsidRPr="00FB409B" w:rsidRDefault="00A22D6E" w:rsidP="00A22D6E">
            <w:pPr>
              <w:pStyle w:val="rvps2"/>
              <w:shd w:val="clear" w:color="auto" w:fill="FFFFFF"/>
              <w:spacing w:before="0" w:beforeAutospacing="0" w:after="0" w:afterAutospacing="0"/>
              <w:ind w:firstLine="709"/>
              <w:jc w:val="both"/>
              <w:rPr>
                <w:lang w:val="uk-UA"/>
              </w:rPr>
            </w:pPr>
            <w:r w:rsidRPr="00FB409B">
              <w:rPr>
                <w:lang w:val="uk-UA"/>
              </w:rPr>
              <w:t>акт виконаних робіт/акт приймання-передачі наданих послуг, та/або акт введення в експлуатацію основних засобів, та/або акт готовності об’єкта до експлуатації, та/або сертифікат (декларація), виданий відповідними органами державного архітектурно-будівельного контролю, та/або інші первинні документи відповідно до стандартів бухгалтерського обліку, що підтверджують прийняття основних засобів на баланс;</w:t>
            </w:r>
          </w:p>
          <w:p w:rsidR="00A22D6E" w:rsidRPr="00FB409B" w:rsidRDefault="00A22D6E" w:rsidP="00A22D6E">
            <w:pPr>
              <w:pStyle w:val="rvps2"/>
              <w:shd w:val="clear" w:color="auto" w:fill="FFFFFF"/>
              <w:spacing w:before="0" w:beforeAutospacing="0" w:after="0" w:afterAutospacing="0"/>
              <w:ind w:firstLine="709"/>
              <w:jc w:val="both"/>
              <w:rPr>
                <w:lang w:val="uk-UA"/>
              </w:rPr>
            </w:pPr>
            <w:r w:rsidRPr="00FB409B">
              <w:rPr>
                <w:lang w:val="uk-UA"/>
              </w:rPr>
              <w:t>платіжні доручення та/або інші документи, що підтверджують здійснення оплати;</w:t>
            </w:r>
          </w:p>
          <w:p w:rsidR="00A22D6E" w:rsidRPr="00FB409B" w:rsidRDefault="00A22D6E" w:rsidP="00A22D6E">
            <w:pPr>
              <w:pStyle w:val="rvps2"/>
              <w:shd w:val="clear" w:color="auto" w:fill="FFFFFF"/>
              <w:spacing w:before="0" w:beforeAutospacing="0" w:after="0" w:afterAutospacing="0"/>
              <w:ind w:firstLine="709"/>
              <w:jc w:val="both"/>
              <w:rPr>
                <w:lang w:val="uk-UA"/>
              </w:rPr>
            </w:pPr>
          </w:p>
          <w:p w:rsidR="00A22D6E" w:rsidRPr="00FB409B" w:rsidRDefault="00A22D6E" w:rsidP="00A22D6E">
            <w:pPr>
              <w:pStyle w:val="rvps2"/>
              <w:shd w:val="clear" w:color="auto" w:fill="FFFFFF"/>
              <w:spacing w:before="0" w:beforeAutospacing="0" w:after="0" w:afterAutospacing="0"/>
              <w:ind w:firstLine="709"/>
              <w:jc w:val="both"/>
              <w:rPr>
                <w:lang w:val="uk-UA"/>
              </w:rPr>
            </w:pPr>
            <w:r w:rsidRPr="00FB409B">
              <w:rPr>
                <w:lang w:val="uk-UA"/>
              </w:rPr>
              <w:t>2)  для нематеріальних активів:</w:t>
            </w:r>
          </w:p>
          <w:p w:rsidR="00A22D6E" w:rsidRPr="00FB409B" w:rsidRDefault="00A22D6E" w:rsidP="00A22D6E">
            <w:pPr>
              <w:pStyle w:val="rvps2"/>
              <w:shd w:val="clear" w:color="auto" w:fill="FFFFFF"/>
              <w:spacing w:before="0" w:beforeAutospacing="0" w:after="0" w:afterAutospacing="0"/>
              <w:ind w:firstLine="709"/>
              <w:jc w:val="both"/>
              <w:rPr>
                <w:lang w:val="uk-UA"/>
              </w:rPr>
            </w:pPr>
            <w:r w:rsidRPr="00FB409B">
              <w:rPr>
                <w:lang w:val="uk-UA"/>
              </w:rPr>
              <w:t xml:space="preserve">акт введення в господарський оборот об'єкта права інтелектуальної власності у складі нематеріальних активів та/або інші первинні документи відповідно до стандартів бухгалтерського </w:t>
            </w:r>
            <w:r w:rsidRPr="00FB409B">
              <w:rPr>
                <w:lang w:val="uk-UA"/>
              </w:rPr>
              <w:lastRenderedPageBreak/>
              <w:t>обліку, що підтверджують прийняття нематеріальних активів на баланс;</w:t>
            </w:r>
          </w:p>
          <w:p w:rsidR="00A22D6E" w:rsidRPr="00FB409B" w:rsidRDefault="00A22D6E" w:rsidP="00A22D6E">
            <w:pPr>
              <w:pStyle w:val="rvps2"/>
              <w:shd w:val="clear" w:color="auto" w:fill="FFFFFF"/>
              <w:spacing w:before="0" w:beforeAutospacing="0" w:after="0" w:afterAutospacing="0"/>
              <w:ind w:firstLine="709"/>
              <w:jc w:val="both"/>
              <w:rPr>
                <w:lang w:val="uk-UA"/>
              </w:rPr>
            </w:pPr>
            <w:r w:rsidRPr="00FB409B">
              <w:rPr>
                <w:lang w:val="uk-UA"/>
              </w:rPr>
              <w:t>платіжні доручення та/або інші документи, що підтверджують здійснення оплати.</w:t>
            </w:r>
          </w:p>
          <w:p w:rsidR="0057421B" w:rsidRPr="00FB409B" w:rsidRDefault="0057421B" w:rsidP="00A22D6E">
            <w:pPr>
              <w:pStyle w:val="rvps2"/>
              <w:shd w:val="clear" w:color="auto" w:fill="FFFFFF"/>
              <w:spacing w:before="0" w:beforeAutospacing="0" w:after="0" w:afterAutospacing="0"/>
              <w:ind w:firstLine="709"/>
              <w:jc w:val="both"/>
              <w:rPr>
                <w:lang w:val="uk-UA"/>
              </w:rPr>
            </w:pPr>
          </w:p>
          <w:p w:rsidR="00A22D6E" w:rsidRPr="00FB409B" w:rsidRDefault="00A22D6E" w:rsidP="00A22D6E">
            <w:pPr>
              <w:pStyle w:val="rvps2"/>
              <w:shd w:val="clear" w:color="auto" w:fill="FFFFFF"/>
              <w:spacing w:before="0" w:beforeAutospacing="0" w:after="0" w:afterAutospacing="0"/>
              <w:ind w:firstLine="709"/>
              <w:jc w:val="both"/>
              <w:rPr>
                <w:lang w:val="uk-UA"/>
              </w:rPr>
            </w:pPr>
            <w:r w:rsidRPr="00FB409B">
              <w:rPr>
                <w:lang w:val="uk-UA"/>
              </w:rPr>
              <w:t xml:space="preserve">Заходи з розробки </w:t>
            </w:r>
            <w:proofErr w:type="spellStart"/>
            <w:r w:rsidRPr="00FB409B">
              <w:rPr>
                <w:lang w:val="uk-UA"/>
              </w:rPr>
              <w:t>проєктно</w:t>
            </w:r>
            <w:proofErr w:type="spellEnd"/>
            <w:r w:rsidRPr="00FB409B">
              <w:rPr>
                <w:lang w:val="uk-UA"/>
              </w:rPr>
              <w:t xml:space="preserve">-кошторисної документації вважаються виконаними, якщо за результатами їх виконання </w:t>
            </w:r>
            <w:r w:rsidRPr="00FB409B">
              <w:rPr>
                <w:b/>
                <w:lang w:val="uk-UA"/>
              </w:rPr>
              <w:t xml:space="preserve">складено акт виконаних робіт та/або </w:t>
            </w:r>
            <w:r w:rsidRPr="00FB409B">
              <w:rPr>
                <w:lang w:val="uk-UA"/>
              </w:rPr>
              <w:t xml:space="preserve">акт приймання-передачі </w:t>
            </w:r>
            <w:proofErr w:type="spellStart"/>
            <w:r w:rsidRPr="00FB409B">
              <w:rPr>
                <w:lang w:val="uk-UA"/>
              </w:rPr>
              <w:t>проєктно</w:t>
            </w:r>
            <w:proofErr w:type="spellEnd"/>
            <w:r w:rsidRPr="00FB409B">
              <w:rPr>
                <w:lang w:val="uk-UA"/>
              </w:rPr>
              <w:t>-кошторисної документації на об'єкт та щодо яких здійснено повне фінансування.</w:t>
            </w:r>
          </w:p>
          <w:p w:rsidR="0057421B" w:rsidRPr="00FB409B" w:rsidRDefault="0057421B" w:rsidP="009C3277">
            <w:pPr>
              <w:shd w:val="clear" w:color="auto" w:fill="FFFFFF"/>
              <w:ind w:firstLine="599"/>
              <w:jc w:val="both"/>
              <w:rPr>
                <w:rFonts w:ascii="Times New Roman" w:eastAsia="Calibri" w:hAnsi="Times New Roman" w:cs="Times New Roman"/>
                <w:sz w:val="24"/>
                <w:szCs w:val="24"/>
                <w:lang w:eastAsia="ru-RU"/>
              </w:rPr>
            </w:pPr>
          </w:p>
          <w:p w:rsidR="007A3564" w:rsidRPr="00FB409B" w:rsidRDefault="00A22D6E" w:rsidP="009C3277">
            <w:pPr>
              <w:shd w:val="clear" w:color="auto" w:fill="FFFFFF"/>
              <w:ind w:firstLine="599"/>
              <w:jc w:val="both"/>
              <w:rPr>
                <w:rFonts w:ascii="Times New Roman" w:eastAsia="Calibri" w:hAnsi="Times New Roman" w:cs="Times New Roman"/>
                <w:b/>
                <w:sz w:val="24"/>
                <w:szCs w:val="24"/>
                <w:lang w:eastAsia="ru-RU"/>
              </w:rPr>
            </w:pPr>
            <w:r w:rsidRPr="00FB409B">
              <w:rPr>
                <w:rFonts w:ascii="Times New Roman" w:eastAsia="Calibri" w:hAnsi="Times New Roman" w:cs="Times New Roman"/>
                <w:sz w:val="24"/>
                <w:szCs w:val="24"/>
                <w:lang w:eastAsia="ru-RU"/>
              </w:rPr>
              <w:t xml:space="preserve">Етапи перехідних заходів (об’єкти незавершеного будівництва, розподілені на етапи будівництва), передбачені інвестиційною програмою, вважаються виконаними, якщо за результатами їх виконання складено акти виконаних робіт та/або акти приймання-передачі, а також здійснено </w:t>
            </w:r>
            <w:r w:rsidRPr="00FB409B">
              <w:rPr>
                <w:rFonts w:ascii="Times New Roman" w:eastAsia="Calibri" w:hAnsi="Times New Roman" w:cs="Times New Roman"/>
                <w:b/>
                <w:strike/>
                <w:sz w:val="24"/>
                <w:szCs w:val="24"/>
                <w:lang w:eastAsia="ru-RU"/>
              </w:rPr>
              <w:t>повне</w:t>
            </w:r>
            <w:r w:rsidRPr="00FB409B">
              <w:rPr>
                <w:rFonts w:ascii="Times New Roman" w:eastAsia="Calibri" w:hAnsi="Times New Roman" w:cs="Times New Roman"/>
                <w:sz w:val="24"/>
                <w:szCs w:val="24"/>
                <w:lang w:eastAsia="ru-RU"/>
              </w:rPr>
              <w:t xml:space="preserve"> фінансування відповідно до цих актів</w:t>
            </w:r>
            <w:r w:rsidR="007315D2" w:rsidRPr="00FB409B">
              <w:rPr>
                <w:rFonts w:ascii="Times New Roman" w:eastAsia="Calibri" w:hAnsi="Times New Roman" w:cs="Times New Roman"/>
                <w:b/>
                <w:sz w:val="24"/>
                <w:szCs w:val="24"/>
                <w:lang w:eastAsia="ru-RU"/>
              </w:rPr>
              <w:t>.</w:t>
            </w:r>
          </w:p>
          <w:p w:rsidR="00B25656" w:rsidRPr="00FB409B" w:rsidRDefault="00B25656" w:rsidP="000C3D02">
            <w:pPr>
              <w:shd w:val="clear" w:color="auto" w:fill="FFFFFF"/>
              <w:ind w:firstLine="599"/>
              <w:jc w:val="both"/>
              <w:rPr>
                <w:rFonts w:ascii="Times New Roman" w:hAnsi="Times New Roman" w:cs="Times New Roman"/>
                <w:b/>
                <w:i/>
                <w:sz w:val="24"/>
                <w:szCs w:val="24"/>
                <w:shd w:val="clear" w:color="auto" w:fill="FFFFFF"/>
              </w:rPr>
            </w:pPr>
          </w:p>
          <w:p w:rsidR="00B25656" w:rsidRPr="00FB409B" w:rsidRDefault="00B25656" w:rsidP="000C3D02">
            <w:pPr>
              <w:shd w:val="clear" w:color="auto" w:fill="FFFFFF"/>
              <w:ind w:firstLine="599"/>
              <w:jc w:val="both"/>
              <w:rPr>
                <w:rFonts w:ascii="Times New Roman" w:hAnsi="Times New Roman" w:cs="Times New Roman"/>
                <w:b/>
                <w:i/>
                <w:sz w:val="24"/>
                <w:szCs w:val="24"/>
                <w:shd w:val="clear" w:color="auto" w:fill="FFFFFF"/>
              </w:rPr>
            </w:pPr>
          </w:p>
          <w:p w:rsidR="000B4186" w:rsidRPr="00FB409B" w:rsidRDefault="00544229" w:rsidP="000C3D02">
            <w:pPr>
              <w:shd w:val="clear" w:color="auto" w:fill="FFFFFF"/>
              <w:ind w:firstLine="599"/>
              <w:jc w:val="both"/>
              <w:rPr>
                <w:rFonts w:ascii="Times New Roman" w:hAnsi="Times New Roman" w:cs="Times New Roman"/>
                <w:b/>
                <w:i/>
                <w:sz w:val="24"/>
                <w:szCs w:val="24"/>
                <w:shd w:val="clear" w:color="auto" w:fill="FFFFFF"/>
              </w:rPr>
            </w:pPr>
            <w:proofErr w:type="spellStart"/>
            <w:r w:rsidRPr="00FB409B">
              <w:rPr>
                <w:rFonts w:ascii="Times New Roman" w:hAnsi="Times New Roman" w:cs="Times New Roman"/>
                <w:b/>
                <w:i/>
                <w:sz w:val="24"/>
                <w:szCs w:val="24"/>
                <w:shd w:val="clear" w:color="auto" w:fill="FFFFFF"/>
              </w:rPr>
              <w:t>Обгрунтування</w:t>
            </w:r>
            <w:proofErr w:type="spellEnd"/>
            <w:r w:rsidRPr="00FB409B">
              <w:rPr>
                <w:rFonts w:ascii="Times New Roman" w:hAnsi="Times New Roman" w:cs="Times New Roman"/>
                <w:b/>
                <w:i/>
                <w:sz w:val="24"/>
                <w:szCs w:val="24"/>
                <w:shd w:val="clear" w:color="auto" w:fill="FFFFFF"/>
              </w:rPr>
              <w:t xml:space="preserve"> ТОВ «ГАЗОРОЗПОДІЛЬНІ МЕРЕЖІ УКРАЇНИ»: відсутні</w:t>
            </w:r>
          </w:p>
        </w:tc>
        <w:tc>
          <w:tcPr>
            <w:tcW w:w="4678" w:type="dxa"/>
          </w:tcPr>
          <w:p w:rsidR="00014827" w:rsidRPr="00FB409B" w:rsidRDefault="00014827" w:rsidP="00014827">
            <w:pPr>
              <w:jc w:val="both"/>
              <w:rPr>
                <w:rFonts w:ascii="Times New Roman" w:eastAsia="Times New Roman" w:hAnsi="Times New Roman" w:cs="Times New Roman"/>
                <w:b/>
                <w:sz w:val="24"/>
                <w:szCs w:val="24"/>
              </w:rPr>
            </w:pPr>
            <w:r w:rsidRPr="00FB409B">
              <w:rPr>
                <w:rFonts w:ascii="Times New Roman" w:eastAsia="Times New Roman" w:hAnsi="Times New Roman" w:cs="Times New Roman"/>
                <w:b/>
                <w:sz w:val="24"/>
                <w:szCs w:val="24"/>
              </w:rPr>
              <w:lastRenderedPageBreak/>
              <w:t xml:space="preserve">Попередньо </w:t>
            </w:r>
            <w:r w:rsidR="00FB1EB6" w:rsidRPr="00FB409B">
              <w:rPr>
                <w:rFonts w:ascii="Times New Roman" w:eastAsia="Times New Roman" w:hAnsi="Times New Roman" w:cs="Times New Roman"/>
                <w:b/>
                <w:sz w:val="24"/>
                <w:szCs w:val="24"/>
              </w:rPr>
              <w:t>приймається</w:t>
            </w: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7315D2" w:rsidRPr="00FB409B" w:rsidRDefault="007315D2" w:rsidP="0032493A">
            <w:pPr>
              <w:ind w:firstLine="284"/>
              <w:rPr>
                <w:rFonts w:ascii="Times New Roman" w:hAnsi="Times New Roman" w:cs="Times New Roman"/>
                <w:iCs/>
                <w:sz w:val="24"/>
                <w:szCs w:val="24"/>
              </w:rPr>
            </w:pPr>
          </w:p>
          <w:p w:rsidR="00C06402" w:rsidRPr="00FB409B" w:rsidRDefault="00C06402" w:rsidP="00C06402">
            <w:pPr>
              <w:rPr>
                <w:rFonts w:ascii="Times New Roman" w:eastAsia="Calibri" w:hAnsi="Times New Roman" w:cs="Times New Roman"/>
                <w:b/>
                <w:sz w:val="24"/>
                <w:szCs w:val="24"/>
                <w:lang w:eastAsia="ru-RU"/>
              </w:rPr>
            </w:pPr>
          </w:p>
          <w:p w:rsidR="00E63AEF" w:rsidRPr="00FB409B" w:rsidRDefault="00E63AEF"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FB1EB6" w:rsidRPr="00FB409B" w:rsidRDefault="00FB1EB6" w:rsidP="00C06402">
            <w:pPr>
              <w:rPr>
                <w:rFonts w:ascii="Times New Roman" w:eastAsia="Calibri" w:hAnsi="Times New Roman" w:cs="Times New Roman"/>
                <w:b/>
                <w:sz w:val="24"/>
                <w:szCs w:val="24"/>
                <w:lang w:eastAsia="ru-RU"/>
              </w:rPr>
            </w:pPr>
          </w:p>
          <w:p w:rsidR="00FB1EB6" w:rsidRPr="00FB409B" w:rsidRDefault="00FB1EB6" w:rsidP="00C06402">
            <w:pPr>
              <w:rPr>
                <w:rFonts w:ascii="Times New Roman" w:eastAsia="Calibri" w:hAnsi="Times New Roman" w:cs="Times New Roman"/>
                <w:b/>
                <w:sz w:val="24"/>
                <w:szCs w:val="24"/>
                <w:lang w:eastAsia="ru-RU"/>
              </w:rPr>
            </w:pPr>
          </w:p>
          <w:p w:rsidR="003C0239" w:rsidRPr="00FB409B" w:rsidRDefault="00FB1EB6" w:rsidP="00A1646E">
            <w:pPr>
              <w:rPr>
                <w:rFonts w:ascii="Times New Roman" w:eastAsia="Times New Roman" w:hAnsi="Times New Roman" w:cs="Times New Roman"/>
                <w:sz w:val="24"/>
                <w:szCs w:val="24"/>
              </w:rPr>
            </w:pPr>
            <w:r w:rsidRPr="00FB409B">
              <w:rPr>
                <w:rFonts w:ascii="Times New Roman" w:eastAsia="Times New Roman" w:hAnsi="Times New Roman" w:cs="Times New Roman"/>
                <w:b/>
                <w:sz w:val="24"/>
                <w:szCs w:val="24"/>
              </w:rPr>
              <w:t xml:space="preserve">Попередньо частково враховується </w:t>
            </w:r>
            <w:r w:rsidR="00BE13AA" w:rsidRPr="00FB409B">
              <w:rPr>
                <w:rFonts w:ascii="Times New Roman" w:eastAsia="Times New Roman" w:hAnsi="Times New Roman" w:cs="Times New Roman"/>
                <w:sz w:val="24"/>
                <w:szCs w:val="24"/>
              </w:rPr>
              <w:t xml:space="preserve">в </w:t>
            </w:r>
            <w:r w:rsidR="003C0239" w:rsidRPr="00FB409B">
              <w:rPr>
                <w:rFonts w:ascii="Times New Roman" w:eastAsia="Times New Roman" w:hAnsi="Times New Roman" w:cs="Times New Roman"/>
                <w:sz w:val="24"/>
                <w:szCs w:val="24"/>
              </w:rPr>
              <w:t>редакції:</w:t>
            </w:r>
          </w:p>
          <w:p w:rsidR="003C0239" w:rsidRPr="00FB409B" w:rsidRDefault="003C0239" w:rsidP="002304D1">
            <w:pPr>
              <w:pStyle w:val="rvps2"/>
              <w:shd w:val="clear" w:color="auto" w:fill="FFFFFF"/>
              <w:spacing w:before="0" w:beforeAutospacing="0" w:after="0" w:afterAutospacing="0"/>
              <w:ind w:firstLine="316"/>
              <w:jc w:val="both"/>
              <w:rPr>
                <w:lang w:val="uk-UA"/>
              </w:rPr>
            </w:pPr>
            <w:bookmarkStart w:id="5" w:name="_GoBack"/>
            <w:r w:rsidRPr="00FB409B">
              <w:rPr>
                <w:lang w:val="uk-UA"/>
              </w:rPr>
              <w:t>2.</w:t>
            </w:r>
            <w:r w:rsidRPr="00FB409B">
              <w:rPr>
                <w:b/>
                <w:lang w:val="uk-UA"/>
              </w:rPr>
              <w:t xml:space="preserve"> </w:t>
            </w:r>
            <w:r w:rsidRPr="00FB409B">
              <w:rPr>
                <w:lang w:val="uk-UA"/>
              </w:rPr>
              <w:t xml:space="preserve">Виконаними вважаються об'єкти, які введені в експлуатацію відповідно до вимог чинного законодавства, прийняті на баланс та щодо яких </w:t>
            </w:r>
            <w:r w:rsidR="0016586B" w:rsidRPr="00FB409B">
              <w:rPr>
                <w:b/>
                <w:lang w:val="uk-UA"/>
              </w:rPr>
              <w:t>завершено</w:t>
            </w:r>
            <w:r w:rsidRPr="00FB409B">
              <w:rPr>
                <w:b/>
                <w:lang w:val="uk-UA"/>
              </w:rPr>
              <w:t xml:space="preserve"> </w:t>
            </w:r>
            <w:r w:rsidRPr="00FB409B">
              <w:rPr>
                <w:lang w:val="uk-UA"/>
              </w:rPr>
              <w:t>фінансування, що підтверджено такими документами:</w:t>
            </w:r>
          </w:p>
          <w:bookmarkEnd w:id="5"/>
          <w:p w:rsidR="00591DD5" w:rsidRPr="00FB409B" w:rsidRDefault="00591DD5" w:rsidP="004F07B1">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4F07B1" w:rsidRPr="00FB409B" w:rsidRDefault="004F07B1" w:rsidP="00C06402">
            <w:pPr>
              <w:rPr>
                <w:rFonts w:ascii="Times New Roman" w:eastAsia="Calibri" w:hAnsi="Times New Roman" w:cs="Times New Roman"/>
                <w:b/>
                <w:sz w:val="24"/>
                <w:szCs w:val="24"/>
                <w:lang w:eastAsia="ru-RU"/>
              </w:rPr>
            </w:pPr>
          </w:p>
          <w:p w:rsidR="004F07B1" w:rsidRPr="00FB409B" w:rsidRDefault="004F07B1" w:rsidP="00C06402">
            <w:pPr>
              <w:rPr>
                <w:rFonts w:ascii="Times New Roman" w:eastAsia="Calibri" w:hAnsi="Times New Roman" w:cs="Times New Roman"/>
                <w:b/>
                <w:sz w:val="24"/>
                <w:szCs w:val="24"/>
                <w:lang w:eastAsia="ru-RU"/>
              </w:rPr>
            </w:pPr>
          </w:p>
          <w:p w:rsidR="004F07B1" w:rsidRPr="00FB409B" w:rsidRDefault="004F07B1" w:rsidP="00C06402">
            <w:pPr>
              <w:rPr>
                <w:rFonts w:ascii="Times New Roman" w:eastAsia="Calibri" w:hAnsi="Times New Roman" w:cs="Times New Roman"/>
                <w:b/>
                <w:sz w:val="24"/>
                <w:szCs w:val="24"/>
                <w:lang w:eastAsia="ru-RU"/>
              </w:rPr>
            </w:pPr>
          </w:p>
          <w:p w:rsidR="0016586B" w:rsidRPr="00FB409B" w:rsidRDefault="0057421B" w:rsidP="00A1646E">
            <w:pPr>
              <w:pStyle w:val="rvps2"/>
              <w:shd w:val="clear" w:color="auto" w:fill="FFFFFF"/>
              <w:spacing w:before="0" w:beforeAutospacing="0" w:after="0" w:afterAutospacing="0"/>
              <w:jc w:val="both"/>
              <w:rPr>
                <w:lang w:val="uk-UA"/>
              </w:rPr>
            </w:pPr>
            <w:r w:rsidRPr="00FB409B">
              <w:rPr>
                <w:b/>
                <w:lang w:val="uk-UA"/>
              </w:rPr>
              <w:t xml:space="preserve">Попередньо </w:t>
            </w:r>
            <w:r w:rsidR="00BE13AA" w:rsidRPr="00FB409B">
              <w:rPr>
                <w:b/>
                <w:lang w:val="uk-UA"/>
              </w:rPr>
              <w:t>враховується</w:t>
            </w:r>
            <w:r w:rsidR="002A53CA" w:rsidRPr="00FB409B">
              <w:rPr>
                <w:b/>
                <w:lang w:val="uk-UA"/>
              </w:rPr>
              <w:t xml:space="preserve"> </w:t>
            </w:r>
          </w:p>
          <w:p w:rsidR="0057421B" w:rsidRPr="00FB409B" w:rsidRDefault="0057421B" w:rsidP="0057421B">
            <w:pPr>
              <w:jc w:val="both"/>
              <w:rPr>
                <w:rFonts w:ascii="Times New Roman" w:eastAsia="Times New Roman" w:hAnsi="Times New Roman" w:cs="Times New Roman"/>
                <w:b/>
                <w:sz w:val="24"/>
                <w:szCs w:val="24"/>
              </w:rPr>
            </w:pPr>
          </w:p>
          <w:p w:rsidR="00591DD5" w:rsidRPr="00FB409B" w:rsidRDefault="00591DD5" w:rsidP="00C06402">
            <w:pPr>
              <w:rPr>
                <w:rFonts w:ascii="Times New Roman" w:eastAsia="Calibri" w:hAnsi="Times New Roman" w:cs="Times New Roman"/>
                <w:b/>
                <w:sz w:val="24"/>
                <w:szCs w:val="24"/>
                <w:lang w:eastAsia="ru-RU"/>
              </w:rPr>
            </w:pPr>
          </w:p>
          <w:p w:rsidR="00591DD5" w:rsidRPr="00FB409B" w:rsidRDefault="00591DD5" w:rsidP="00C06402">
            <w:pPr>
              <w:rPr>
                <w:rFonts w:ascii="Times New Roman" w:eastAsia="Calibri" w:hAnsi="Times New Roman" w:cs="Times New Roman"/>
                <w:b/>
                <w:sz w:val="24"/>
                <w:szCs w:val="24"/>
                <w:lang w:eastAsia="ru-RU"/>
              </w:rPr>
            </w:pPr>
          </w:p>
          <w:p w:rsidR="000C3D02" w:rsidRPr="00FB409B" w:rsidRDefault="000C3D02" w:rsidP="00C06402">
            <w:pPr>
              <w:rPr>
                <w:rFonts w:ascii="Times New Roman" w:eastAsia="Calibri" w:hAnsi="Times New Roman" w:cs="Times New Roman"/>
                <w:b/>
                <w:sz w:val="24"/>
                <w:szCs w:val="24"/>
                <w:lang w:eastAsia="ru-RU"/>
              </w:rPr>
            </w:pPr>
          </w:p>
          <w:p w:rsidR="0016586B" w:rsidRPr="00FB409B" w:rsidRDefault="004F07B1" w:rsidP="0028115B">
            <w:pPr>
              <w:shd w:val="clear" w:color="auto" w:fill="FFFFFF"/>
              <w:jc w:val="both"/>
              <w:rPr>
                <w:rFonts w:ascii="Times New Roman" w:eastAsia="Times New Roman" w:hAnsi="Times New Roman" w:cs="Times New Roman"/>
                <w:sz w:val="24"/>
                <w:szCs w:val="24"/>
              </w:rPr>
            </w:pPr>
            <w:r w:rsidRPr="00FB409B">
              <w:rPr>
                <w:rFonts w:ascii="Times New Roman" w:eastAsia="Times New Roman" w:hAnsi="Times New Roman" w:cs="Times New Roman"/>
                <w:b/>
                <w:sz w:val="24"/>
                <w:szCs w:val="24"/>
              </w:rPr>
              <w:t xml:space="preserve">Попередньо частково враховується </w:t>
            </w:r>
            <w:r w:rsidRPr="00FB409B">
              <w:rPr>
                <w:rFonts w:ascii="Times New Roman" w:eastAsia="Times New Roman" w:hAnsi="Times New Roman" w:cs="Times New Roman"/>
                <w:sz w:val="24"/>
                <w:szCs w:val="24"/>
              </w:rPr>
              <w:t>в</w:t>
            </w:r>
            <w:r w:rsidR="0028115B" w:rsidRPr="00FB409B">
              <w:rPr>
                <w:rFonts w:ascii="Times New Roman" w:eastAsia="Times New Roman" w:hAnsi="Times New Roman" w:cs="Times New Roman"/>
                <w:sz w:val="24"/>
                <w:szCs w:val="24"/>
              </w:rPr>
              <w:t>  </w:t>
            </w:r>
            <w:r w:rsidR="0016586B" w:rsidRPr="00FB409B">
              <w:rPr>
                <w:rFonts w:ascii="Times New Roman" w:eastAsia="Times New Roman" w:hAnsi="Times New Roman" w:cs="Times New Roman"/>
                <w:sz w:val="24"/>
                <w:szCs w:val="24"/>
              </w:rPr>
              <w:t>редакції:</w:t>
            </w:r>
          </w:p>
          <w:p w:rsidR="0016586B" w:rsidRPr="00FB409B" w:rsidRDefault="0016586B" w:rsidP="0016586B">
            <w:pPr>
              <w:shd w:val="clear" w:color="auto" w:fill="FFFFFF"/>
              <w:ind w:firstLine="599"/>
              <w:jc w:val="both"/>
              <w:rPr>
                <w:rFonts w:ascii="Times New Roman" w:eastAsia="Calibri" w:hAnsi="Times New Roman" w:cs="Times New Roman"/>
                <w:b/>
                <w:sz w:val="24"/>
                <w:szCs w:val="24"/>
                <w:lang w:eastAsia="ru-RU"/>
              </w:rPr>
            </w:pPr>
            <w:r w:rsidRPr="00FB409B">
              <w:rPr>
                <w:rFonts w:ascii="Times New Roman" w:eastAsia="Calibri" w:hAnsi="Times New Roman" w:cs="Times New Roman"/>
                <w:sz w:val="24"/>
                <w:szCs w:val="24"/>
                <w:lang w:eastAsia="ru-RU"/>
              </w:rPr>
              <w:t xml:space="preserve">«Етапи перехідних заходів (об’єкти незавершеного будівництва, розподілені на етапи будівництва), передбачені інвестиційною програмою, вважаються виконаними, якщо за результатами їх виконання складено акти виконаних робіт та/або акти приймання-передачі, а також </w:t>
            </w:r>
            <w:r w:rsidR="0028115B" w:rsidRPr="00FB409B">
              <w:rPr>
                <w:rFonts w:ascii="Times New Roman" w:eastAsia="Calibri" w:hAnsi="Times New Roman" w:cs="Times New Roman"/>
                <w:b/>
                <w:sz w:val="24"/>
                <w:szCs w:val="24"/>
                <w:lang w:eastAsia="ru-RU"/>
              </w:rPr>
              <w:t>завершено</w:t>
            </w:r>
            <w:r w:rsidRPr="00FB409B">
              <w:rPr>
                <w:rFonts w:ascii="Times New Roman" w:eastAsia="Calibri" w:hAnsi="Times New Roman" w:cs="Times New Roman"/>
                <w:sz w:val="24"/>
                <w:szCs w:val="24"/>
                <w:lang w:eastAsia="ru-RU"/>
              </w:rPr>
              <w:t xml:space="preserve"> фінансування відповідно до цих актів</w:t>
            </w:r>
            <w:r w:rsidRPr="00FB409B">
              <w:rPr>
                <w:rFonts w:ascii="Times New Roman" w:eastAsia="Calibri" w:hAnsi="Times New Roman" w:cs="Times New Roman"/>
                <w:b/>
                <w:sz w:val="24"/>
                <w:szCs w:val="24"/>
                <w:lang w:eastAsia="ru-RU"/>
              </w:rPr>
              <w:t>.</w:t>
            </w:r>
          </w:p>
          <w:p w:rsidR="004F07B1" w:rsidRPr="00FB409B" w:rsidRDefault="004F07B1" w:rsidP="004F07B1">
            <w:pPr>
              <w:ind w:firstLine="720"/>
              <w:rPr>
                <w:rFonts w:ascii="Times New Roman" w:eastAsia="Times New Roman" w:hAnsi="Times New Roman" w:cs="Times New Roman"/>
                <w:sz w:val="24"/>
                <w:szCs w:val="24"/>
              </w:rPr>
            </w:pPr>
          </w:p>
          <w:p w:rsidR="007315D2" w:rsidRPr="00FB409B" w:rsidRDefault="007315D2" w:rsidP="0032493A">
            <w:pPr>
              <w:ind w:firstLine="284"/>
              <w:rPr>
                <w:rFonts w:ascii="Times New Roman" w:hAnsi="Times New Roman" w:cs="Times New Roman"/>
                <w:iCs/>
                <w:sz w:val="24"/>
                <w:szCs w:val="24"/>
              </w:rPr>
            </w:pPr>
          </w:p>
        </w:tc>
      </w:tr>
      <w:tr w:rsidR="00FB409B" w:rsidRPr="00FB409B" w:rsidTr="0056288F">
        <w:trPr>
          <w:jc w:val="center"/>
        </w:trPr>
        <w:tc>
          <w:tcPr>
            <w:tcW w:w="5098" w:type="dxa"/>
          </w:tcPr>
          <w:p w:rsidR="000C3D02" w:rsidRPr="00FB409B" w:rsidRDefault="000C3D02" w:rsidP="001B330A">
            <w:pPr>
              <w:pStyle w:val="rvps2"/>
              <w:shd w:val="clear" w:color="auto" w:fill="FFFFFF"/>
              <w:spacing w:before="0" w:beforeAutospacing="0" w:afterAutospacing="0"/>
              <w:ind w:firstLine="448"/>
              <w:jc w:val="both"/>
              <w:rPr>
                <w:shd w:val="clear" w:color="auto" w:fill="FFFFFF"/>
                <w:lang w:val="uk-UA"/>
              </w:rPr>
            </w:pPr>
          </w:p>
          <w:p w:rsidR="001B330A" w:rsidRPr="00FB409B" w:rsidRDefault="001B330A" w:rsidP="001B330A">
            <w:pPr>
              <w:pStyle w:val="rvps2"/>
              <w:shd w:val="clear" w:color="auto" w:fill="FFFFFF"/>
              <w:spacing w:before="0" w:beforeAutospacing="0" w:afterAutospacing="0"/>
              <w:ind w:firstLine="448"/>
              <w:jc w:val="both"/>
              <w:rPr>
                <w:shd w:val="clear" w:color="auto" w:fill="FFFFFF"/>
                <w:lang w:val="uk-UA"/>
              </w:rPr>
            </w:pPr>
            <w:r w:rsidRPr="00FB409B">
              <w:rPr>
                <w:shd w:val="clear" w:color="auto" w:fill="FFFFFF"/>
                <w:lang w:val="uk-UA"/>
              </w:rPr>
              <w:t xml:space="preserve">3. При збільшенні вартості виконання заходів інвестиційної програми (окрім перехідних заходів (об’єктів незавершеного будівництва, розподілених на етапи будівництва)  та заходів, щодо яких було проведено експертизу кошторисної вартості заходу), передбачених затвердженим планом розвитку, </w:t>
            </w:r>
            <w:r w:rsidRPr="00FB409B">
              <w:rPr>
                <w:b/>
                <w:shd w:val="clear" w:color="auto" w:fill="FFFFFF"/>
                <w:lang w:val="uk-UA"/>
              </w:rPr>
              <w:t>до 5 (п'яти) відсотків</w:t>
            </w:r>
            <w:r w:rsidRPr="00FB409B">
              <w:rPr>
                <w:shd w:val="clear" w:color="auto" w:fill="FFFFFF"/>
                <w:lang w:val="uk-UA"/>
              </w:rPr>
              <w:t xml:space="preserve">, Оператор ГРМ </w:t>
            </w:r>
            <w:r w:rsidRPr="00FB409B">
              <w:rPr>
                <w:b/>
                <w:shd w:val="clear" w:color="auto" w:fill="FFFFFF"/>
                <w:lang w:val="uk-UA"/>
              </w:rPr>
              <w:t>за умови наявності економії коштів при повному виконанні відповідних заходів</w:t>
            </w:r>
            <w:r w:rsidRPr="00FB409B">
              <w:rPr>
                <w:shd w:val="clear" w:color="auto" w:fill="FFFFFF"/>
                <w:lang w:val="uk-UA"/>
              </w:rPr>
              <w:t xml:space="preserve"> інвестиційної програми в кількісному вимірі може самостійно зробити перерозподіл фінансування між заходами в розрізі окремого </w:t>
            </w:r>
            <w:r w:rsidRPr="00FB409B">
              <w:rPr>
                <w:shd w:val="clear" w:color="auto" w:fill="FFFFFF"/>
                <w:lang w:val="uk-UA"/>
              </w:rPr>
              <w:lastRenderedPageBreak/>
              <w:t>джерела фінансування та за умови незмінності фізичних обсягів цих заходів.</w:t>
            </w:r>
          </w:p>
          <w:p w:rsidR="001B330A" w:rsidRPr="00FB409B" w:rsidRDefault="001B330A" w:rsidP="001B330A">
            <w:pPr>
              <w:shd w:val="clear" w:color="auto" w:fill="FFFFFF"/>
              <w:ind w:firstLine="709"/>
              <w:jc w:val="both"/>
              <w:rPr>
                <w:rFonts w:ascii="Times New Roman" w:hAnsi="Times New Roman" w:cs="Times New Roman"/>
                <w:sz w:val="24"/>
                <w:szCs w:val="24"/>
              </w:rPr>
            </w:pPr>
          </w:p>
        </w:tc>
        <w:tc>
          <w:tcPr>
            <w:tcW w:w="5812" w:type="dxa"/>
          </w:tcPr>
          <w:p w:rsidR="001B330A" w:rsidRPr="00FB409B" w:rsidRDefault="001B330A" w:rsidP="001B330A">
            <w:pPr>
              <w:pStyle w:val="a5"/>
              <w:spacing w:before="0" w:beforeAutospacing="0" w:after="0" w:afterAutospacing="0" w:line="260" w:lineRule="exact"/>
              <w:ind w:firstLine="457"/>
              <w:contextualSpacing/>
              <w:jc w:val="both"/>
              <w:rPr>
                <w:b/>
                <w:i/>
                <w:shd w:val="clear" w:color="auto" w:fill="FFFFFF"/>
                <w:lang w:val="uk-UA"/>
              </w:rPr>
            </w:pPr>
            <w:r w:rsidRPr="00FB409B">
              <w:rPr>
                <w:b/>
                <w:i/>
                <w:shd w:val="clear" w:color="auto" w:fill="FFFFFF"/>
                <w:lang w:val="uk-UA"/>
              </w:rPr>
              <w:lastRenderedPageBreak/>
              <w:t>Пропозиції АТ «КИЇВГАЗ»:</w:t>
            </w:r>
          </w:p>
          <w:p w:rsidR="001B330A" w:rsidRPr="00FB409B" w:rsidRDefault="001B330A" w:rsidP="001B330A">
            <w:pPr>
              <w:pStyle w:val="rvps2"/>
              <w:shd w:val="clear" w:color="auto" w:fill="FFFFFF"/>
              <w:spacing w:before="0" w:beforeAutospacing="0" w:afterAutospacing="0"/>
              <w:ind w:firstLine="448"/>
              <w:jc w:val="both"/>
              <w:rPr>
                <w:shd w:val="clear" w:color="auto" w:fill="FFFFFF"/>
                <w:lang w:val="uk-UA"/>
              </w:rPr>
            </w:pPr>
            <w:r w:rsidRPr="00FB409B">
              <w:rPr>
                <w:shd w:val="clear" w:color="auto" w:fill="FFFFFF"/>
                <w:lang w:val="uk-UA"/>
              </w:rPr>
              <w:t xml:space="preserve">3. При збільшенні вартості виконання заходів інвестиційної програми (окрім перехідних заходів (об’єктів незавершеного будівництва, розподілених на етапи будівництва)  та заходів, щодо яких було проведено експертизу кошторисної вартості заходу), передбачених затвердженим планом розвитку, </w:t>
            </w:r>
            <w:r w:rsidRPr="00FB409B">
              <w:rPr>
                <w:b/>
                <w:shd w:val="clear" w:color="auto" w:fill="FFFFFF"/>
                <w:lang w:val="uk-UA"/>
              </w:rPr>
              <w:t>до 10 (десяти) відсотків</w:t>
            </w:r>
            <w:r w:rsidRPr="00FB409B">
              <w:rPr>
                <w:shd w:val="clear" w:color="auto" w:fill="FFFFFF"/>
                <w:lang w:val="uk-UA"/>
              </w:rPr>
              <w:t>, Оператор ГРМ за умови наявності економії коштів при повному виконанні відповідних заходів інвестиційної програми в кількісному вимірі може самостійно зробити перерозподіл фінансування між заходами в розрізі окремого джерела фінансування та за умови незмінності фізичних обсягів цих заходів.</w:t>
            </w:r>
          </w:p>
          <w:p w:rsidR="001B330A" w:rsidRPr="00FB409B" w:rsidRDefault="001B330A" w:rsidP="00510415">
            <w:pPr>
              <w:shd w:val="clear" w:color="auto" w:fill="FFFFFF"/>
              <w:spacing w:line="260" w:lineRule="exact"/>
              <w:ind w:firstLine="316"/>
              <w:jc w:val="both"/>
              <w:rPr>
                <w:rFonts w:ascii="Times New Roman" w:hAnsi="Times New Roman" w:cs="Times New Roman"/>
                <w:b/>
                <w:i/>
                <w:sz w:val="24"/>
                <w:szCs w:val="24"/>
              </w:rPr>
            </w:pPr>
            <w:proofErr w:type="spellStart"/>
            <w:r w:rsidRPr="00FB409B">
              <w:rPr>
                <w:rFonts w:ascii="Times New Roman" w:hAnsi="Times New Roman" w:cs="Times New Roman"/>
                <w:b/>
                <w:i/>
                <w:sz w:val="24"/>
                <w:szCs w:val="24"/>
              </w:rPr>
              <w:t>Обгрунтування</w:t>
            </w:r>
            <w:proofErr w:type="spellEnd"/>
            <w:r w:rsidRPr="00FB409B">
              <w:rPr>
                <w:rFonts w:ascii="Times New Roman" w:hAnsi="Times New Roman" w:cs="Times New Roman"/>
                <w:b/>
                <w:i/>
                <w:sz w:val="24"/>
                <w:szCs w:val="24"/>
              </w:rPr>
              <w:t xml:space="preserve"> </w:t>
            </w:r>
            <w:r w:rsidRPr="00FB409B">
              <w:rPr>
                <w:rFonts w:ascii="Times New Roman" w:hAnsi="Times New Roman" w:cs="Times New Roman"/>
                <w:b/>
                <w:i/>
                <w:sz w:val="24"/>
                <w:szCs w:val="24"/>
                <w:shd w:val="clear" w:color="auto" w:fill="FFFFFF"/>
              </w:rPr>
              <w:t>АТ «КИЇВГАЗ»:</w:t>
            </w:r>
          </w:p>
          <w:p w:rsidR="001B330A" w:rsidRPr="00FB409B" w:rsidRDefault="001B330A" w:rsidP="00510415">
            <w:pPr>
              <w:ind w:firstLine="316"/>
              <w:rPr>
                <w:rFonts w:ascii="Times New Roman" w:hAnsi="Times New Roman" w:cs="Times New Roman"/>
                <w:i/>
                <w:sz w:val="24"/>
                <w:szCs w:val="24"/>
                <w:shd w:val="clear" w:color="auto" w:fill="FFFFFF"/>
              </w:rPr>
            </w:pPr>
            <w:r w:rsidRPr="00FB409B">
              <w:rPr>
                <w:rFonts w:ascii="Times New Roman" w:hAnsi="Times New Roman" w:cs="Times New Roman"/>
                <w:bCs/>
                <w:i/>
                <w:iCs/>
                <w:sz w:val="24"/>
                <w:szCs w:val="24"/>
                <w:shd w:val="clear" w:color="auto" w:fill="FFFFFF"/>
              </w:rPr>
              <w:lastRenderedPageBreak/>
              <w:t>Відповідно до «</w:t>
            </w:r>
            <w:r w:rsidRPr="00FB409B">
              <w:rPr>
                <w:rFonts w:ascii="Times New Roman" w:eastAsia="Times New Roman" w:hAnsi="Times New Roman" w:cs="Times New Roman"/>
                <w:i/>
                <w:sz w:val="24"/>
                <w:szCs w:val="24"/>
              </w:rPr>
              <w:t>Примірної методики</w:t>
            </w:r>
            <w:r w:rsidR="00510415" w:rsidRPr="00FB409B">
              <w:rPr>
                <w:rFonts w:ascii="Times New Roman" w:eastAsia="Times New Roman" w:hAnsi="Times New Roman" w:cs="Times New Roman"/>
                <w:i/>
                <w:sz w:val="24"/>
                <w:szCs w:val="24"/>
              </w:rPr>
              <w:t xml:space="preserve"> </w:t>
            </w:r>
            <w:r w:rsidRPr="00FB409B">
              <w:rPr>
                <w:rFonts w:ascii="Times New Roman" w:eastAsia="Times New Roman" w:hAnsi="Times New Roman" w:cs="Times New Roman"/>
                <w:i/>
                <w:sz w:val="24"/>
                <w:szCs w:val="24"/>
              </w:rPr>
              <w:t xml:space="preserve">визначення очікуваної вартості предмета закупівлі», яка була затверджена </w:t>
            </w:r>
            <w:r w:rsidRPr="00FB409B">
              <w:rPr>
                <w:rStyle w:val="rvts23"/>
                <w:rFonts w:ascii="Times New Roman" w:hAnsi="Times New Roman" w:cs="Times New Roman"/>
                <w:b/>
                <w:bCs/>
                <w:i/>
                <w:sz w:val="24"/>
                <w:szCs w:val="24"/>
                <w:shd w:val="clear" w:color="auto" w:fill="FFFFFF"/>
              </w:rPr>
              <w:t xml:space="preserve"> </w:t>
            </w:r>
            <w:r w:rsidRPr="00FB409B">
              <w:rPr>
                <w:rFonts w:ascii="Times New Roman" w:hAnsi="Times New Roman" w:cs="Times New Roman"/>
                <w:bCs/>
                <w:i/>
                <w:iCs/>
                <w:sz w:val="24"/>
                <w:szCs w:val="24"/>
                <w:shd w:val="clear" w:color="auto" w:fill="FFFFFF"/>
              </w:rPr>
              <w:t xml:space="preserve">Наказом </w:t>
            </w:r>
            <w:r w:rsidRPr="00FB409B">
              <w:rPr>
                <w:rFonts w:ascii="Times New Roman" w:hAnsi="Times New Roman" w:cs="Times New Roman"/>
                <w:bCs/>
                <w:i/>
                <w:sz w:val="24"/>
                <w:szCs w:val="24"/>
                <w:shd w:val="clear" w:color="auto" w:fill="FFFFFF"/>
              </w:rPr>
              <w:t>МІНІСТЕРСТВ</w:t>
            </w:r>
            <w:r w:rsidR="008D4B15" w:rsidRPr="00FB409B">
              <w:rPr>
                <w:rFonts w:ascii="Times New Roman" w:hAnsi="Times New Roman" w:cs="Times New Roman"/>
                <w:bCs/>
                <w:i/>
                <w:sz w:val="24"/>
                <w:szCs w:val="24"/>
                <w:shd w:val="clear" w:color="auto" w:fill="FFFFFF"/>
              </w:rPr>
              <w:t>А</w:t>
            </w:r>
            <w:r w:rsidRPr="00FB409B">
              <w:rPr>
                <w:rFonts w:ascii="Times New Roman" w:hAnsi="Times New Roman" w:cs="Times New Roman"/>
                <w:bCs/>
                <w:i/>
                <w:sz w:val="24"/>
                <w:szCs w:val="24"/>
                <w:shd w:val="clear" w:color="auto" w:fill="FFFFFF"/>
              </w:rPr>
              <w:t xml:space="preserve"> РОЗВИТКУ ЕКОНОМІКИ, ТОРГІВЛІ ТА СІЛЬСЬКОГО ГОСПОДАРСТВА УКРАЇНИ від 18.02.2020  № 275, а саме розділу ІІ</w:t>
            </w:r>
            <w:r w:rsidR="008D4B15" w:rsidRPr="00FB409B">
              <w:rPr>
                <w:rFonts w:ascii="Times New Roman" w:hAnsi="Times New Roman" w:cs="Times New Roman"/>
                <w:bCs/>
                <w:i/>
                <w:sz w:val="24"/>
                <w:szCs w:val="24"/>
                <w:shd w:val="clear" w:color="auto" w:fill="FFFFFF"/>
              </w:rPr>
              <w:t>,</w:t>
            </w:r>
            <w:r w:rsidRPr="00FB409B">
              <w:rPr>
                <w:rFonts w:ascii="Times New Roman" w:hAnsi="Times New Roman" w:cs="Times New Roman"/>
                <w:bCs/>
                <w:i/>
                <w:sz w:val="24"/>
                <w:szCs w:val="24"/>
                <w:shd w:val="clear" w:color="auto" w:fill="FFFFFF"/>
              </w:rPr>
              <w:t xml:space="preserve"> </w:t>
            </w:r>
            <w:r w:rsidR="008D4B15" w:rsidRPr="00FB409B">
              <w:rPr>
                <w:rFonts w:ascii="Times New Roman" w:hAnsi="Times New Roman" w:cs="Times New Roman"/>
                <w:i/>
                <w:sz w:val="24"/>
                <w:szCs w:val="24"/>
                <w:shd w:val="clear" w:color="auto" w:fill="FFFFFF"/>
              </w:rPr>
              <w:t>в</w:t>
            </w:r>
            <w:r w:rsidRPr="00FB409B">
              <w:rPr>
                <w:rFonts w:ascii="Times New Roman" w:hAnsi="Times New Roman" w:cs="Times New Roman"/>
                <w:i/>
                <w:sz w:val="24"/>
                <w:szCs w:val="24"/>
                <w:shd w:val="clear" w:color="auto" w:fill="FFFFFF"/>
              </w:rPr>
              <w:t xml:space="preserve">изначення замовником очікуваної вартості складається з таких етапів: </w:t>
            </w:r>
          </w:p>
          <w:p w:rsidR="001B330A" w:rsidRPr="00FB409B" w:rsidRDefault="001B330A" w:rsidP="001B330A">
            <w:pPr>
              <w:pStyle w:val="aa"/>
              <w:numPr>
                <w:ilvl w:val="0"/>
                <w:numId w:val="16"/>
              </w:numPr>
              <w:rPr>
                <w:rFonts w:ascii="Times New Roman" w:hAnsi="Times New Roman" w:cs="Times New Roman"/>
                <w:i/>
                <w:sz w:val="24"/>
                <w:szCs w:val="24"/>
                <w:shd w:val="clear" w:color="auto" w:fill="FFFFFF"/>
              </w:rPr>
            </w:pPr>
            <w:r w:rsidRPr="00FB409B">
              <w:rPr>
                <w:rFonts w:ascii="Times New Roman" w:hAnsi="Times New Roman" w:cs="Times New Roman"/>
                <w:i/>
                <w:sz w:val="24"/>
                <w:szCs w:val="24"/>
                <w:shd w:val="clear" w:color="auto" w:fill="FFFFFF"/>
              </w:rPr>
              <w:t>Визначення потреби в товарах, роботах, послугах</w:t>
            </w:r>
          </w:p>
          <w:p w:rsidR="001B330A" w:rsidRPr="00FB409B" w:rsidRDefault="001B330A" w:rsidP="001B330A">
            <w:pPr>
              <w:pStyle w:val="aa"/>
              <w:numPr>
                <w:ilvl w:val="0"/>
                <w:numId w:val="16"/>
              </w:numPr>
              <w:rPr>
                <w:rFonts w:ascii="Times New Roman" w:hAnsi="Times New Roman" w:cs="Times New Roman"/>
                <w:bCs/>
                <w:i/>
                <w:iCs/>
                <w:sz w:val="24"/>
                <w:szCs w:val="24"/>
                <w:shd w:val="clear" w:color="auto" w:fill="FFFFFF"/>
              </w:rPr>
            </w:pPr>
            <w:r w:rsidRPr="00FB409B">
              <w:rPr>
                <w:rFonts w:ascii="Times New Roman" w:hAnsi="Times New Roman" w:cs="Times New Roman"/>
                <w:i/>
                <w:sz w:val="24"/>
                <w:szCs w:val="24"/>
                <w:shd w:val="clear" w:color="auto" w:fill="FFFFFF"/>
              </w:rPr>
              <w:t>Формування опису предмета закупівлі із зазначенням технічних і якісних характеристик.</w:t>
            </w:r>
          </w:p>
          <w:p w:rsidR="001B330A" w:rsidRPr="00FB409B" w:rsidRDefault="001B330A" w:rsidP="001B330A">
            <w:pPr>
              <w:pStyle w:val="aa"/>
              <w:numPr>
                <w:ilvl w:val="0"/>
                <w:numId w:val="16"/>
              </w:numPr>
              <w:rPr>
                <w:rFonts w:ascii="Times New Roman" w:hAnsi="Times New Roman" w:cs="Times New Roman"/>
                <w:bCs/>
                <w:i/>
                <w:iCs/>
                <w:sz w:val="24"/>
                <w:szCs w:val="24"/>
                <w:shd w:val="clear" w:color="auto" w:fill="FFFFFF"/>
              </w:rPr>
            </w:pPr>
            <w:r w:rsidRPr="00FB409B">
              <w:rPr>
                <w:rFonts w:ascii="Times New Roman" w:hAnsi="Times New Roman" w:cs="Times New Roman"/>
                <w:i/>
                <w:sz w:val="24"/>
                <w:szCs w:val="24"/>
                <w:shd w:val="clear" w:color="auto" w:fill="FFFFFF"/>
              </w:rPr>
              <w:t>Аналіз ринку</w:t>
            </w:r>
          </w:p>
          <w:p w:rsidR="001B330A" w:rsidRPr="00FB409B" w:rsidRDefault="001B330A" w:rsidP="001B330A">
            <w:pPr>
              <w:ind w:left="240"/>
              <w:rPr>
                <w:rFonts w:ascii="Times New Roman" w:hAnsi="Times New Roman" w:cs="Times New Roman"/>
                <w:bCs/>
                <w:i/>
                <w:iCs/>
                <w:sz w:val="24"/>
                <w:szCs w:val="24"/>
                <w:shd w:val="clear" w:color="auto" w:fill="FFFFFF"/>
              </w:rPr>
            </w:pPr>
            <w:r w:rsidRPr="00FB409B">
              <w:rPr>
                <w:rFonts w:ascii="Times New Roman" w:hAnsi="Times New Roman" w:cs="Times New Roman"/>
                <w:bCs/>
                <w:i/>
                <w:iCs/>
                <w:sz w:val="24"/>
                <w:szCs w:val="24"/>
                <w:shd w:val="clear" w:color="auto" w:fill="FFFFFF"/>
              </w:rPr>
              <w:t>Оскільки Товариство подає на затвердження План Розвитку на наступний рік, а за базу бере поточний, то можливе велике коливання цін (більше 5%), у зв’язку з вищеперерахованими вимогами до тендерного проведення, Товариство не може навіть податись на торги з очікуваною вартістю, яка є нижчою за ринкову. Тобто, встановлювати очікувану вартість базуючись на цінах, які  діють на момент затвердження Плану розвитку і можуть суттєво відрізнятись від тих, що будуть у наступному році</w:t>
            </w:r>
            <w:r w:rsidR="00E63AEF" w:rsidRPr="00FB409B">
              <w:rPr>
                <w:rFonts w:ascii="Times New Roman" w:hAnsi="Times New Roman" w:cs="Times New Roman"/>
                <w:bCs/>
                <w:i/>
                <w:iCs/>
                <w:sz w:val="24"/>
                <w:szCs w:val="24"/>
                <w:shd w:val="clear" w:color="auto" w:fill="FFFFFF"/>
              </w:rPr>
              <w:t>,</w:t>
            </w:r>
            <w:r w:rsidRPr="00FB409B">
              <w:rPr>
                <w:rFonts w:ascii="Times New Roman" w:hAnsi="Times New Roman" w:cs="Times New Roman"/>
                <w:bCs/>
                <w:i/>
                <w:iCs/>
                <w:sz w:val="24"/>
                <w:szCs w:val="24"/>
                <w:shd w:val="clear" w:color="auto" w:fill="FFFFFF"/>
              </w:rPr>
              <w:t xml:space="preserve"> суперечить ЗУ «Про публічні закупівлі».</w:t>
            </w:r>
          </w:p>
          <w:p w:rsidR="001B330A" w:rsidRPr="00FB409B" w:rsidRDefault="001B330A" w:rsidP="001B330A">
            <w:pPr>
              <w:shd w:val="clear" w:color="auto" w:fill="FFFFFF"/>
              <w:ind w:firstLine="709"/>
              <w:jc w:val="both"/>
              <w:rPr>
                <w:rFonts w:ascii="Times New Roman" w:eastAsia="Times New Roman" w:hAnsi="Times New Roman" w:cs="Times New Roman"/>
                <w:sz w:val="24"/>
                <w:szCs w:val="24"/>
              </w:rPr>
            </w:pPr>
            <w:r w:rsidRPr="00FB409B">
              <w:rPr>
                <w:rFonts w:ascii="Times New Roman" w:hAnsi="Times New Roman" w:cs="Times New Roman"/>
                <w:bCs/>
                <w:i/>
                <w:iCs/>
                <w:sz w:val="24"/>
                <w:szCs w:val="24"/>
                <w:shd w:val="clear" w:color="auto" w:fill="FFFFFF"/>
              </w:rPr>
              <w:t>У зв’язку з довгою процедурою проведення торгів (2</w:t>
            </w:r>
            <w:r w:rsidR="00E63AEF" w:rsidRPr="00FB409B">
              <w:rPr>
                <w:rFonts w:ascii="Times New Roman" w:hAnsi="Times New Roman" w:cs="Times New Roman"/>
                <w:bCs/>
                <w:i/>
                <w:iCs/>
                <w:sz w:val="24"/>
                <w:szCs w:val="24"/>
                <w:shd w:val="clear" w:color="auto" w:fill="FFFFFF"/>
              </w:rPr>
              <w:t> </w:t>
            </w:r>
            <w:r w:rsidRPr="00FB409B">
              <w:rPr>
                <w:rFonts w:ascii="Times New Roman" w:hAnsi="Times New Roman" w:cs="Times New Roman"/>
                <w:bCs/>
                <w:i/>
                <w:iCs/>
                <w:sz w:val="24"/>
                <w:szCs w:val="24"/>
                <w:shd w:val="clear" w:color="auto" w:fill="FFFFFF"/>
              </w:rPr>
              <w:t>рази) та подальшому коригуванню Плану розвитку (що теж займає час) то більш динамічний люфт у 10% дозволить Товариствам ГРС своєчасно виконувати затверджені  Плани розвитку.</w:t>
            </w:r>
          </w:p>
        </w:tc>
        <w:tc>
          <w:tcPr>
            <w:tcW w:w="4678" w:type="dxa"/>
          </w:tcPr>
          <w:p w:rsidR="001B330A" w:rsidRPr="00FB409B" w:rsidRDefault="001B330A" w:rsidP="001B330A">
            <w:pPr>
              <w:rPr>
                <w:rFonts w:ascii="Times New Roman" w:eastAsia="Calibri" w:hAnsi="Times New Roman" w:cs="Times New Roman"/>
                <w:b/>
                <w:sz w:val="24"/>
                <w:szCs w:val="24"/>
                <w:lang w:eastAsia="ru-RU"/>
              </w:rPr>
            </w:pPr>
          </w:p>
          <w:p w:rsidR="001B330A" w:rsidRPr="00FB409B" w:rsidRDefault="001B330A" w:rsidP="001B330A">
            <w:pPr>
              <w:rPr>
                <w:rFonts w:ascii="Times New Roman" w:eastAsia="Calibri" w:hAnsi="Times New Roman" w:cs="Times New Roman"/>
                <w:b/>
                <w:sz w:val="24"/>
                <w:szCs w:val="24"/>
                <w:lang w:eastAsia="ru-RU"/>
              </w:rPr>
            </w:pPr>
            <w:r w:rsidRPr="00FB409B">
              <w:rPr>
                <w:rFonts w:ascii="Times New Roman" w:eastAsia="Calibri" w:hAnsi="Times New Roman" w:cs="Times New Roman"/>
                <w:b/>
                <w:sz w:val="24"/>
                <w:szCs w:val="24"/>
                <w:lang w:eastAsia="ru-RU"/>
              </w:rPr>
              <w:t>Потребує обговорення</w:t>
            </w:r>
          </w:p>
          <w:p w:rsidR="001B330A" w:rsidRPr="00FB409B" w:rsidRDefault="001B330A" w:rsidP="001B330A">
            <w:pPr>
              <w:shd w:val="clear" w:color="auto" w:fill="FFFFFF"/>
              <w:spacing w:after="150"/>
              <w:rPr>
                <w:rFonts w:ascii="Times New Roman" w:hAnsi="Times New Roman" w:cs="Times New Roman"/>
                <w:b/>
                <w:bCs/>
                <w:iCs/>
                <w:sz w:val="24"/>
                <w:szCs w:val="24"/>
                <w:shd w:val="clear" w:color="auto" w:fill="FFFFFF"/>
              </w:rPr>
            </w:pPr>
          </w:p>
        </w:tc>
      </w:tr>
      <w:tr w:rsidR="00FB409B" w:rsidRPr="00FB409B" w:rsidTr="0056288F">
        <w:trPr>
          <w:jc w:val="center"/>
        </w:trPr>
        <w:tc>
          <w:tcPr>
            <w:tcW w:w="5098" w:type="dxa"/>
          </w:tcPr>
          <w:p w:rsidR="003B3381" w:rsidRPr="00FB409B" w:rsidRDefault="003B3381" w:rsidP="003B3381">
            <w:pPr>
              <w:shd w:val="clear" w:color="auto" w:fill="FFFFFF"/>
              <w:ind w:firstLine="448"/>
              <w:jc w:val="both"/>
              <w:rPr>
                <w:rFonts w:ascii="Times New Roman" w:eastAsia="Times New Roman" w:hAnsi="Times New Roman" w:cs="Times New Roman"/>
                <w:b/>
                <w:i/>
                <w:sz w:val="24"/>
                <w:szCs w:val="24"/>
                <w:shd w:val="clear" w:color="auto" w:fill="FFFFFF"/>
              </w:rPr>
            </w:pPr>
            <w:r w:rsidRPr="00FB409B">
              <w:rPr>
                <w:rFonts w:ascii="Times New Roman" w:eastAsia="Times New Roman" w:hAnsi="Times New Roman" w:cs="Times New Roman"/>
                <w:b/>
                <w:i/>
                <w:sz w:val="24"/>
                <w:szCs w:val="24"/>
                <w:shd w:val="clear" w:color="auto" w:fill="FFFFFF"/>
              </w:rPr>
              <w:t xml:space="preserve">2 </w:t>
            </w:r>
            <w:proofErr w:type="spellStart"/>
            <w:r w:rsidRPr="00FB409B">
              <w:rPr>
                <w:rFonts w:ascii="Times New Roman" w:eastAsia="Times New Roman" w:hAnsi="Times New Roman" w:cs="Times New Roman"/>
                <w:b/>
                <w:i/>
                <w:sz w:val="24"/>
                <w:szCs w:val="24"/>
                <w:shd w:val="clear" w:color="auto" w:fill="FFFFFF"/>
              </w:rPr>
              <w:t>абз</w:t>
            </w:r>
            <w:proofErr w:type="spellEnd"/>
            <w:r w:rsidRPr="00FB409B">
              <w:rPr>
                <w:rFonts w:ascii="Times New Roman" w:eastAsia="Times New Roman" w:hAnsi="Times New Roman" w:cs="Times New Roman"/>
                <w:b/>
                <w:i/>
                <w:sz w:val="24"/>
                <w:szCs w:val="24"/>
                <w:shd w:val="clear" w:color="auto" w:fill="FFFFFF"/>
              </w:rPr>
              <w:t>. пункту 7</w:t>
            </w:r>
            <w:r w:rsidR="00C92131" w:rsidRPr="00FB409B">
              <w:rPr>
                <w:rFonts w:ascii="Times New Roman" w:eastAsia="Times New Roman" w:hAnsi="Times New Roman" w:cs="Times New Roman"/>
                <w:b/>
                <w:i/>
                <w:sz w:val="24"/>
                <w:szCs w:val="24"/>
                <w:shd w:val="clear" w:color="auto" w:fill="FFFFFF"/>
              </w:rPr>
              <w:t xml:space="preserve"> - вилучити</w:t>
            </w:r>
          </w:p>
          <w:p w:rsidR="003B3381" w:rsidRPr="00FB409B" w:rsidRDefault="003B3381" w:rsidP="0001285D">
            <w:pPr>
              <w:shd w:val="clear" w:color="auto" w:fill="FFFFFF"/>
              <w:ind w:firstLine="448"/>
              <w:jc w:val="both"/>
              <w:rPr>
                <w:rFonts w:ascii="Times New Roman" w:hAnsi="Times New Roman" w:cs="Times New Roman"/>
                <w:sz w:val="24"/>
                <w:szCs w:val="24"/>
              </w:rPr>
            </w:pPr>
            <w:r w:rsidRPr="00FB409B">
              <w:rPr>
                <w:rFonts w:ascii="Times New Roman" w:eastAsia="Times New Roman" w:hAnsi="Times New Roman" w:cs="Times New Roman"/>
                <w:strike/>
                <w:sz w:val="24"/>
                <w:szCs w:val="24"/>
                <w:shd w:val="clear" w:color="auto" w:fill="FFFFFF"/>
              </w:rPr>
              <w:t>Об'єкти (заходи), які були профінансовані Оператором ГРМ, але не передбачені планом розвитку, не враховуються як виконання плану розвитку.</w:t>
            </w:r>
          </w:p>
        </w:tc>
        <w:tc>
          <w:tcPr>
            <w:tcW w:w="5812" w:type="dxa"/>
          </w:tcPr>
          <w:p w:rsidR="003B3381" w:rsidRPr="00FB409B" w:rsidRDefault="009A2ED6" w:rsidP="00DF03E6">
            <w:pPr>
              <w:pStyle w:val="a5"/>
              <w:spacing w:before="0" w:beforeAutospacing="0" w:after="0" w:afterAutospacing="0" w:line="260" w:lineRule="exact"/>
              <w:ind w:firstLine="457"/>
              <w:contextualSpacing/>
              <w:jc w:val="both"/>
              <w:rPr>
                <w:b/>
                <w:i/>
                <w:shd w:val="clear" w:color="auto" w:fill="FFFFFF"/>
                <w:lang w:val="uk-UA"/>
              </w:rPr>
            </w:pPr>
            <w:r w:rsidRPr="00FB409B">
              <w:rPr>
                <w:b/>
                <w:i/>
                <w:lang w:val="uk-UA"/>
              </w:rPr>
              <w:t>Зауваження не надходили</w:t>
            </w:r>
          </w:p>
        </w:tc>
        <w:tc>
          <w:tcPr>
            <w:tcW w:w="4678" w:type="dxa"/>
          </w:tcPr>
          <w:p w:rsidR="003B3381" w:rsidRPr="00FB409B" w:rsidRDefault="003B3381" w:rsidP="007315D2">
            <w:pPr>
              <w:rPr>
                <w:rFonts w:ascii="Times New Roman" w:hAnsi="Times New Roman" w:cs="Times New Roman"/>
                <w:b/>
                <w:bCs/>
                <w:iCs/>
                <w:sz w:val="24"/>
                <w:szCs w:val="24"/>
                <w:shd w:val="clear" w:color="auto" w:fill="FFFFFF"/>
              </w:rPr>
            </w:pPr>
          </w:p>
        </w:tc>
      </w:tr>
      <w:tr w:rsidR="00FB409B" w:rsidRPr="00FB409B" w:rsidTr="0056288F">
        <w:trPr>
          <w:jc w:val="center"/>
        </w:trPr>
        <w:tc>
          <w:tcPr>
            <w:tcW w:w="5098" w:type="dxa"/>
          </w:tcPr>
          <w:p w:rsidR="00A67D9C" w:rsidRPr="00FB409B" w:rsidRDefault="00A67D9C" w:rsidP="00A67D9C">
            <w:pPr>
              <w:shd w:val="clear" w:color="auto" w:fill="FFFFFF"/>
              <w:ind w:firstLine="448"/>
              <w:jc w:val="both"/>
              <w:rPr>
                <w:rFonts w:ascii="Times New Roman" w:eastAsia="Times New Roman" w:hAnsi="Times New Roman" w:cs="Times New Roman"/>
                <w:b/>
                <w:i/>
                <w:sz w:val="24"/>
                <w:szCs w:val="24"/>
                <w:shd w:val="clear" w:color="auto" w:fill="FFFFFF"/>
              </w:rPr>
            </w:pPr>
            <w:r w:rsidRPr="00FB409B">
              <w:rPr>
                <w:rFonts w:ascii="Times New Roman" w:eastAsia="Times New Roman" w:hAnsi="Times New Roman" w:cs="Times New Roman"/>
                <w:b/>
                <w:i/>
                <w:sz w:val="24"/>
                <w:szCs w:val="24"/>
                <w:shd w:val="clear" w:color="auto" w:fill="FFFFFF"/>
              </w:rPr>
              <w:t>Нова норма</w:t>
            </w:r>
          </w:p>
          <w:p w:rsidR="00B14F7A" w:rsidRPr="00FB409B" w:rsidRDefault="00B14F7A" w:rsidP="00A67D9C">
            <w:pPr>
              <w:shd w:val="clear" w:color="auto" w:fill="FFFFFF"/>
              <w:ind w:firstLine="448"/>
              <w:jc w:val="both"/>
              <w:rPr>
                <w:rFonts w:ascii="Times New Roman" w:eastAsia="Times New Roman" w:hAnsi="Times New Roman" w:cs="Times New Roman"/>
                <w:b/>
                <w:i/>
                <w:sz w:val="24"/>
                <w:szCs w:val="24"/>
                <w:shd w:val="clear" w:color="auto" w:fill="FFFFFF"/>
              </w:rPr>
            </w:pPr>
          </w:p>
          <w:p w:rsidR="00A67D9C" w:rsidRPr="00FB409B" w:rsidRDefault="00A67D9C" w:rsidP="00A67D9C">
            <w:pPr>
              <w:pStyle w:val="rvps2"/>
              <w:shd w:val="clear" w:color="auto" w:fill="FFFFFF"/>
              <w:spacing w:before="0" w:beforeAutospacing="0" w:after="0" w:afterAutospacing="0"/>
              <w:ind w:firstLine="450"/>
              <w:jc w:val="both"/>
              <w:rPr>
                <w:lang w:val="uk-UA"/>
              </w:rPr>
            </w:pPr>
            <w:r w:rsidRPr="00FB409B">
              <w:rPr>
                <w:lang w:val="uk-UA"/>
              </w:rPr>
              <w:lastRenderedPageBreak/>
              <w:t>8. При здійсненні заходів державного контролю не враховуються як виконання інвестиційної програми:</w:t>
            </w:r>
          </w:p>
          <w:p w:rsidR="00A67D9C" w:rsidRPr="00FB409B" w:rsidRDefault="00A67D9C" w:rsidP="00A67D9C">
            <w:pPr>
              <w:pStyle w:val="rvps2"/>
              <w:shd w:val="clear" w:color="auto" w:fill="FFFFFF"/>
              <w:spacing w:before="0" w:beforeAutospacing="0" w:after="0" w:afterAutospacing="0"/>
              <w:ind w:firstLine="450"/>
              <w:jc w:val="both"/>
              <w:rPr>
                <w:lang w:val="uk-UA"/>
              </w:rPr>
            </w:pPr>
            <w:r w:rsidRPr="00FB409B">
              <w:rPr>
                <w:lang w:val="uk-UA"/>
              </w:rPr>
              <w:t>заходи, які були виконані/профінансовані Оператором ГРМ, але не передбачені інвестиційною програмою затвердженого плану розвитку;</w:t>
            </w:r>
          </w:p>
          <w:p w:rsidR="00A67D9C" w:rsidRPr="00FB409B" w:rsidRDefault="00A67D9C" w:rsidP="00A67D9C">
            <w:pPr>
              <w:pStyle w:val="rvps2"/>
              <w:shd w:val="clear" w:color="auto" w:fill="FFFFFF"/>
              <w:spacing w:before="0" w:beforeAutospacing="0" w:after="0" w:afterAutospacing="0"/>
              <w:ind w:firstLine="450"/>
              <w:jc w:val="both"/>
              <w:rPr>
                <w:shd w:val="clear" w:color="auto" w:fill="FFFFFF"/>
                <w:lang w:val="uk-UA"/>
              </w:rPr>
            </w:pPr>
            <w:r w:rsidRPr="00FB409B">
              <w:rPr>
                <w:lang w:val="uk-UA"/>
              </w:rPr>
              <w:t xml:space="preserve">обсяги фінансування за заходами інвестиційної програми затвердженого плану розвитку в разі здійснення такого фінансування до моменту затвердження відповідного плану розвитку. </w:t>
            </w:r>
          </w:p>
          <w:p w:rsidR="00A67D9C" w:rsidRPr="00FB409B" w:rsidRDefault="00A67D9C" w:rsidP="00A67D9C">
            <w:pPr>
              <w:shd w:val="clear" w:color="auto" w:fill="FFFFFF"/>
              <w:ind w:firstLine="448"/>
              <w:jc w:val="both"/>
              <w:rPr>
                <w:rFonts w:ascii="Times New Roman" w:eastAsia="Times New Roman" w:hAnsi="Times New Roman" w:cs="Times New Roman"/>
                <w:sz w:val="24"/>
                <w:szCs w:val="24"/>
                <w:shd w:val="clear" w:color="auto" w:fill="FFFFFF"/>
              </w:rPr>
            </w:pPr>
          </w:p>
        </w:tc>
        <w:tc>
          <w:tcPr>
            <w:tcW w:w="5812" w:type="dxa"/>
          </w:tcPr>
          <w:p w:rsidR="00A67D9C" w:rsidRPr="00FB409B" w:rsidRDefault="00A67D9C" w:rsidP="00510415">
            <w:pPr>
              <w:pStyle w:val="a5"/>
              <w:spacing w:before="0" w:beforeAutospacing="0" w:after="0" w:afterAutospacing="0" w:line="260" w:lineRule="exact"/>
              <w:ind w:firstLine="316"/>
              <w:contextualSpacing/>
              <w:jc w:val="both"/>
              <w:rPr>
                <w:b/>
                <w:i/>
                <w:shd w:val="clear" w:color="auto" w:fill="FFFFFF"/>
                <w:lang w:val="uk-UA"/>
              </w:rPr>
            </w:pPr>
            <w:r w:rsidRPr="00FB409B">
              <w:rPr>
                <w:b/>
                <w:i/>
                <w:shd w:val="clear" w:color="auto" w:fill="FFFFFF"/>
                <w:lang w:val="uk-UA"/>
              </w:rPr>
              <w:lastRenderedPageBreak/>
              <w:t>Пропозиції ТОВ «ГАЗОРОЗПОДІЛЬНІ МЕРЕЖІ УКРАЇНИ»:</w:t>
            </w:r>
          </w:p>
          <w:p w:rsidR="00A67D9C" w:rsidRPr="00FB409B" w:rsidRDefault="00A67D9C" w:rsidP="00510415">
            <w:pPr>
              <w:pStyle w:val="rvps2"/>
              <w:shd w:val="clear" w:color="auto" w:fill="FFFFFF"/>
              <w:spacing w:before="0" w:beforeAutospacing="0" w:after="0" w:afterAutospacing="0"/>
              <w:ind w:firstLine="316"/>
              <w:jc w:val="both"/>
              <w:rPr>
                <w:lang w:val="uk-UA"/>
              </w:rPr>
            </w:pPr>
            <w:r w:rsidRPr="00FB409B">
              <w:rPr>
                <w:lang w:val="uk-UA"/>
              </w:rPr>
              <w:lastRenderedPageBreak/>
              <w:t>8. При здійсненні заходів державного контролю не враховуються як виконання інвестиційної програми:</w:t>
            </w:r>
          </w:p>
          <w:p w:rsidR="00A67D9C" w:rsidRPr="00FB409B" w:rsidRDefault="00A67D9C" w:rsidP="00510415">
            <w:pPr>
              <w:pStyle w:val="rvps2"/>
              <w:shd w:val="clear" w:color="auto" w:fill="FFFFFF"/>
              <w:spacing w:before="0" w:beforeAutospacing="0" w:after="0" w:afterAutospacing="0"/>
              <w:ind w:firstLine="316"/>
              <w:jc w:val="both"/>
              <w:rPr>
                <w:lang w:val="uk-UA"/>
              </w:rPr>
            </w:pPr>
            <w:r w:rsidRPr="00FB409B">
              <w:rPr>
                <w:lang w:val="uk-UA"/>
              </w:rPr>
              <w:t>заходи, які були виконані/профінансовані Оператором ГРМ, але не передбачені інвестиційною програмою затвердженого плану розвитку;</w:t>
            </w:r>
          </w:p>
          <w:p w:rsidR="00C92131" w:rsidRPr="00FB409B" w:rsidRDefault="00A67D9C" w:rsidP="00C92131">
            <w:pPr>
              <w:pStyle w:val="rvps2"/>
              <w:shd w:val="clear" w:color="auto" w:fill="FFFFFF"/>
              <w:spacing w:before="0" w:beforeAutospacing="0" w:after="0" w:afterAutospacing="0"/>
              <w:ind w:firstLine="316"/>
              <w:jc w:val="both"/>
              <w:rPr>
                <w:b/>
                <w:lang w:val="uk-UA"/>
              </w:rPr>
            </w:pPr>
            <w:r w:rsidRPr="00FB409B">
              <w:rPr>
                <w:lang w:val="uk-UA"/>
              </w:rPr>
              <w:t>обсяги фінансування за заходами інвестиційної програми затвердженого плану розвитку в разі здійснення такого фінансування до моменту затвердження відповідного плану розвитку</w:t>
            </w:r>
            <w:r w:rsidRPr="00FB409B">
              <w:rPr>
                <w:b/>
                <w:lang w:val="uk-UA"/>
              </w:rPr>
              <w:t xml:space="preserve">, крім аварійних ситуацій. </w:t>
            </w:r>
          </w:p>
          <w:p w:rsidR="00A67D9C" w:rsidRPr="00FB409B" w:rsidRDefault="00A67D9C" w:rsidP="00C92131">
            <w:pPr>
              <w:pStyle w:val="rvps2"/>
              <w:shd w:val="clear" w:color="auto" w:fill="FFFFFF"/>
              <w:spacing w:before="60" w:beforeAutospacing="0" w:after="60" w:afterAutospacing="0"/>
              <w:ind w:firstLine="318"/>
              <w:jc w:val="both"/>
              <w:rPr>
                <w:lang w:val="uk-UA"/>
              </w:rPr>
            </w:pPr>
            <w:proofErr w:type="spellStart"/>
            <w:r w:rsidRPr="00FB409B">
              <w:rPr>
                <w:b/>
                <w:i/>
                <w:shd w:val="clear" w:color="auto" w:fill="FFFFFF"/>
                <w:lang w:val="uk-UA"/>
              </w:rPr>
              <w:t>Обгрунтування</w:t>
            </w:r>
            <w:proofErr w:type="spellEnd"/>
            <w:r w:rsidRPr="00FB409B">
              <w:rPr>
                <w:b/>
                <w:i/>
                <w:shd w:val="clear" w:color="auto" w:fill="FFFFFF"/>
                <w:lang w:val="uk-UA"/>
              </w:rPr>
              <w:t xml:space="preserve"> ТОВ «ГАЗОРОЗПОДІЛЬНІ МЕРЕЖІ УКРАЇНИ»: відсутні</w:t>
            </w:r>
          </w:p>
        </w:tc>
        <w:tc>
          <w:tcPr>
            <w:tcW w:w="4678" w:type="dxa"/>
          </w:tcPr>
          <w:p w:rsidR="00805FBF" w:rsidRPr="00FB409B" w:rsidRDefault="00805FBF" w:rsidP="0004265A">
            <w:pPr>
              <w:ind w:firstLine="175"/>
              <w:jc w:val="both"/>
              <w:rPr>
                <w:rFonts w:ascii="Times New Roman" w:eastAsia="Times New Roman" w:hAnsi="Times New Roman" w:cs="Times New Roman"/>
                <w:b/>
                <w:sz w:val="24"/>
                <w:szCs w:val="24"/>
              </w:rPr>
            </w:pPr>
            <w:r w:rsidRPr="00FB409B">
              <w:rPr>
                <w:rFonts w:ascii="Times New Roman" w:eastAsia="Times New Roman" w:hAnsi="Times New Roman" w:cs="Times New Roman"/>
                <w:b/>
                <w:sz w:val="24"/>
                <w:szCs w:val="24"/>
              </w:rPr>
              <w:lastRenderedPageBreak/>
              <w:t>Попередньо відхиляється</w:t>
            </w:r>
          </w:p>
          <w:p w:rsidR="00A67D9C" w:rsidRPr="00FB409B" w:rsidRDefault="00BE1FCA" w:rsidP="00107F56">
            <w:pPr>
              <w:ind w:left="240"/>
              <w:rPr>
                <w:rFonts w:ascii="Times New Roman" w:hAnsi="Times New Roman" w:cs="Times New Roman"/>
                <w:bCs/>
                <w:iCs/>
                <w:sz w:val="24"/>
                <w:szCs w:val="24"/>
                <w:shd w:val="clear" w:color="auto" w:fill="FFFFFF"/>
                <w:lang w:val="ru-RU"/>
              </w:rPr>
            </w:pPr>
            <w:r w:rsidRPr="00FB409B">
              <w:rPr>
                <w:rFonts w:ascii="Times New Roman" w:hAnsi="Times New Roman" w:cs="Times New Roman"/>
                <w:bCs/>
                <w:iCs/>
                <w:sz w:val="24"/>
                <w:szCs w:val="24"/>
                <w:shd w:val="clear" w:color="auto" w:fill="FFFFFF"/>
                <w:lang w:val="ru-RU"/>
              </w:rPr>
              <w:t>Н</w:t>
            </w:r>
            <w:r w:rsidR="00130CA6" w:rsidRPr="00FB409B">
              <w:rPr>
                <w:rFonts w:ascii="Times New Roman" w:hAnsi="Times New Roman" w:cs="Times New Roman"/>
                <w:bCs/>
                <w:iCs/>
                <w:sz w:val="24"/>
                <w:szCs w:val="24"/>
                <w:shd w:val="clear" w:color="auto" w:fill="FFFFFF"/>
                <w:lang w:val="ru-RU"/>
              </w:rPr>
              <w:t xml:space="preserve">е </w:t>
            </w:r>
            <w:proofErr w:type="spellStart"/>
            <w:r w:rsidR="00130CA6" w:rsidRPr="00FB409B">
              <w:rPr>
                <w:rFonts w:ascii="Times New Roman" w:hAnsi="Times New Roman" w:cs="Times New Roman"/>
                <w:bCs/>
                <w:iCs/>
                <w:sz w:val="24"/>
                <w:szCs w:val="24"/>
                <w:shd w:val="clear" w:color="auto" w:fill="FFFFFF"/>
                <w:lang w:val="ru-RU"/>
              </w:rPr>
              <w:t>надано</w:t>
            </w:r>
            <w:proofErr w:type="spellEnd"/>
            <w:r w:rsidR="00130CA6" w:rsidRPr="00FB409B">
              <w:rPr>
                <w:rFonts w:ascii="Times New Roman" w:hAnsi="Times New Roman" w:cs="Times New Roman"/>
                <w:bCs/>
                <w:iCs/>
                <w:sz w:val="24"/>
                <w:szCs w:val="24"/>
                <w:shd w:val="clear" w:color="auto" w:fill="FFFFFF"/>
                <w:lang w:val="ru-RU"/>
              </w:rPr>
              <w:t xml:space="preserve"> </w:t>
            </w:r>
            <w:proofErr w:type="spellStart"/>
            <w:r w:rsidR="00130CA6" w:rsidRPr="00FB409B">
              <w:rPr>
                <w:rFonts w:ascii="Times New Roman" w:hAnsi="Times New Roman" w:cs="Times New Roman"/>
                <w:bCs/>
                <w:iCs/>
                <w:sz w:val="24"/>
                <w:szCs w:val="24"/>
                <w:shd w:val="clear" w:color="auto" w:fill="FFFFFF"/>
                <w:lang w:val="ru-RU"/>
              </w:rPr>
              <w:t>належне</w:t>
            </w:r>
            <w:proofErr w:type="spellEnd"/>
            <w:r w:rsidR="00130CA6" w:rsidRPr="00FB409B">
              <w:rPr>
                <w:rFonts w:ascii="Times New Roman" w:hAnsi="Times New Roman" w:cs="Times New Roman"/>
                <w:bCs/>
                <w:iCs/>
                <w:sz w:val="24"/>
                <w:szCs w:val="24"/>
                <w:shd w:val="clear" w:color="auto" w:fill="FFFFFF"/>
                <w:lang w:val="ru-RU"/>
              </w:rPr>
              <w:t xml:space="preserve"> </w:t>
            </w:r>
            <w:proofErr w:type="spellStart"/>
            <w:r w:rsidR="00130CA6" w:rsidRPr="00FB409B">
              <w:rPr>
                <w:rFonts w:ascii="Times New Roman" w:hAnsi="Times New Roman" w:cs="Times New Roman"/>
                <w:bCs/>
                <w:iCs/>
                <w:sz w:val="24"/>
                <w:szCs w:val="24"/>
                <w:shd w:val="clear" w:color="auto" w:fill="FFFFFF"/>
                <w:lang w:val="ru-RU"/>
              </w:rPr>
              <w:t>обг</w:t>
            </w:r>
            <w:r w:rsidR="00594D91" w:rsidRPr="00FB409B">
              <w:rPr>
                <w:rFonts w:ascii="Times New Roman" w:hAnsi="Times New Roman" w:cs="Times New Roman"/>
                <w:bCs/>
                <w:iCs/>
                <w:sz w:val="24"/>
                <w:szCs w:val="24"/>
                <w:shd w:val="clear" w:color="auto" w:fill="FFFFFF"/>
                <w:lang w:val="ru-RU"/>
              </w:rPr>
              <w:t>ру</w:t>
            </w:r>
            <w:r w:rsidR="00130CA6" w:rsidRPr="00FB409B">
              <w:rPr>
                <w:rFonts w:ascii="Times New Roman" w:hAnsi="Times New Roman" w:cs="Times New Roman"/>
                <w:bCs/>
                <w:iCs/>
                <w:sz w:val="24"/>
                <w:szCs w:val="24"/>
                <w:shd w:val="clear" w:color="auto" w:fill="FFFFFF"/>
                <w:lang w:val="ru-RU"/>
              </w:rPr>
              <w:t>нт</w:t>
            </w:r>
            <w:r w:rsidR="00594D91" w:rsidRPr="00FB409B">
              <w:rPr>
                <w:rFonts w:ascii="Times New Roman" w:hAnsi="Times New Roman" w:cs="Times New Roman"/>
                <w:bCs/>
                <w:iCs/>
                <w:sz w:val="24"/>
                <w:szCs w:val="24"/>
                <w:shd w:val="clear" w:color="auto" w:fill="FFFFFF"/>
                <w:lang w:val="ru-RU"/>
              </w:rPr>
              <w:t>у</w:t>
            </w:r>
            <w:r w:rsidR="00130CA6" w:rsidRPr="00FB409B">
              <w:rPr>
                <w:rFonts w:ascii="Times New Roman" w:hAnsi="Times New Roman" w:cs="Times New Roman"/>
                <w:bCs/>
                <w:iCs/>
                <w:sz w:val="24"/>
                <w:szCs w:val="24"/>
                <w:shd w:val="clear" w:color="auto" w:fill="FFFFFF"/>
                <w:lang w:val="ru-RU"/>
              </w:rPr>
              <w:t>вання</w:t>
            </w:r>
            <w:proofErr w:type="spellEnd"/>
            <w:r w:rsidR="00130CA6" w:rsidRPr="00FB409B">
              <w:rPr>
                <w:rFonts w:ascii="Times New Roman" w:hAnsi="Times New Roman" w:cs="Times New Roman"/>
                <w:bCs/>
                <w:iCs/>
                <w:sz w:val="24"/>
                <w:szCs w:val="24"/>
                <w:shd w:val="clear" w:color="auto" w:fill="FFFFFF"/>
                <w:lang w:val="ru-RU"/>
              </w:rPr>
              <w:t xml:space="preserve"> </w:t>
            </w:r>
            <w:proofErr w:type="spellStart"/>
            <w:r w:rsidR="00107F56" w:rsidRPr="00FB409B">
              <w:rPr>
                <w:rFonts w:ascii="Times New Roman" w:hAnsi="Times New Roman" w:cs="Times New Roman"/>
                <w:bCs/>
                <w:iCs/>
                <w:sz w:val="24"/>
                <w:szCs w:val="24"/>
                <w:shd w:val="clear" w:color="auto" w:fill="FFFFFF"/>
                <w:lang w:val="ru-RU"/>
              </w:rPr>
              <w:t>пропонованої</w:t>
            </w:r>
            <w:proofErr w:type="spellEnd"/>
            <w:r w:rsidR="00107F56" w:rsidRPr="00FB409B">
              <w:rPr>
                <w:rFonts w:ascii="Times New Roman" w:hAnsi="Times New Roman" w:cs="Times New Roman"/>
                <w:bCs/>
                <w:iCs/>
                <w:sz w:val="24"/>
                <w:szCs w:val="24"/>
                <w:shd w:val="clear" w:color="auto" w:fill="FFFFFF"/>
                <w:lang w:val="ru-RU"/>
              </w:rPr>
              <w:t xml:space="preserve"> </w:t>
            </w:r>
            <w:proofErr w:type="spellStart"/>
            <w:r w:rsidR="00107F56" w:rsidRPr="00FB409B">
              <w:rPr>
                <w:rFonts w:ascii="Times New Roman" w:hAnsi="Times New Roman" w:cs="Times New Roman"/>
                <w:bCs/>
                <w:iCs/>
                <w:sz w:val="24"/>
                <w:szCs w:val="24"/>
                <w:shd w:val="clear" w:color="auto" w:fill="FFFFFF"/>
                <w:lang w:val="ru-RU"/>
              </w:rPr>
              <w:t>редакції</w:t>
            </w:r>
            <w:proofErr w:type="spellEnd"/>
            <w:r w:rsidR="0004265A" w:rsidRPr="00FB409B">
              <w:rPr>
                <w:rFonts w:ascii="Times New Roman" w:hAnsi="Times New Roman" w:cs="Times New Roman"/>
                <w:bCs/>
                <w:iCs/>
                <w:sz w:val="24"/>
                <w:szCs w:val="24"/>
                <w:shd w:val="clear" w:color="auto" w:fill="FFFFFF"/>
              </w:rPr>
              <w:t xml:space="preserve"> </w:t>
            </w:r>
          </w:p>
        </w:tc>
      </w:tr>
      <w:tr w:rsidR="00FB409B" w:rsidRPr="00FB409B" w:rsidTr="007A06D2">
        <w:trPr>
          <w:jc w:val="center"/>
        </w:trPr>
        <w:tc>
          <w:tcPr>
            <w:tcW w:w="15588" w:type="dxa"/>
            <w:gridSpan w:val="3"/>
          </w:tcPr>
          <w:p w:rsidR="0026163B" w:rsidRPr="00FB409B" w:rsidRDefault="0026163B" w:rsidP="0001285D">
            <w:pPr>
              <w:shd w:val="clear" w:color="auto" w:fill="FFFFFF"/>
              <w:jc w:val="center"/>
              <w:rPr>
                <w:rFonts w:ascii="Times New Roman" w:hAnsi="Times New Roman" w:cs="Times New Roman"/>
                <w:b/>
                <w:sz w:val="24"/>
                <w:szCs w:val="24"/>
                <w:lang w:eastAsia="ru-RU"/>
              </w:rPr>
            </w:pPr>
          </w:p>
          <w:p w:rsidR="0026163B" w:rsidRPr="00FB409B" w:rsidRDefault="006D0EC3" w:rsidP="00510415">
            <w:pPr>
              <w:shd w:val="clear" w:color="auto" w:fill="FFFFFF"/>
              <w:spacing w:after="60"/>
              <w:jc w:val="center"/>
              <w:rPr>
                <w:rFonts w:ascii="Times New Roman" w:hAnsi="Times New Roman" w:cs="Times New Roman"/>
                <w:bCs/>
                <w:iCs/>
                <w:sz w:val="24"/>
                <w:szCs w:val="24"/>
                <w:shd w:val="clear" w:color="auto" w:fill="FFFFFF"/>
              </w:rPr>
            </w:pPr>
            <w:r w:rsidRPr="00FB409B">
              <w:rPr>
                <w:rFonts w:ascii="Times New Roman" w:hAnsi="Times New Roman" w:cs="Times New Roman"/>
                <w:b/>
                <w:sz w:val="24"/>
                <w:szCs w:val="24"/>
                <w:lang w:eastAsia="ru-RU"/>
              </w:rPr>
              <w:t>6. Порядок надання звітної інформації щодо виконання плану розвитку</w:t>
            </w:r>
          </w:p>
        </w:tc>
      </w:tr>
      <w:tr w:rsidR="00FB409B" w:rsidRPr="00FB409B" w:rsidTr="0056288F">
        <w:trPr>
          <w:jc w:val="center"/>
        </w:trPr>
        <w:tc>
          <w:tcPr>
            <w:tcW w:w="5098" w:type="dxa"/>
          </w:tcPr>
          <w:p w:rsidR="0026163B" w:rsidRPr="00FB409B" w:rsidRDefault="0026163B" w:rsidP="006D0EC3">
            <w:pPr>
              <w:shd w:val="clear" w:color="auto" w:fill="FFFFFF"/>
              <w:ind w:firstLine="450"/>
              <w:jc w:val="both"/>
              <w:rPr>
                <w:rFonts w:ascii="Times New Roman" w:hAnsi="Times New Roman" w:cs="Times New Roman"/>
                <w:sz w:val="24"/>
                <w:szCs w:val="24"/>
              </w:rPr>
            </w:pPr>
          </w:p>
          <w:p w:rsidR="006D0EC3" w:rsidRPr="00FB409B" w:rsidRDefault="006D0EC3" w:rsidP="006D0EC3">
            <w:pPr>
              <w:shd w:val="clear" w:color="auto" w:fill="FFFFFF"/>
              <w:ind w:firstLine="450"/>
              <w:jc w:val="both"/>
              <w:rPr>
                <w:rFonts w:ascii="Times New Roman" w:hAnsi="Times New Roman" w:cs="Times New Roman"/>
                <w:sz w:val="24"/>
                <w:szCs w:val="24"/>
              </w:rPr>
            </w:pPr>
            <w:r w:rsidRPr="00FB409B">
              <w:rPr>
                <w:rFonts w:ascii="Times New Roman" w:hAnsi="Times New Roman" w:cs="Times New Roman"/>
                <w:sz w:val="24"/>
                <w:szCs w:val="24"/>
              </w:rPr>
              <w:t xml:space="preserve">Абз.1 </w:t>
            </w:r>
          </w:p>
          <w:p w:rsidR="006D0EC3" w:rsidRPr="00FB409B" w:rsidRDefault="006D0EC3" w:rsidP="006D0EC3">
            <w:pPr>
              <w:shd w:val="clear" w:color="auto" w:fill="FFFFFF"/>
              <w:ind w:firstLine="450"/>
              <w:jc w:val="both"/>
              <w:rPr>
                <w:rFonts w:ascii="Times New Roman" w:hAnsi="Times New Roman" w:cs="Times New Roman"/>
                <w:sz w:val="24"/>
                <w:szCs w:val="24"/>
              </w:rPr>
            </w:pPr>
            <w:r w:rsidRPr="00FB409B">
              <w:rPr>
                <w:rFonts w:ascii="Times New Roman" w:hAnsi="Times New Roman" w:cs="Times New Roman"/>
                <w:sz w:val="24"/>
                <w:szCs w:val="24"/>
              </w:rPr>
              <w:t xml:space="preserve">Звітна інформація щодо виконання заходів інвестиційної програми та зведена інформація щодо виконання за розділами інвестиційної програми оформлені згідно з формами, наведеними в додатку 14 до цього Кодексу, надаються Оператором ГРМ до НКРЕКП в електронній формі (у форматах Word, Excel) із накладенням кваліфікованого електронного підпису керівника або уповноваженої особи Оператора ГРМ та/або кваліфікованої електронної печатки  Оператора ГРМ у системі електронної взаємодії (СЕВ) або на офіційну електронну адресу центрального апарату Регулятора з дотриманням вимог законів України «Про електронні документи та електронний документообіг» та «Про електронні довірчі послуги»  щокварталу наростаючим підсумком не  пізніше 28 числа місяця, наступного за звітним періодом, та за підсумками року не пізніше 25 лютого року, наступного за звітним періодом, до моменту </w:t>
            </w:r>
            <w:r w:rsidRPr="00FB409B">
              <w:rPr>
                <w:rFonts w:ascii="Times New Roman" w:hAnsi="Times New Roman" w:cs="Times New Roman"/>
                <w:sz w:val="24"/>
                <w:szCs w:val="24"/>
              </w:rPr>
              <w:lastRenderedPageBreak/>
              <w:t>повного виконання інвестиційної програми та/або проведення заходу державного контролю.</w:t>
            </w:r>
          </w:p>
          <w:p w:rsidR="006D0EC3" w:rsidRPr="00FB409B" w:rsidRDefault="006D0EC3" w:rsidP="0032493A">
            <w:pPr>
              <w:ind w:firstLine="709"/>
              <w:jc w:val="both"/>
              <w:rPr>
                <w:rFonts w:ascii="Times New Roman" w:hAnsi="Times New Roman" w:cs="Times New Roman"/>
                <w:strike/>
                <w:sz w:val="24"/>
                <w:szCs w:val="24"/>
              </w:rPr>
            </w:pPr>
          </w:p>
        </w:tc>
        <w:tc>
          <w:tcPr>
            <w:tcW w:w="5812" w:type="dxa"/>
          </w:tcPr>
          <w:p w:rsidR="00773B94" w:rsidRPr="00FB409B" w:rsidRDefault="00773B94" w:rsidP="00773B94">
            <w:pPr>
              <w:pStyle w:val="a5"/>
              <w:spacing w:before="0" w:beforeAutospacing="0" w:after="0" w:afterAutospacing="0" w:line="260" w:lineRule="exact"/>
              <w:ind w:firstLine="457"/>
              <w:contextualSpacing/>
              <w:jc w:val="both"/>
              <w:rPr>
                <w:b/>
                <w:i/>
                <w:shd w:val="clear" w:color="auto" w:fill="FFFFFF"/>
                <w:lang w:val="uk-UA"/>
              </w:rPr>
            </w:pPr>
            <w:r w:rsidRPr="00FB409B">
              <w:rPr>
                <w:b/>
                <w:i/>
                <w:shd w:val="clear" w:color="auto" w:fill="FFFFFF"/>
                <w:lang w:val="uk-UA"/>
              </w:rPr>
              <w:lastRenderedPageBreak/>
              <w:t>Пропозиції ТОВ «ГАЗОРОЗПОДІЛЬНІ МЕРЕЖІ УКРАЇНИ»:</w:t>
            </w:r>
          </w:p>
          <w:p w:rsidR="00510415" w:rsidRPr="00FB409B" w:rsidRDefault="006D0EC3" w:rsidP="006D0EC3">
            <w:pPr>
              <w:shd w:val="clear" w:color="auto" w:fill="FFFFFF"/>
              <w:ind w:firstLine="450"/>
              <w:jc w:val="both"/>
              <w:rPr>
                <w:rFonts w:ascii="Times New Roman" w:hAnsi="Times New Roman" w:cs="Times New Roman"/>
                <w:sz w:val="24"/>
                <w:szCs w:val="24"/>
              </w:rPr>
            </w:pPr>
            <w:r w:rsidRPr="00FB409B">
              <w:rPr>
                <w:rFonts w:ascii="Times New Roman" w:hAnsi="Times New Roman" w:cs="Times New Roman"/>
                <w:sz w:val="24"/>
                <w:szCs w:val="24"/>
              </w:rPr>
              <w:t xml:space="preserve">Абз.1 </w:t>
            </w:r>
          </w:p>
          <w:p w:rsidR="006D0EC3" w:rsidRPr="00FB409B" w:rsidRDefault="006D0EC3" w:rsidP="006D0EC3">
            <w:pPr>
              <w:shd w:val="clear" w:color="auto" w:fill="FFFFFF"/>
              <w:ind w:firstLine="450"/>
              <w:jc w:val="both"/>
              <w:rPr>
                <w:rFonts w:ascii="Times New Roman" w:hAnsi="Times New Roman" w:cs="Times New Roman"/>
                <w:sz w:val="24"/>
                <w:szCs w:val="24"/>
              </w:rPr>
            </w:pPr>
            <w:r w:rsidRPr="00FB409B">
              <w:rPr>
                <w:rFonts w:ascii="Times New Roman" w:hAnsi="Times New Roman" w:cs="Times New Roman"/>
                <w:sz w:val="24"/>
                <w:szCs w:val="24"/>
              </w:rPr>
              <w:t xml:space="preserve">Звітна інформація щодо виконання заходів інвестиційної програми та зведена інформація щодо виконання за розділами інвестиційної програми оформлені згідно з формами, наведеними в додатку 14 до цього Кодексу, надаються Оператором ГРМ, </w:t>
            </w:r>
            <w:r w:rsidRPr="00FB409B">
              <w:rPr>
                <w:rFonts w:ascii="Times New Roman" w:hAnsi="Times New Roman" w:cs="Times New Roman"/>
                <w:b/>
                <w:sz w:val="24"/>
                <w:szCs w:val="24"/>
              </w:rPr>
              <w:t>окремо для кожної частини місць провадження господарської діяльності Оператора ГРМ, на яку встановлено окремий тариф на послуги розподілу природного газу,</w:t>
            </w:r>
            <w:r w:rsidRPr="00FB409B">
              <w:rPr>
                <w:rFonts w:ascii="Times New Roman" w:hAnsi="Times New Roman" w:cs="Times New Roman"/>
                <w:sz w:val="24"/>
                <w:szCs w:val="24"/>
              </w:rPr>
              <w:t xml:space="preserve"> до НКРЕКП в електронній формі (у форматах Word, Excel) із накладенням кваліфікованого електронного підпису керівника або уповноваженої особи Оператора ГРМ та/або кваліфікованої електронної печатки  Оператора ГРМ у системі електронної взаємодії (СЕВ) або на офіційну електронну адресу центрального апарату Регулятора з дотриманням вимог законів України «Про електронні документи та електронний документообіг» та «Про електронні довірчі послуги» щокварталу наростаючим підсумком не  пізніше 28 числа місяця, наступного за звітним періодом, та за підсумками року не пізніше 25 </w:t>
            </w:r>
            <w:r w:rsidRPr="00FB409B">
              <w:rPr>
                <w:rFonts w:ascii="Times New Roman" w:hAnsi="Times New Roman" w:cs="Times New Roman"/>
                <w:sz w:val="24"/>
                <w:szCs w:val="24"/>
              </w:rPr>
              <w:lastRenderedPageBreak/>
              <w:t>лютого року, наступного за звітним періодом, до моменту повного виконання інвестиційної програми та/або проведення заходу державного контролю.</w:t>
            </w:r>
          </w:p>
          <w:p w:rsidR="006E079A" w:rsidRPr="00FB409B" w:rsidRDefault="00773B94" w:rsidP="006E079A">
            <w:pPr>
              <w:shd w:val="clear" w:color="auto" w:fill="FFFFFF"/>
              <w:spacing w:after="120"/>
              <w:ind w:firstLine="601"/>
              <w:jc w:val="both"/>
              <w:rPr>
                <w:rFonts w:ascii="Times New Roman" w:hAnsi="Times New Roman" w:cs="Times New Roman"/>
                <w:strike/>
                <w:sz w:val="24"/>
                <w:szCs w:val="24"/>
              </w:rPr>
            </w:pPr>
            <w:proofErr w:type="spellStart"/>
            <w:r w:rsidRPr="00FB409B">
              <w:rPr>
                <w:rFonts w:ascii="Times New Roman" w:hAnsi="Times New Roman" w:cs="Times New Roman"/>
                <w:b/>
                <w:i/>
                <w:sz w:val="24"/>
                <w:szCs w:val="24"/>
                <w:shd w:val="clear" w:color="auto" w:fill="FFFFFF"/>
              </w:rPr>
              <w:t>Обгрунтування</w:t>
            </w:r>
            <w:proofErr w:type="spellEnd"/>
            <w:r w:rsidRPr="00FB409B">
              <w:rPr>
                <w:rFonts w:ascii="Times New Roman" w:hAnsi="Times New Roman" w:cs="Times New Roman"/>
                <w:b/>
                <w:i/>
                <w:sz w:val="24"/>
                <w:szCs w:val="24"/>
                <w:shd w:val="clear" w:color="auto" w:fill="FFFFFF"/>
              </w:rPr>
              <w:t xml:space="preserve"> ТОВ «ГАЗОРОЗПОДІЛЬНІ МЕРЕЖІ УКРАЇНИ»: відсутні</w:t>
            </w:r>
          </w:p>
        </w:tc>
        <w:tc>
          <w:tcPr>
            <w:tcW w:w="4678" w:type="dxa"/>
          </w:tcPr>
          <w:p w:rsidR="0070296A" w:rsidRPr="00FB409B" w:rsidRDefault="0070296A" w:rsidP="00A1646E">
            <w:pPr>
              <w:shd w:val="clear" w:color="auto" w:fill="FFFFFF"/>
              <w:jc w:val="both"/>
              <w:rPr>
                <w:rFonts w:ascii="Times New Roman" w:hAnsi="Times New Roman" w:cs="Times New Roman"/>
                <w:b/>
                <w:sz w:val="24"/>
                <w:szCs w:val="24"/>
              </w:rPr>
            </w:pPr>
            <w:r w:rsidRPr="00FB409B">
              <w:rPr>
                <w:rFonts w:ascii="Times New Roman" w:hAnsi="Times New Roman" w:cs="Times New Roman"/>
                <w:b/>
                <w:sz w:val="24"/>
                <w:szCs w:val="24"/>
              </w:rPr>
              <w:lastRenderedPageBreak/>
              <w:t>Попередньо частково враховується у редакції:</w:t>
            </w:r>
          </w:p>
          <w:p w:rsidR="00F31AF6" w:rsidRPr="00FB409B" w:rsidRDefault="00107F56" w:rsidP="00F31AF6">
            <w:pPr>
              <w:shd w:val="clear" w:color="auto" w:fill="FFFFFF"/>
              <w:ind w:firstLine="318"/>
              <w:jc w:val="both"/>
              <w:rPr>
                <w:rFonts w:ascii="Times New Roman" w:hAnsi="Times New Roman" w:cs="Times New Roman"/>
                <w:sz w:val="24"/>
                <w:szCs w:val="24"/>
              </w:rPr>
            </w:pPr>
            <w:r w:rsidRPr="00FB409B">
              <w:rPr>
                <w:rFonts w:ascii="Times New Roman" w:hAnsi="Times New Roman" w:cs="Times New Roman"/>
                <w:sz w:val="24"/>
                <w:szCs w:val="24"/>
              </w:rPr>
              <w:t xml:space="preserve">«Звітна інформація щодо виконання заходів інвестиційної програми та зведена інформація щодо виконання за розділами інвестиційної програми оформлені згідно з формами, наведеними в додатку 14 до цього Кодексу, надаються Оператором ГРМ до НКРЕКП в електронній формі (у форматах Word, Excel) із накладенням кваліфікованого електронного підпису керівника або уповноваженої особи Оператора ГРМ та/або кваліфікованої електронної печатки  Оператора ГРМ у системі електронної взаємодії (СЕВ) або на офіційну електронну адресу центрального апарату Регулятора з дотриманням вимог законів України «Про електронні документи та електронний документообіг» та «Про електронні довірчі послуги»  щокварталу наростаючим підсумком не  пізніше 28 числа місяця, наступного за звітним періодом, та за підсумками року не </w:t>
            </w:r>
            <w:r w:rsidRPr="00FB409B">
              <w:rPr>
                <w:rFonts w:ascii="Times New Roman" w:hAnsi="Times New Roman" w:cs="Times New Roman"/>
                <w:sz w:val="24"/>
                <w:szCs w:val="24"/>
              </w:rPr>
              <w:lastRenderedPageBreak/>
              <w:t>пізніше 25 лютого року, наступного за звітним періодом, до моменту повного виконання інвестиційної програми та/або проведення заходу державного контролю.</w:t>
            </w:r>
          </w:p>
          <w:p w:rsidR="006D0EC3" w:rsidRPr="00FB409B" w:rsidRDefault="00107F56" w:rsidP="00F31AF6">
            <w:pPr>
              <w:shd w:val="clear" w:color="auto" w:fill="FFFFFF"/>
              <w:ind w:firstLine="318"/>
              <w:jc w:val="both"/>
              <w:rPr>
                <w:rFonts w:ascii="Times New Roman" w:hAnsi="Times New Roman" w:cs="Times New Roman"/>
                <w:b/>
                <w:sz w:val="24"/>
                <w:szCs w:val="24"/>
              </w:rPr>
            </w:pPr>
            <w:r w:rsidRPr="00FB409B">
              <w:rPr>
                <w:rFonts w:ascii="Times New Roman" w:hAnsi="Times New Roman" w:cs="Times New Roman"/>
                <w:b/>
                <w:sz w:val="24"/>
                <w:szCs w:val="24"/>
              </w:rPr>
              <w:t xml:space="preserve">Оператор ГРМ </w:t>
            </w:r>
            <w:r w:rsidR="00F31AF6" w:rsidRPr="00FB409B">
              <w:rPr>
                <w:rFonts w:ascii="Times New Roman" w:hAnsi="Times New Roman" w:cs="Times New Roman"/>
                <w:b/>
                <w:sz w:val="24"/>
                <w:szCs w:val="24"/>
              </w:rPr>
              <w:t>нада</w:t>
            </w:r>
            <w:r w:rsidR="0028115B" w:rsidRPr="00FB409B">
              <w:rPr>
                <w:rFonts w:ascii="Times New Roman" w:hAnsi="Times New Roman" w:cs="Times New Roman"/>
                <w:b/>
                <w:sz w:val="24"/>
                <w:szCs w:val="24"/>
              </w:rPr>
              <w:t>є</w:t>
            </w:r>
            <w:r w:rsidR="00F31AF6" w:rsidRPr="00FB409B">
              <w:rPr>
                <w:rFonts w:ascii="Times New Roman" w:hAnsi="Times New Roman" w:cs="Times New Roman"/>
                <w:b/>
                <w:sz w:val="24"/>
                <w:szCs w:val="24"/>
              </w:rPr>
              <w:t xml:space="preserve"> звітну інформацію</w:t>
            </w:r>
            <w:r w:rsidRPr="00FB409B">
              <w:rPr>
                <w:rFonts w:ascii="Times New Roman" w:hAnsi="Times New Roman" w:cs="Times New Roman"/>
                <w:b/>
                <w:sz w:val="24"/>
                <w:szCs w:val="24"/>
              </w:rPr>
              <w:t xml:space="preserve"> з урахуванням положень цього пункту  окремо на частину місць провадження господарської діяльності Оператора ГРМ, на яку встановлено окремий тариф на послуги розподілу природного газу</w:t>
            </w:r>
            <w:r w:rsidR="00F31AF6" w:rsidRPr="00FB409B">
              <w:rPr>
                <w:rFonts w:ascii="Times New Roman" w:hAnsi="Times New Roman" w:cs="Times New Roman"/>
                <w:b/>
                <w:sz w:val="24"/>
                <w:szCs w:val="24"/>
              </w:rPr>
              <w:t>.»</w:t>
            </w:r>
          </w:p>
        </w:tc>
      </w:tr>
      <w:tr w:rsidR="00FB409B" w:rsidRPr="00FB409B" w:rsidTr="0056288F">
        <w:trPr>
          <w:jc w:val="center"/>
        </w:trPr>
        <w:tc>
          <w:tcPr>
            <w:tcW w:w="5098" w:type="dxa"/>
          </w:tcPr>
          <w:p w:rsidR="00BC429A" w:rsidRPr="00FB409B" w:rsidRDefault="00BC429A" w:rsidP="00BC429A">
            <w:pPr>
              <w:shd w:val="clear" w:color="auto" w:fill="FFFFFF"/>
              <w:spacing w:line="140" w:lineRule="atLeast"/>
              <w:ind w:firstLine="448"/>
              <w:jc w:val="both"/>
              <w:rPr>
                <w:rFonts w:ascii="Times New Roman" w:hAnsi="Times New Roman" w:cs="Times New Roman"/>
                <w:b/>
                <w:i/>
                <w:sz w:val="24"/>
                <w:szCs w:val="24"/>
              </w:rPr>
            </w:pPr>
            <w:r w:rsidRPr="00FB409B">
              <w:rPr>
                <w:rFonts w:ascii="Times New Roman" w:hAnsi="Times New Roman" w:cs="Times New Roman"/>
                <w:b/>
                <w:i/>
                <w:sz w:val="24"/>
                <w:szCs w:val="24"/>
              </w:rPr>
              <w:lastRenderedPageBreak/>
              <w:t>Абз.2</w:t>
            </w:r>
            <w:r w:rsidR="006E079A" w:rsidRPr="00FB409B">
              <w:rPr>
                <w:rFonts w:ascii="Times New Roman" w:hAnsi="Times New Roman" w:cs="Times New Roman"/>
                <w:b/>
                <w:i/>
                <w:sz w:val="24"/>
                <w:szCs w:val="24"/>
              </w:rPr>
              <w:t xml:space="preserve"> - вилучити</w:t>
            </w:r>
          </w:p>
          <w:p w:rsidR="00BC429A" w:rsidRPr="00FB409B" w:rsidRDefault="00BC429A" w:rsidP="00BC429A">
            <w:pPr>
              <w:shd w:val="clear" w:color="auto" w:fill="FFFFFF"/>
              <w:ind w:firstLine="448"/>
              <w:jc w:val="both"/>
              <w:rPr>
                <w:rFonts w:ascii="Times New Roman" w:eastAsia="Times New Roman" w:hAnsi="Times New Roman" w:cs="Times New Roman"/>
                <w:strike/>
                <w:sz w:val="24"/>
                <w:szCs w:val="24"/>
                <w:shd w:val="clear" w:color="auto" w:fill="FFFFFF"/>
              </w:rPr>
            </w:pPr>
            <w:r w:rsidRPr="00FB409B">
              <w:rPr>
                <w:rFonts w:ascii="Times New Roman" w:eastAsia="Times New Roman" w:hAnsi="Times New Roman" w:cs="Times New Roman"/>
                <w:strike/>
                <w:sz w:val="24"/>
                <w:szCs w:val="24"/>
                <w:shd w:val="clear" w:color="auto" w:fill="FFFFFF"/>
              </w:rPr>
              <w:t>Сторінки звіту щодо виконання плану розвитку нумеруються, прошнуровуються, кількість прошнурованих аркушів завіряється підписом керівника Оператора ГРМ або уповноваженої ним особи та скріплюється печаткою Оператора ГРМ (за наявності).</w:t>
            </w:r>
          </w:p>
          <w:p w:rsidR="006E079A" w:rsidRPr="00FB409B" w:rsidRDefault="00BC429A" w:rsidP="006E079A">
            <w:pPr>
              <w:shd w:val="clear" w:color="auto" w:fill="FFFFFF"/>
              <w:spacing w:line="140" w:lineRule="atLeast"/>
              <w:ind w:firstLine="448"/>
              <w:jc w:val="both"/>
              <w:rPr>
                <w:rFonts w:ascii="Times New Roman" w:hAnsi="Times New Roman" w:cs="Times New Roman"/>
                <w:b/>
                <w:i/>
                <w:sz w:val="24"/>
                <w:szCs w:val="24"/>
              </w:rPr>
            </w:pPr>
            <w:r w:rsidRPr="00FB409B">
              <w:rPr>
                <w:rFonts w:ascii="Times New Roman" w:eastAsia="Times New Roman" w:hAnsi="Times New Roman" w:cs="Times New Roman"/>
                <w:b/>
                <w:i/>
                <w:sz w:val="24"/>
                <w:szCs w:val="24"/>
                <w:shd w:val="clear" w:color="auto" w:fill="FFFFFF"/>
              </w:rPr>
              <w:t>Абз.3</w:t>
            </w:r>
            <w:r w:rsidR="006E079A" w:rsidRPr="00FB409B">
              <w:rPr>
                <w:rFonts w:ascii="Times New Roman" w:eastAsia="Times New Roman" w:hAnsi="Times New Roman" w:cs="Times New Roman"/>
                <w:b/>
                <w:i/>
                <w:sz w:val="24"/>
                <w:szCs w:val="24"/>
                <w:shd w:val="clear" w:color="auto" w:fill="FFFFFF"/>
              </w:rPr>
              <w:t xml:space="preserve"> - </w:t>
            </w:r>
            <w:r w:rsidR="006E079A" w:rsidRPr="00FB409B">
              <w:rPr>
                <w:rFonts w:ascii="Times New Roman" w:hAnsi="Times New Roman" w:cs="Times New Roman"/>
                <w:b/>
                <w:i/>
                <w:sz w:val="24"/>
                <w:szCs w:val="24"/>
              </w:rPr>
              <w:t>вилучити</w:t>
            </w:r>
          </w:p>
          <w:p w:rsidR="0011129F" w:rsidRPr="00FB409B" w:rsidRDefault="00BC429A" w:rsidP="00955551">
            <w:pPr>
              <w:shd w:val="clear" w:color="auto" w:fill="FFFFFF"/>
              <w:ind w:firstLine="448"/>
              <w:jc w:val="both"/>
              <w:rPr>
                <w:rFonts w:ascii="Times New Roman" w:hAnsi="Times New Roman" w:cs="Times New Roman"/>
                <w:sz w:val="24"/>
                <w:szCs w:val="24"/>
              </w:rPr>
            </w:pPr>
            <w:r w:rsidRPr="00FB409B">
              <w:rPr>
                <w:rFonts w:ascii="Times New Roman" w:eastAsia="Times New Roman" w:hAnsi="Times New Roman" w:cs="Times New Roman"/>
                <w:strike/>
                <w:sz w:val="24"/>
                <w:szCs w:val="24"/>
                <w:shd w:val="clear" w:color="auto" w:fill="FFFFFF"/>
              </w:rPr>
              <w:t>У разі неповного виконання плану розвитку до звіту надається пояснювальна записка щодо причин неповного виконання.</w:t>
            </w:r>
          </w:p>
        </w:tc>
        <w:tc>
          <w:tcPr>
            <w:tcW w:w="5812" w:type="dxa"/>
          </w:tcPr>
          <w:p w:rsidR="0011129F" w:rsidRPr="00FB409B" w:rsidRDefault="00BC429A" w:rsidP="00773B94">
            <w:pPr>
              <w:pStyle w:val="a5"/>
              <w:spacing w:before="0" w:beforeAutospacing="0" w:after="0" w:afterAutospacing="0" w:line="260" w:lineRule="exact"/>
              <w:ind w:firstLine="457"/>
              <w:contextualSpacing/>
              <w:jc w:val="both"/>
              <w:rPr>
                <w:b/>
                <w:i/>
                <w:shd w:val="clear" w:color="auto" w:fill="FFFFFF"/>
                <w:lang w:val="uk-UA"/>
              </w:rPr>
            </w:pPr>
            <w:r w:rsidRPr="00FB409B">
              <w:rPr>
                <w:b/>
                <w:i/>
                <w:shd w:val="clear" w:color="auto" w:fill="FFFFFF"/>
                <w:lang w:val="uk-UA"/>
              </w:rPr>
              <w:t>Зауваження не надходили</w:t>
            </w:r>
          </w:p>
        </w:tc>
        <w:tc>
          <w:tcPr>
            <w:tcW w:w="4678" w:type="dxa"/>
          </w:tcPr>
          <w:p w:rsidR="0011129F" w:rsidRPr="00FB409B" w:rsidRDefault="0011129F" w:rsidP="00F31AF6">
            <w:pPr>
              <w:ind w:left="240"/>
              <w:jc w:val="both"/>
              <w:rPr>
                <w:rFonts w:ascii="Times New Roman" w:hAnsi="Times New Roman" w:cs="Times New Roman"/>
                <w:b/>
                <w:bCs/>
                <w:iCs/>
                <w:sz w:val="24"/>
                <w:szCs w:val="24"/>
                <w:shd w:val="clear" w:color="auto" w:fill="FFFFFF"/>
              </w:rPr>
            </w:pPr>
          </w:p>
        </w:tc>
      </w:tr>
      <w:tr w:rsidR="00FB409B" w:rsidRPr="00FB409B" w:rsidTr="0056288F">
        <w:trPr>
          <w:jc w:val="center"/>
        </w:trPr>
        <w:tc>
          <w:tcPr>
            <w:tcW w:w="5098" w:type="dxa"/>
          </w:tcPr>
          <w:p w:rsidR="0062631F" w:rsidRPr="00FB409B" w:rsidRDefault="006B2AB6" w:rsidP="0062631F">
            <w:pPr>
              <w:shd w:val="clear" w:color="auto" w:fill="FFFFFF"/>
              <w:ind w:firstLine="448"/>
              <w:rPr>
                <w:rFonts w:ascii="Times New Roman" w:eastAsia="Calibri" w:hAnsi="Times New Roman" w:cs="Times New Roman"/>
                <w:b/>
                <w:i/>
                <w:sz w:val="24"/>
                <w:szCs w:val="24"/>
                <w:shd w:val="clear" w:color="auto" w:fill="FFFFFF"/>
                <w:lang w:eastAsia="ru-RU"/>
              </w:rPr>
            </w:pPr>
            <w:r w:rsidRPr="00FB409B">
              <w:rPr>
                <w:rFonts w:ascii="Times New Roman" w:eastAsia="Calibri" w:hAnsi="Times New Roman" w:cs="Times New Roman"/>
                <w:b/>
                <w:i/>
                <w:sz w:val="24"/>
                <w:szCs w:val="24"/>
                <w:shd w:val="clear" w:color="auto" w:fill="FFFFFF"/>
                <w:lang w:eastAsia="ru-RU"/>
              </w:rPr>
              <w:t>Нова норма</w:t>
            </w:r>
          </w:p>
          <w:p w:rsidR="00BC429A" w:rsidRPr="00FB409B" w:rsidRDefault="0062631F" w:rsidP="0062631F">
            <w:pPr>
              <w:ind w:firstLine="466"/>
              <w:rPr>
                <w:rFonts w:ascii="Times New Roman" w:hAnsi="Times New Roman" w:cs="Times New Roman"/>
                <w:sz w:val="24"/>
                <w:szCs w:val="24"/>
              </w:rPr>
            </w:pPr>
            <w:r w:rsidRPr="00FB409B">
              <w:rPr>
                <w:rFonts w:ascii="Times New Roman" w:hAnsi="Times New Roman" w:cs="Times New Roman"/>
                <w:b/>
                <w:sz w:val="24"/>
                <w:szCs w:val="24"/>
                <w:shd w:val="clear" w:color="auto" w:fill="FFFFFF"/>
              </w:rPr>
              <w:t>Оператор ГРМ забезпечує достовірність наданої Регулятору звітної інформації.</w:t>
            </w:r>
          </w:p>
        </w:tc>
        <w:tc>
          <w:tcPr>
            <w:tcW w:w="5812" w:type="dxa"/>
          </w:tcPr>
          <w:p w:rsidR="00BC429A" w:rsidRPr="00FB409B" w:rsidRDefault="0062631F" w:rsidP="00773B94">
            <w:pPr>
              <w:pStyle w:val="a5"/>
              <w:spacing w:before="0" w:beforeAutospacing="0" w:after="0" w:afterAutospacing="0" w:line="260" w:lineRule="exact"/>
              <w:ind w:firstLine="457"/>
              <w:contextualSpacing/>
              <w:jc w:val="both"/>
              <w:rPr>
                <w:b/>
                <w:i/>
                <w:shd w:val="clear" w:color="auto" w:fill="FFFFFF"/>
                <w:lang w:val="uk-UA"/>
              </w:rPr>
            </w:pPr>
            <w:r w:rsidRPr="00FB409B">
              <w:rPr>
                <w:b/>
                <w:i/>
                <w:shd w:val="clear" w:color="auto" w:fill="FFFFFF"/>
                <w:lang w:val="uk-UA"/>
              </w:rPr>
              <w:t>Зауваження не надходили</w:t>
            </w:r>
          </w:p>
        </w:tc>
        <w:tc>
          <w:tcPr>
            <w:tcW w:w="4678" w:type="dxa"/>
          </w:tcPr>
          <w:p w:rsidR="00BC429A" w:rsidRPr="00FB409B" w:rsidRDefault="00BC429A" w:rsidP="0032493A">
            <w:pPr>
              <w:ind w:left="240"/>
              <w:rPr>
                <w:rFonts w:ascii="Times New Roman" w:hAnsi="Times New Roman" w:cs="Times New Roman"/>
                <w:b/>
                <w:bCs/>
                <w:iCs/>
                <w:sz w:val="24"/>
                <w:szCs w:val="24"/>
                <w:shd w:val="clear" w:color="auto" w:fill="FFFFFF"/>
              </w:rPr>
            </w:pPr>
          </w:p>
        </w:tc>
      </w:tr>
      <w:tr w:rsidR="00FB409B" w:rsidRPr="00FB409B" w:rsidTr="00903C5F">
        <w:trPr>
          <w:jc w:val="center"/>
        </w:trPr>
        <w:tc>
          <w:tcPr>
            <w:tcW w:w="15588" w:type="dxa"/>
            <w:gridSpan w:val="3"/>
          </w:tcPr>
          <w:p w:rsidR="005E5182" w:rsidRPr="00FB409B" w:rsidRDefault="005E5182" w:rsidP="00D26D5A">
            <w:pPr>
              <w:ind w:firstLine="466"/>
              <w:jc w:val="center"/>
              <w:rPr>
                <w:rFonts w:ascii="Times New Roman" w:eastAsia="Calibri" w:hAnsi="Times New Roman" w:cs="Times New Roman"/>
                <w:b/>
                <w:sz w:val="24"/>
                <w:szCs w:val="24"/>
                <w:shd w:val="clear" w:color="auto" w:fill="FFFFFF"/>
                <w:lang w:eastAsia="ru-RU"/>
              </w:rPr>
            </w:pPr>
          </w:p>
          <w:p w:rsidR="00A51AE9" w:rsidRPr="00FB409B" w:rsidRDefault="00A51AE9" w:rsidP="00D26D5A">
            <w:pPr>
              <w:ind w:firstLine="466"/>
              <w:jc w:val="center"/>
              <w:rPr>
                <w:rFonts w:ascii="Times New Roman" w:eastAsia="Calibri" w:hAnsi="Times New Roman" w:cs="Times New Roman"/>
                <w:b/>
                <w:sz w:val="24"/>
                <w:szCs w:val="24"/>
                <w:shd w:val="clear" w:color="auto" w:fill="FFFFFF"/>
                <w:lang w:eastAsia="ru-RU"/>
              </w:rPr>
            </w:pPr>
            <w:r w:rsidRPr="00FB409B">
              <w:rPr>
                <w:rFonts w:ascii="Times New Roman" w:eastAsia="Calibri" w:hAnsi="Times New Roman" w:cs="Times New Roman"/>
                <w:b/>
                <w:sz w:val="24"/>
                <w:szCs w:val="24"/>
                <w:shd w:val="clear" w:color="auto" w:fill="FFFFFF"/>
                <w:lang w:eastAsia="ru-RU"/>
              </w:rPr>
              <w:t>ДОДАТКИ</w:t>
            </w:r>
          </w:p>
          <w:p w:rsidR="005E5182" w:rsidRPr="00FB409B" w:rsidRDefault="005E5182" w:rsidP="00D26D5A">
            <w:pPr>
              <w:ind w:firstLine="466"/>
              <w:jc w:val="center"/>
              <w:rPr>
                <w:rFonts w:ascii="Times New Roman" w:hAnsi="Times New Roman" w:cs="Times New Roman"/>
                <w:b/>
                <w:bCs/>
                <w:iCs/>
                <w:sz w:val="24"/>
                <w:szCs w:val="24"/>
                <w:shd w:val="clear" w:color="auto" w:fill="FFFFFF"/>
              </w:rPr>
            </w:pPr>
          </w:p>
        </w:tc>
      </w:tr>
      <w:tr w:rsidR="00FB409B" w:rsidRPr="00FB409B" w:rsidTr="0056288F">
        <w:trPr>
          <w:jc w:val="center"/>
        </w:trPr>
        <w:tc>
          <w:tcPr>
            <w:tcW w:w="5098" w:type="dxa"/>
          </w:tcPr>
          <w:p w:rsidR="00A51AE9" w:rsidRPr="00FB409B" w:rsidRDefault="00A51AE9" w:rsidP="00A51AE9">
            <w:pPr>
              <w:ind w:firstLine="466"/>
              <w:rPr>
                <w:rFonts w:ascii="Times New Roman" w:hAnsi="Times New Roman" w:cs="Times New Roman"/>
                <w:i/>
                <w:sz w:val="24"/>
                <w:szCs w:val="24"/>
                <w:shd w:val="clear" w:color="auto" w:fill="FFFFFF"/>
              </w:rPr>
            </w:pPr>
            <w:r w:rsidRPr="00FB409B">
              <w:rPr>
                <w:rFonts w:ascii="Times New Roman" w:hAnsi="Times New Roman" w:cs="Times New Roman"/>
                <w:i/>
                <w:sz w:val="24"/>
                <w:szCs w:val="24"/>
                <w:shd w:val="clear" w:color="auto" w:fill="FFFFFF"/>
              </w:rPr>
              <w:t>Замінити в додатках 9 - 14 на:</w:t>
            </w:r>
          </w:p>
          <w:p w:rsidR="00A51AE9" w:rsidRPr="00FB409B" w:rsidRDefault="00A51AE9" w:rsidP="00A51AE9">
            <w:pPr>
              <w:shd w:val="clear" w:color="auto" w:fill="FFFFFF"/>
              <w:ind w:firstLine="448"/>
              <w:rPr>
                <w:rFonts w:ascii="Times New Roman" w:eastAsia="Calibri" w:hAnsi="Times New Roman" w:cs="Times New Roman"/>
                <w:b/>
                <w:sz w:val="24"/>
                <w:szCs w:val="24"/>
                <w:shd w:val="clear" w:color="auto" w:fill="FFFFFF"/>
                <w:lang w:eastAsia="ru-RU"/>
              </w:rPr>
            </w:pPr>
            <w:r w:rsidRPr="00FB409B">
              <w:rPr>
                <w:rFonts w:ascii="Times New Roman" w:hAnsi="Times New Roman" w:cs="Times New Roman"/>
                <w:b/>
                <w:sz w:val="24"/>
                <w:szCs w:val="24"/>
              </w:rPr>
              <w:t>капітальні інвестиції</w:t>
            </w:r>
          </w:p>
        </w:tc>
        <w:tc>
          <w:tcPr>
            <w:tcW w:w="5812" w:type="dxa"/>
          </w:tcPr>
          <w:p w:rsidR="00A51AE9" w:rsidRPr="00FB409B" w:rsidRDefault="00A51AE9" w:rsidP="00773B94">
            <w:pPr>
              <w:pStyle w:val="a5"/>
              <w:spacing w:before="0" w:beforeAutospacing="0" w:after="0" w:afterAutospacing="0" w:line="260" w:lineRule="exact"/>
              <w:ind w:firstLine="457"/>
              <w:contextualSpacing/>
              <w:jc w:val="both"/>
              <w:rPr>
                <w:b/>
                <w:i/>
                <w:shd w:val="clear" w:color="auto" w:fill="FFFFFF"/>
                <w:lang w:val="uk-UA"/>
              </w:rPr>
            </w:pPr>
            <w:r w:rsidRPr="00FB409B">
              <w:rPr>
                <w:b/>
                <w:i/>
                <w:shd w:val="clear" w:color="auto" w:fill="FFFFFF"/>
                <w:lang w:val="uk-UA"/>
              </w:rPr>
              <w:t>Зауваження не надходили</w:t>
            </w:r>
          </w:p>
        </w:tc>
        <w:tc>
          <w:tcPr>
            <w:tcW w:w="4678" w:type="dxa"/>
          </w:tcPr>
          <w:p w:rsidR="00A51AE9" w:rsidRPr="00FB409B" w:rsidRDefault="00A51AE9" w:rsidP="0032493A">
            <w:pPr>
              <w:ind w:left="240"/>
              <w:rPr>
                <w:rFonts w:ascii="Times New Roman" w:hAnsi="Times New Roman" w:cs="Times New Roman"/>
                <w:b/>
                <w:bCs/>
                <w:iCs/>
                <w:sz w:val="24"/>
                <w:szCs w:val="24"/>
                <w:shd w:val="clear" w:color="auto" w:fill="FFFFFF"/>
              </w:rPr>
            </w:pPr>
          </w:p>
        </w:tc>
      </w:tr>
    </w:tbl>
    <w:p w:rsidR="00E07BBE" w:rsidRPr="00FB409B" w:rsidRDefault="00E07BBE" w:rsidP="00F72FA5">
      <w:pPr>
        <w:ind w:left="240"/>
        <w:jc w:val="center"/>
        <w:rPr>
          <w:rFonts w:ascii="Times New Roman" w:hAnsi="Times New Roman" w:cs="Times New Roman"/>
          <w:b/>
          <w:sz w:val="24"/>
          <w:szCs w:val="24"/>
        </w:rPr>
        <w:sectPr w:rsidR="00E07BBE" w:rsidRPr="00FB409B" w:rsidSect="006B2AB6">
          <w:footerReference w:type="default" r:id="rId8"/>
          <w:pgSz w:w="16838" w:h="11906" w:orient="landscape"/>
          <w:pgMar w:top="567" w:right="1134" w:bottom="567" w:left="1134" w:header="709" w:footer="176" w:gutter="0"/>
          <w:cols w:space="708"/>
          <w:docGrid w:linePitch="360"/>
        </w:sectPr>
      </w:pPr>
    </w:p>
    <w:tbl>
      <w:tblPr>
        <w:tblStyle w:val="a6"/>
        <w:tblW w:w="15588" w:type="dxa"/>
        <w:jc w:val="center"/>
        <w:tblLayout w:type="fixed"/>
        <w:tblLook w:val="04A0" w:firstRow="1" w:lastRow="0" w:firstColumn="1" w:lastColumn="0" w:noHBand="0" w:noVBand="1"/>
      </w:tblPr>
      <w:tblGrid>
        <w:gridCol w:w="6799"/>
        <w:gridCol w:w="6379"/>
        <w:gridCol w:w="2410"/>
      </w:tblGrid>
      <w:tr w:rsidR="00FB409B" w:rsidRPr="00FB409B" w:rsidTr="0007775E">
        <w:trPr>
          <w:jc w:val="center"/>
        </w:trPr>
        <w:tc>
          <w:tcPr>
            <w:tcW w:w="15588" w:type="dxa"/>
            <w:gridSpan w:val="3"/>
          </w:tcPr>
          <w:p w:rsidR="00E07BBE" w:rsidRPr="00FB409B" w:rsidRDefault="00E07BBE" w:rsidP="00F72FA5">
            <w:pPr>
              <w:ind w:left="240"/>
              <w:jc w:val="center"/>
              <w:rPr>
                <w:rFonts w:ascii="Times New Roman" w:hAnsi="Times New Roman" w:cs="Times New Roman"/>
                <w:b/>
                <w:sz w:val="24"/>
                <w:szCs w:val="24"/>
              </w:rPr>
            </w:pPr>
          </w:p>
          <w:p w:rsidR="00F72FA5" w:rsidRPr="00FB409B" w:rsidRDefault="00F72FA5" w:rsidP="00F72FA5">
            <w:pPr>
              <w:ind w:left="240"/>
              <w:jc w:val="center"/>
              <w:rPr>
                <w:rFonts w:ascii="Times New Roman" w:hAnsi="Times New Roman" w:cs="Times New Roman"/>
                <w:b/>
                <w:sz w:val="24"/>
                <w:szCs w:val="24"/>
              </w:rPr>
            </w:pPr>
            <w:r w:rsidRPr="00FB409B">
              <w:rPr>
                <w:rFonts w:ascii="Times New Roman" w:hAnsi="Times New Roman" w:cs="Times New Roman"/>
                <w:b/>
                <w:sz w:val="24"/>
                <w:szCs w:val="24"/>
              </w:rPr>
              <w:t>МЕТОДИКА ВИЗНАЧЕННЯ ТА РОЗРАХУНКУ ТАРИФУ НА ПОСЛУГИ РОЗПОДІЛУ ПРИРОДНОГО ГАЗУ</w:t>
            </w:r>
          </w:p>
          <w:p w:rsidR="005E5182" w:rsidRPr="00FB409B" w:rsidRDefault="005E5182" w:rsidP="00F72FA5">
            <w:pPr>
              <w:ind w:left="240"/>
              <w:jc w:val="center"/>
              <w:rPr>
                <w:rFonts w:ascii="Times New Roman" w:hAnsi="Times New Roman" w:cs="Times New Roman"/>
                <w:b/>
                <w:bCs/>
                <w:iCs/>
                <w:sz w:val="24"/>
                <w:szCs w:val="24"/>
                <w:shd w:val="clear" w:color="auto" w:fill="FFFFFF"/>
              </w:rPr>
            </w:pPr>
          </w:p>
        </w:tc>
      </w:tr>
      <w:tr w:rsidR="00FB409B" w:rsidRPr="00FB409B" w:rsidTr="00460610">
        <w:trPr>
          <w:jc w:val="center"/>
        </w:trPr>
        <w:tc>
          <w:tcPr>
            <w:tcW w:w="13178" w:type="dxa"/>
            <w:gridSpan w:val="2"/>
          </w:tcPr>
          <w:p w:rsidR="001A5D96" w:rsidRPr="00FB409B" w:rsidRDefault="001A5D96" w:rsidP="001A5D96">
            <w:pPr>
              <w:pStyle w:val="a5"/>
              <w:spacing w:before="0" w:beforeAutospacing="0" w:after="0" w:afterAutospacing="0" w:line="260" w:lineRule="exact"/>
              <w:ind w:firstLine="457"/>
              <w:contextualSpacing/>
              <w:jc w:val="center"/>
              <w:rPr>
                <w:b/>
                <w:i/>
                <w:shd w:val="clear" w:color="auto" w:fill="FFFFFF"/>
                <w:lang w:val="uk-UA"/>
              </w:rPr>
            </w:pPr>
            <w:r w:rsidRPr="00FB409B">
              <w:rPr>
                <w:b/>
                <w:lang w:val="uk-UA"/>
              </w:rPr>
              <w:t>I. Загальні положення</w:t>
            </w:r>
          </w:p>
        </w:tc>
        <w:tc>
          <w:tcPr>
            <w:tcW w:w="2410" w:type="dxa"/>
          </w:tcPr>
          <w:p w:rsidR="001A5D96" w:rsidRPr="00FB409B" w:rsidRDefault="001A5D96" w:rsidP="001A5D96">
            <w:pPr>
              <w:ind w:left="240"/>
              <w:rPr>
                <w:rFonts w:ascii="Times New Roman" w:hAnsi="Times New Roman" w:cs="Times New Roman"/>
                <w:b/>
                <w:bCs/>
                <w:iCs/>
                <w:sz w:val="24"/>
                <w:szCs w:val="24"/>
                <w:shd w:val="clear" w:color="auto" w:fill="FFFFFF"/>
              </w:rPr>
            </w:pPr>
          </w:p>
        </w:tc>
      </w:tr>
      <w:tr w:rsidR="00FB409B" w:rsidRPr="00FB409B" w:rsidTr="00E63AEF">
        <w:trPr>
          <w:jc w:val="center"/>
        </w:trPr>
        <w:tc>
          <w:tcPr>
            <w:tcW w:w="6799" w:type="dxa"/>
          </w:tcPr>
          <w:p w:rsidR="001A5D96" w:rsidRPr="00FB409B" w:rsidRDefault="001A5D96" w:rsidP="001A5D96">
            <w:pPr>
              <w:pStyle w:val="a5"/>
              <w:spacing w:before="0" w:beforeAutospacing="0" w:after="0" w:afterAutospacing="0"/>
              <w:jc w:val="both"/>
              <w:rPr>
                <w:lang w:val="uk-UA"/>
              </w:rPr>
            </w:pPr>
            <w:r w:rsidRPr="00FB409B">
              <w:rPr>
                <w:lang w:val="uk-UA"/>
              </w:rPr>
              <w:t>4. У цій Методиці терміни вживаються в таких значеннях:</w:t>
            </w:r>
          </w:p>
          <w:p w:rsidR="001A5D96" w:rsidRPr="00FB409B" w:rsidRDefault="001A5D96" w:rsidP="001A5D96">
            <w:pPr>
              <w:pStyle w:val="a5"/>
              <w:jc w:val="both"/>
              <w:rPr>
                <w:lang w:val="uk-UA"/>
              </w:rPr>
            </w:pPr>
            <w:r w:rsidRPr="00FB409B">
              <w:rPr>
                <w:lang w:val="uk-UA"/>
              </w:rPr>
              <w:t>базовий період - період тривалістю один рік, який передує планованому періоду;</w:t>
            </w:r>
          </w:p>
          <w:p w:rsidR="001A5D96" w:rsidRPr="00FB409B" w:rsidRDefault="001A5D96" w:rsidP="001A5D96">
            <w:pPr>
              <w:pStyle w:val="a5"/>
              <w:spacing w:before="0" w:beforeAutospacing="0" w:after="0" w:afterAutospacing="0"/>
              <w:jc w:val="both"/>
              <w:rPr>
                <w:b/>
                <w:lang w:val="uk-UA"/>
              </w:rPr>
            </w:pPr>
            <w:r w:rsidRPr="00FB409B">
              <w:rPr>
                <w:b/>
                <w:lang w:val="uk-UA"/>
              </w:rPr>
              <w:t>капітальні інвестиції -  розрахункова сума, що є окремою складовою структури тарифу на послуги розподілу природного газу та є одним з джерел фінансування інвестиційної програми Оператора ГРМ;</w:t>
            </w:r>
          </w:p>
          <w:p w:rsidR="001A5D96" w:rsidRPr="00FB409B" w:rsidRDefault="001A5D96" w:rsidP="001A5D96">
            <w:pPr>
              <w:pStyle w:val="a5"/>
              <w:spacing w:before="0" w:beforeAutospacing="0" w:after="0" w:afterAutospacing="0"/>
              <w:jc w:val="both"/>
              <w:rPr>
                <w:lang w:val="uk-UA"/>
              </w:rPr>
            </w:pPr>
            <w:r w:rsidRPr="00FB409B">
              <w:rPr>
                <w:lang w:val="uk-UA"/>
              </w:rPr>
              <w:t>…</w:t>
            </w:r>
          </w:p>
          <w:p w:rsidR="001A5D96" w:rsidRPr="00FB409B" w:rsidRDefault="001A5D96" w:rsidP="001A5D96">
            <w:pPr>
              <w:pStyle w:val="a5"/>
              <w:spacing w:before="0" w:beforeAutospacing="0" w:after="0" w:afterAutospacing="0"/>
              <w:jc w:val="both"/>
              <w:rPr>
                <w:lang w:val="uk-UA"/>
              </w:rPr>
            </w:pPr>
          </w:p>
          <w:p w:rsidR="001A5D96" w:rsidRPr="00FB409B" w:rsidRDefault="001A5D96" w:rsidP="001A5D96">
            <w:pPr>
              <w:pStyle w:val="a5"/>
              <w:spacing w:before="0" w:beforeAutospacing="0" w:after="0" w:afterAutospacing="0"/>
              <w:jc w:val="both"/>
              <w:rPr>
                <w:b/>
                <w:lang w:val="uk-UA"/>
              </w:rPr>
            </w:pPr>
            <w:r w:rsidRPr="00FB409B">
              <w:rPr>
                <w:b/>
                <w:lang w:val="uk-UA"/>
              </w:rPr>
              <w:t>планований прибуток – розрахункова сума, що є окремою складовою структури тарифу на послуги розподілу природного газу</w:t>
            </w:r>
            <w:r w:rsidRPr="00FB409B">
              <w:rPr>
                <w:lang w:val="uk-UA"/>
              </w:rPr>
              <w:t xml:space="preserve"> </w:t>
            </w:r>
            <w:bookmarkStart w:id="6" w:name="_Hlk141200603"/>
            <w:r w:rsidRPr="00FB409B">
              <w:rPr>
                <w:b/>
                <w:lang w:val="uk-UA"/>
              </w:rPr>
              <w:t>та визначається відповідно до розділу IV цієї Методики</w:t>
            </w:r>
            <w:bookmarkEnd w:id="6"/>
            <w:r w:rsidRPr="00FB409B">
              <w:rPr>
                <w:lang w:val="uk-UA"/>
              </w:rPr>
              <w:t>;</w:t>
            </w:r>
          </w:p>
          <w:p w:rsidR="001A5D96" w:rsidRPr="00FB409B" w:rsidRDefault="001A5D96" w:rsidP="001A5D96">
            <w:pPr>
              <w:pStyle w:val="a5"/>
              <w:spacing w:before="0" w:beforeAutospacing="0" w:after="0" w:afterAutospacing="0"/>
              <w:jc w:val="both"/>
              <w:rPr>
                <w:lang w:val="uk-UA"/>
              </w:rPr>
            </w:pPr>
            <w:r w:rsidRPr="00FB409B">
              <w:rPr>
                <w:lang w:val="uk-UA"/>
              </w:rPr>
              <w:t>…</w:t>
            </w:r>
          </w:p>
          <w:p w:rsidR="001A5D96" w:rsidRPr="00FB409B" w:rsidRDefault="001A5D96" w:rsidP="001A5D96">
            <w:pPr>
              <w:pStyle w:val="a5"/>
              <w:spacing w:before="0" w:beforeAutospacing="0" w:after="0" w:afterAutospacing="0"/>
              <w:jc w:val="both"/>
              <w:rPr>
                <w:lang w:val="uk-UA"/>
              </w:rPr>
            </w:pPr>
          </w:p>
          <w:p w:rsidR="001A5D96" w:rsidRPr="00FB409B" w:rsidRDefault="001A5D96" w:rsidP="001A5D96">
            <w:pPr>
              <w:pStyle w:val="a5"/>
              <w:spacing w:before="0" w:beforeAutospacing="0" w:after="0" w:afterAutospacing="0"/>
              <w:jc w:val="both"/>
              <w:rPr>
                <w:lang w:val="uk-UA"/>
              </w:rPr>
            </w:pPr>
          </w:p>
          <w:p w:rsidR="001A5D96" w:rsidRPr="00FB409B" w:rsidRDefault="001A5D96" w:rsidP="001A5D96">
            <w:pPr>
              <w:pStyle w:val="a5"/>
              <w:spacing w:before="0" w:beforeAutospacing="0" w:after="0" w:afterAutospacing="0"/>
              <w:jc w:val="both"/>
              <w:rPr>
                <w:strike/>
                <w:lang w:val="uk-UA"/>
              </w:rPr>
            </w:pPr>
            <w:r w:rsidRPr="00FB409B">
              <w:rPr>
                <w:strike/>
                <w:lang w:val="uk-UA"/>
              </w:rPr>
              <w:t>прибуток на виробничі інвестиції - складова частина планованого прибутку, що є джерелом фінансування інвестиційної програми Оператора ГРМ;</w:t>
            </w:r>
          </w:p>
          <w:p w:rsidR="001A5D96" w:rsidRPr="00FB409B" w:rsidRDefault="001A5D96" w:rsidP="001A5D96">
            <w:pPr>
              <w:pStyle w:val="a5"/>
              <w:jc w:val="both"/>
              <w:rPr>
                <w:b/>
                <w:lang w:val="uk-UA"/>
              </w:rPr>
            </w:pPr>
            <w:r w:rsidRPr="00FB409B">
              <w:rPr>
                <w:lang w:val="uk-UA"/>
              </w:rPr>
              <w:t xml:space="preserve">структура тарифу на послуги розподілу природного газу (планованої тарифної виручки) (далі - структура тарифу) - перелік елементів витрат, що групуються за елементами витрат собівартості відповідно до Положення (стандарту) бухгалтерського обліку 16 "Витрати", затвердженого наказом Міністерства фінансів України від 31 грудня 1999 року N 318, зареєстрованого в Міністерстві юстиції України 19 січня 2000 року за N 27/4248, та/або міжнародних стандартів бухгалтерського обліку та фінансової звітності, планованого прибутку, </w:t>
            </w:r>
            <w:r w:rsidRPr="00FB409B">
              <w:rPr>
                <w:b/>
                <w:lang w:val="uk-UA"/>
              </w:rPr>
              <w:t>капітальних інвестицій</w:t>
            </w:r>
            <w:r w:rsidRPr="00FB409B">
              <w:rPr>
                <w:lang w:val="uk-UA"/>
              </w:rPr>
              <w:t xml:space="preserve"> та коригування планованої річної тарифної виручки;</w:t>
            </w:r>
          </w:p>
        </w:tc>
        <w:tc>
          <w:tcPr>
            <w:tcW w:w="6379" w:type="dxa"/>
          </w:tcPr>
          <w:p w:rsidR="001A5D96" w:rsidRPr="00FB409B" w:rsidRDefault="00E93C14" w:rsidP="001A5D96">
            <w:pPr>
              <w:pStyle w:val="a5"/>
              <w:spacing w:before="0" w:beforeAutospacing="0" w:after="0" w:afterAutospacing="0" w:line="260" w:lineRule="exact"/>
              <w:ind w:firstLine="457"/>
              <w:contextualSpacing/>
              <w:jc w:val="both"/>
              <w:rPr>
                <w:b/>
                <w:i/>
                <w:shd w:val="clear" w:color="auto" w:fill="FFFFFF"/>
                <w:lang w:val="uk-UA"/>
              </w:rPr>
            </w:pPr>
            <w:r w:rsidRPr="00FB409B">
              <w:rPr>
                <w:b/>
                <w:i/>
                <w:lang w:val="uk-UA"/>
              </w:rPr>
              <w:t>Зауваження не надходили</w:t>
            </w:r>
          </w:p>
        </w:tc>
        <w:tc>
          <w:tcPr>
            <w:tcW w:w="2410" w:type="dxa"/>
          </w:tcPr>
          <w:p w:rsidR="001A5D96" w:rsidRPr="00FB409B" w:rsidRDefault="001A5D96" w:rsidP="001A5D96">
            <w:pPr>
              <w:ind w:left="240"/>
              <w:rPr>
                <w:rFonts w:ascii="Times New Roman" w:hAnsi="Times New Roman" w:cs="Times New Roman"/>
                <w:b/>
                <w:bCs/>
                <w:iCs/>
                <w:sz w:val="24"/>
                <w:szCs w:val="24"/>
                <w:shd w:val="clear" w:color="auto" w:fill="FFFFFF"/>
              </w:rPr>
            </w:pPr>
          </w:p>
        </w:tc>
      </w:tr>
      <w:tr w:rsidR="00FB409B" w:rsidRPr="00FB409B" w:rsidTr="00743787">
        <w:trPr>
          <w:jc w:val="center"/>
        </w:trPr>
        <w:tc>
          <w:tcPr>
            <w:tcW w:w="13178" w:type="dxa"/>
            <w:gridSpan w:val="2"/>
          </w:tcPr>
          <w:p w:rsidR="001A5D96" w:rsidRPr="00FB409B" w:rsidRDefault="001A5D96" w:rsidP="001A5D96">
            <w:pPr>
              <w:pStyle w:val="a5"/>
              <w:spacing w:before="0" w:beforeAutospacing="0" w:after="0" w:afterAutospacing="0" w:line="260" w:lineRule="exact"/>
              <w:ind w:firstLine="457"/>
              <w:contextualSpacing/>
              <w:jc w:val="center"/>
              <w:rPr>
                <w:b/>
                <w:i/>
                <w:sz w:val="28"/>
                <w:shd w:val="clear" w:color="auto" w:fill="FFFFFF"/>
                <w:lang w:val="uk-UA"/>
              </w:rPr>
            </w:pPr>
            <w:r w:rsidRPr="00FB409B">
              <w:rPr>
                <w:b/>
                <w:sz w:val="28"/>
                <w:lang w:val="uk-UA"/>
              </w:rPr>
              <w:t>II. Розрахунок тарифу на послуги розподілу природного газу</w:t>
            </w:r>
          </w:p>
        </w:tc>
        <w:tc>
          <w:tcPr>
            <w:tcW w:w="2410" w:type="dxa"/>
          </w:tcPr>
          <w:p w:rsidR="001A5D96" w:rsidRPr="00FB409B" w:rsidRDefault="001A5D96" w:rsidP="001A5D96">
            <w:pPr>
              <w:ind w:left="240"/>
              <w:rPr>
                <w:rFonts w:ascii="Times New Roman" w:hAnsi="Times New Roman" w:cs="Times New Roman"/>
                <w:b/>
                <w:bCs/>
                <w:iCs/>
                <w:sz w:val="24"/>
                <w:szCs w:val="24"/>
                <w:shd w:val="clear" w:color="auto" w:fill="FFFFFF"/>
              </w:rPr>
            </w:pPr>
          </w:p>
        </w:tc>
      </w:tr>
      <w:tr w:rsidR="00FB409B" w:rsidRPr="00FB409B" w:rsidTr="00E63AEF">
        <w:trPr>
          <w:jc w:val="center"/>
        </w:trPr>
        <w:tc>
          <w:tcPr>
            <w:tcW w:w="6799" w:type="dxa"/>
          </w:tcPr>
          <w:p w:rsidR="001A5D96" w:rsidRPr="00FB409B" w:rsidRDefault="001A5D96" w:rsidP="001A5D96">
            <w:pPr>
              <w:pStyle w:val="a5"/>
              <w:spacing w:before="0" w:beforeAutospacing="0" w:after="0" w:afterAutospacing="0"/>
              <w:jc w:val="both"/>
              <w:rPr>
                <w:lang w:val="uk-UA"/>
              </w:rPr>
            </w:pPr>
            <w:r w:rsidRPr="00FB409B">
              <w:rPr>
                <w:lang w:val="uk-UA"/>
              </w:rPr>
              <w:lastRenderedPageBreak/>
              <w:t>…..</w:t>
            </w:r>
          </w:p>
          <w:p w:rsidR="001A5D96" w:rsidRPr="00FB409B" w:rsidRDefault="001A5D96" w:rsidP="001A5D96">
            <w:pPr>
              <w:pStyle w:val="a5"/>
              <w:spacing w:before="0" w:beforeAutospacing="0" w:after="0" w:afterAutospacing="0"/>
              <w:jc w:val="both"/>
              <w:rPr>
                <w:lang w:val="uk-UA"/>
              </w:rPr>
            </w:pPr>
            <w:r w:rsidRPr="00FB409B">
              <w:rPr>
                <w:lang w:val="uk-UA"/>
              </w:rPr>
              <w:t xml:space="preserve">2. Планована річна тарифна виручка (ТВ) розраховується на основі повної планованої собівартості (В), що визначається відповідно до розділу III цієї Методики, планованого прибутку (П), який визначається відповідно до розділу IV цієї Методики, </w:t>
            </w:r>
            <w:r w:rsidRPr="00FB409B">
              <w:rPr>
                <w:b/>
                <w:lang w:val="uk-UA"/>
              </w:rPr>
              <w:t>капітальних інвестиції (КІ), які визначаються відповідно до розділу V цієї Методики</w:t>
            </w:r>
            <w:r w:rsidRPr="00FB409B">
              <w:rPr>
                <w:lang w:val="uk-UA"/>
              </w:rPr>
              <w:t xml:space="preserve"> та коригування тарифної виручки (К), яке визначається відповідно до розділу </w:t>
            </w:r>
            <w:r w:rsidRPr="00FB409B">
              <w:rPr>
                <w:b/>
                <w:lang w:val="uk-UA"/>
              </w:rPr>
              <w:t xml:space="preserve">VI </w:t>
            </w:r>
            <w:r w:rsidRPr="00FB409B">
              <w:rPr>
                <w:lang w:val="uk-UA"/>
              </w:rPr>
              <w:t>цієї Методики, за формулою</w:t>
            </w:r>
          </w:p>
          <w:p w:rsidR="001A5D96" w:rsidRPr="00FB409B" w:rsidRDefault="001A5D96" w:rsidP="001A5D96">
            <w:pPr>
              <w:pStyle w:val="a5"/>
              <w:spacing w:before="0" w:beforeAutospacing="0" w:after="0" w:afterAutospacing="0"/>
              <w:jc w:val="center"/>
              <w:rPr>
                <w:lang w:val="uk-UA"/>
              </w:rPr>
            </w:pPr>
            <w:r w:rsidRPr="00FB409B">
              <w:rPr>
                <w:lang w:val="uk-UA"/>
              </w:rPr>
              <w:t>ТВ = В + П +</w:t>
            </w:r>
            <w:r w:rsidRPr="00FB409B">
              <w:rPr>
                <w:b/>
                <w:lang w:val="uk-UA"/>
              </w:rPr>
              <w:t>КІ</w:t>
            </w:r>
            <w:r w:rsidRPr="00FB409B">
              <w:rPr>
                <w:lang w:val="uk-UA"/>
              </w:rPr>
              <w:t>+ К (тис. грн)</w:t>
            </w:r>
          </w:p>
          <w:p w:rsidR="001A5D96" w:rsidRPr="00FB409B" w:rsidRDefault="001A5D96" w:rsidP="001A5D96">
            <w:pPr>
              <w:ind w:firstLine="466"/>
              <w:rPr>
                <w:rFonts w:ascii="Times New Roman" w:hAnsi="Times New Roman" w:cs="Times New Roman"/>
                <w:sz w:val="24"/>
                <w:szCs w:val="24"/>
                <w:shd w:val="clear" w:color="auto" w:fill="FFFFFF"/>
              </w:rPr>
            </w:pPr>
          </w:p>
        </w:tc>
        <w:tc>
          <w:tcPr>
            <w:tcW w:w="6379" w:type="dxa"/>
          </w:tcPr>
          <w:p w:rsidR="001A5D96" w:rsidRPr="00FB409B" w:rsidRDefault="00E93C14" w:rsidP="001A5D96">
            <w:pPr>
              <w:pStyle w:val="a5"/>
              <w:spacing w:before="0" w:beforeAutospacing="0" w:after="0" w:afterAutospacing="0" w:line="260" w:lineRule="exact"/>
              <w:ind w:firstLine="457"/>
              <w:contextualSpacing/>
              <w:jc w:val="both"/>
              <w:rPr>
                <w:b/>
                <w:i/>
                <w:shd w:val="clear" w:color="auto" w:fill="FFFFFF"/>
                <w:lang w:val="uk-UA"/>
              </w:rPr>
            </w:pPr>
            <w:r w:rsidRPr="00FB409B">
              <w:rPr>
                <w:b/>
                <w:i/>
                <w:lang w:val="uk-UA"/>
              </w:rPr>
              <w:t>Зауваження не надходили</w:t>
            </w:r>
          </w:p>
        </w:tc>
        <w:tc>
          <w:tcPr>
            <w:tcW w:w="2410" w:type="dxa"/>
          </w:tcPr>
          <w:p w:rsidR="001A5D96" w:rsidRPr="00FB409B" w:rsidRDefault="001A5D96" w:rsidP="001A5D96">
            <w:pPr>
              <w:ind w:left="240"/>
              <w:rPr>
                <w:rFonts w:ascii="Times New Roman" w:hAnsi="Times New Roman" w:cs="Times New Roman"/>
                <w:b/>
                <w:bCs/>
                <w:iCs/>
                <w:sz w:val="24"/>
                <w:szCs w:val="24"/>
                <w:shd w:val="clear" w:color="auto" w:fill="FFFFFF"/>
              </w:rPr>
            </w:pPr>
          </w:p>
        </w:tc>
      </w:tr>
      <w:tr w:rsidR="00FB409B" w:rsidRPr="00FB409B" w:rsidTr="00E32048">
        <w:trPr>
          <w:jc w:val="center"/>
        </w:trPr>
        <w:tc>
          <w:tcPr>
            <w:tcW w:w="13178" w:type="dxa"/>
            <w:gridSpan w:val="2"/>
          </w:tcPr>
          <w:p w:rsidR="001A5D96" w:rsidRPr="00FB409B" w:rsidRDefault="001A5D96" w:rsidP="001A5D96">
            <w:pPr>
              <w:pStyle w:val="a5"/>
              <w:spacing w:before="0" w:beforeAutospacing="0" w:after="0" w:afterAutospacing="0" w:line="260" w:lineRule="exact"/>
              <w:ind w:firstLine="457"/>
              <w:contextualSpacing/>
              <w:jc w:val="center"/>
              <w:rPr>
                <w:b/>
                <w:i/>
                <w:shd w:val="clear" w:color="auto" w:fill="FFFFFF"/>
                <w:lang w:val="uk-UA"/>
              </w:rPr>
            </w:pPr>
            <w:r w:rsidRPr="00FB409B">
              <w:rPr>
                <w:b/>
                <w:sz w:val="28"/>
                <w:lang w:val="uk-UA"/>
              </w:rPr>
              <w:t>IІІ. Перелік витрат, що враховуються при визначенні планованої тарифної виручки</w:t>
            </w:r>
          </w:p>
        </w:tc>
        <w:tc>
          <w:tcPr>
            <w:tcW w:w="2410" w:type="dxa"/>
          </w:tcPr>
          <w:p w:rsidR="001A5D96" w:rsidRPr="00FB409B" w:rsidRDefault="001A5D96" w:rsidP="001A5D96">
            <w:pPr>
              <w:ind w:left="240"/>
              <w:rPr>
                <w:rFonts w:ascii="Times New Roman" w:hAnsi="Times New Roman" w:cs="Times New Roman"/>
                <w:b/>
                <w:bCs/>
                <w:iCs/>
                <w:sz w:val="24"/>
                <w:szCs w:val="24"/>
                <w:shd w:val="clear" w:color="auto" w:fill="FFFFFF"/>
              </w:rPr>
            </w:pPr>
          </w:p>
        </w:tc>
      </w:tr>
      <w:tr w:rsidR="00FB409B" w:rsidRPr="00FB409B" w:rsidTr="00E63AEF">
        <w:trPr>
          <w:jc w:val="center"/>
        </w:trPr>
        <w:tc>
          <w:tcPr>
            <w:tcW w:w="6799" w:type="dxa"/>
          </w:tcPr>
          <w:p w:rsidR="001A5D96" w:rsidRPr="00FB409B" w:rsidRDefault="001A5D96" w:rsidP="001A5D96">
            <w:pPr>
              <w:pStyle w:val="a5"/>
              <w:spacing w:before="0" w:beforeAutospacing="0" w:after="0" w:afterAutospacing="0"/>
              <w:jc w:val="both"/>
              <w:rPr>
                <w:lang w:val="uk-UA"/>
              </w:rPr>
            </w:pPr>
            <w:r w:rsidRPr="00FB409B">
              <w:rPr>
                <w:lang w:val="uk-UA"/>
              </w:rPr>
              <w:t>…</w:t>
            </w:r>
          </w:p>
          <w:p w:rsidR="001A5D96" w:rsidRPr="00FB409B" w:rsidRDefault="001A5D96" w:rsidP="001A5D96">
            <w:pPr>
              <w:pStyle w:val="a5"/>
              <w:spacing w:before="0" w:beforeAutospacing="0" w:after="0" w:afterAutospacing="0"/>
              <w:jc w:val="both"/>
              <w:rPr>
                <w:lang w:val="uk-UA"/>
              </w:rPr>
            </w:pPr>
            <w:r w:rsidRPr="00FB409B">
              <w:rPr>
                <w:lang w:val="uk-UA"/>
              </w:rPr>
              <w:t xml:space="preserve">5. Витрати на оплату праці визначаються відповідно до положень розділу </w:t>
            </w:r>
            <w:r w:rsidRPr="00FB409B">
              <w:rPr>
                <w:b/>
                <w:lang w:val="uk-UA"/>
              </w:rPr>
              <w:t>VIIІ</w:t>
            </w:r>
            <w:r w:rsidRPr="00FB409B">
              <w:rPr>
                <w:lang w:val="uk-UA"/>
              </w:rPr>
              <w:t xml:space="preserve"> цієї Методики.</w:t>
            </w:r>
          </w:p>
          <w:p w:rsidR="001A5D96" w:rsidRPr="00FB409B" w:rsidRDefault="001A5D96" w:rsidP="001A5D96">
            <w:pPr>
              <w:ind w:firstLine="466"/>
              <w:rPr>
                <w:rFonts w:ascii="Times New Roman" w:hAnsi="Times New Roman" w:cs="Times New Roman"/>
                <w:sz w:val="24"/>
                <w:szCs w:val="24"/>
                <w:shd w:val="clear" w:color="auto" w:fill="FFFFFF"/>
              </w:rPr>
            </w:pPr>
          </w:p>
        </w:tc>
        <w:tc>
          <w:tcPr>
            <w:tcW w:w="6379" w:type="dxa"/>
          </w:tcPr>
          <w:p w:rsidR="001A5D96" w:rsidRPr="00FB409B" w:rsidRDefault="00E93C14" w:rsidP="001A5D96">
            <w:pPr>
              <w:pStyle w:val="a5"/>
              <w:spacing w:before="0" w:beforeAutospacing="0" w:after="0" w:afterAutospacing="0" w:line="260" w:lineRule="exact"/>
              <w:ind w:firstLine="457"/>
              <w:contextualSpacing/>
              <w:jc w:val="both"/>
              <w:rPr>
                <w:b/>
                <w:i/>
                <w:shd w:val="clear" w:color="auto" w:fill="FFFFFF"/>
                <w:lang w:val="uk-UA"/>
              </w:rPr>
            </w:pPr>
            <w:r w:rsidRPr="00FB409B">
              <w:rPr>
                <w:b/>
                <w:i/>
                <w:lang w:val="uk-UA"/>
              </w:rPr>
              <w:t>Зауваження не надходили</w:t>
            </w:r>
          </w:p>
        </w:tc>
        <w:tc>
          <w:tcPr>
            <w:tcW w:w="2410" w:type="dxa"/>
          </w:tcPr>
          <w:p w:rsidR="001A5D96" w:rsidRPr="00FB409B" w:rsidRDefault="001A5D96" w:rsidP="001A5D96">
            <w:pPr>
              <w:ind w:left="240"/>
              <w:rPr>
                <w:rFonts w:ascii="Times New Roman" w:hAnsi="Times New Roman" w:cs="Times New Roman"/>
                <w:b/>
                <w:bCs/>
                <w:iCs/>
                <w:sz w:val="24"/>
                <w:szCs w:val="24"/>
                <w:shd w:val="clear" w:color="auto" w:fill="FFFFFF"/>
              </w:rPr>
            </w:pPr>
          </w:p>
        </w:tc>
      </w:tr>
      <w:tr w:rsidR="00FB409B" w:rsidRPr="00FB409B" w:rsidTr="00797000">
        <w:trPr>
          <w:jc w:val="center"/>
        </w:trPr>
        <w:tc>
          <w:tcPr>
            <w:tcW w:w="13178" w:type="dxa"/>
            <w:gridSpan w:val="2"/>
          </w:tcPr>
          <w:p w:rsidR="001A5D96" w:rsidRPr="00FB409B" w:rsidRDefault="001A5D96" w:rsidP="001A5D96">
            <w:pPr>
              <w:pStyle w:val="a5"/>
              <w:spacing w:before="0" w:beforeAutospacing="0" w:after="0" w:afterAutospacing="0" w:line="260" w:lineRule="exact"/>
              <w:ind w:firstLine="457"/>
              <w:contextualSpacing/>
              <w:jc w:val="center"/>
              <w:rPr>
                <w:b/>
                <w:sz w:val="28"/>
                <w:lang w:val="uk-UA"/>
              </w:rPr>
            </w:pPr>
            <w:r w:rsidRPr="00FB409B">
              <w:rPr>
                <w:b/>
                <w:sz w:val="28"/>
                <w:lang w:val="uk-UA"/>
              </w:rPr>
              <w:t>IV. Прибуток</w:t>
            </w:r>
          </w:p>
        </w:tc>
        <w:tc>
          <w:tcPr>
            <w:tcW w:w="2410" w:type="dxa"/>
          </w:tcPr>
          <w:p w:rsidR="001A5D96" w:rsidRPr="00FB409B" w:rsidRDefault="001A5D96" w:rsidP="001A5D96">
            <w:pPr>
              <w:ind w:left="240"/>
              <w:rPr>
                <w:rFonts w:ascii="Times New Roman" w:hAnsi="Times New Roman" w:cs="Times New Roman"/>
                <w:b/>
                <w:bCs/>
                <w:iCs/>
                <w:sz w:val="24"/>
                <w:szCs w:val="24"/>
                <w:shd w:val="clear" w:color="auto" w:fill="FFFFFF"/>
              </w:rPr>
            </w:pPr>
          </w:p>
        </w:tc>
      </w:tr>
      <w:tr w:rsidR="00FB409B" w:rsidRPr="00FB409B" w:rsidTr="00E63AEF">
        <w:trPr>
          <w:jc w:val="center"/>
        </w:trPr>
        <w:tc>
          <w:tcPr>
            <w:tcW w:w="6799" w:type="dxa"/>
          </w:tcPr>
          <w:p w:rsidR="001A5D96" w:rsidRPr="00FB409B" w:rsidRDefault="001A5D96" w:rsidP="001A5D96">
            <w:pPr>
              <w:pStyle w:val="a5"/>
              <w:jc w:val="both"/>
              <w:rPr>
                <w:lang w:val="uk-UA"/>
              </w:rPr>
            </w:pPr>
            <w:r w:rsidRPr="00FB409B">
              <w:rPr>
                <w:lang w:val="uk-UA"/>
              </w:rPr>
              <w:t>1. При розрахунку тарифу до складу планованої тарифної виручки включається планований прибуток, який визначається з урахуванням необхідності:</w:t>
            </w:r>
          </w:p>
          <w:p w:rsidR="001A5D96" w:rsidRPr="00FB409B" w:rsidRDefault="001A5D96" w:rsidP="001A5D96">
            <w:pPr>
              <w:pStyle w:val="a5"/>
              <w:jc w:val="both"/>
              <w:rPr>
                <w:lang w:val="uk-UA"/>
              </w:rPr>
            </w:pPr>
            <w:r w:rsidRPr="00FB409B">
              <w:rPr>
                <w:strike/>
                <w:lang w:val="uk-UA"/>
              </w:rPr>
              <w:t>здійснення інвестицій, пов'язаних з ліцензованою діяльністю з розподілу природного газу, у тому числі на виробничі інвестиції</w:t>
            </w:r>
            <w:r w:rsidRPr="00FB409B">
              <w:rPr>
                <w:lang w:val="uk-UA"/>
              </w:rPr>
              <w:t>;</w:t>
            </w:r>
          </w:p>
          <w:p w:rsidR="001A5D96" w:rsidRPr="00FB409B" w:rsidRDefault="001A5D96" w:rsidP="001A5D96">
            <w:pPr>
              <w:pStyle w:val="a5"/>
              <w:jc w:val="both"/>
              <w:rPr>
                <w:strike/>
                <w:lang w:val="uk-UA"/>
              </w:rPr>
            </w:pPr>
            <w:r w:rsidRPr="00FB409B">
              <w:rPr>
                <w:strike/>
                <w:lang w:val="uk-UA"/>
              </w:rPr>
              <w:t>погашення основної суми кредитів та/або запозичень, які залучені для виконання інвестиційної програми та які погоджені НКРЕКП, та/або суми інвестицій за рахунок власного капіталу в необоротні матеріальні та нематеріальні активи;</w:t>
            </w:r>
          </w:p>
          <w:p w:rsidR="001A5D96" w:rsidRPr="00FB409B" w:rsidRDefault="001A5D96" w:rsidP="001A5D96">
            <w:pPr>
              <w:pStyle w:val="a5"/>
              <w:jc w:val="both"/>
              <w:rPr>
                <w:lang w:val="uk-UA"/>
              </w:rPr>
            </w:pPr>
            <w:r w:rsidRPr="00FB409B">
              <w:rPr>
                <w:lang w:val="uk-UA"/>
              </w:rPr>
              <w:t>спрямування відповідно до Закону України "Про управління об'єктами державної власності" частини чистого прибутку на виплату дивідендів;</w:t>
            </w:r>
          </w:p>
          <w:p w:rsidR="001A5D96" w:rsidRPr="00FB409B" w:rsidRDefault="001A5D96" w:rsidP="001A5D96">
            <w:pPr>
              <w:pStyle w:val="a5"/>
              <w:jc w:val="both"/>
              <w:rPr>
                <w:lang w:val="uk-UA"/>
              </w:rPr>
            </w:pPr>
            <w:r w:rsidRPr="00FB409B">
              <w:rPr>
                <w:lang w:val="uk-UA"/>
              </w:rPr>
              <w:t>забезпечення обігових коштів за рахунок планованого прибутку</w:t>
            </w:r>
            <w:r w:rsidRPr="00FB409B">
              <w:rPr>
                <w:b/>
                <w:lang w:val="uk-UA"/>
              </w:rPr>
              <w:t>,</w:t>
            </w:r>
            <w:r w:rsidRPr="00FB409B">
              <w:rPr>
                <w:lang w:val="uk-UA"/>
              </w:rPr>
              <w:t xml:space="preserve"> </w:t>
            </w:r>
            <w:r w:rsidRPr="00FB409B">
              <w:rPr>
                <w:b/>
                <w:lang w:val="uk-UA"/>
              </w:rPr>
              <w:t>з урахуванням вимог чинного законодавства щодо податку на прибуток,</w:t>
            </w:r>
            <w:r w:rsidRPr="00FB409B">
              <w:rPr>
                <w:lang w:val="uk-UA"/>
              </w:rPr>
              <w:t xml:space="preserve"> в обсязі, що не перевищує 5 % від повної </w:t>
            </w:r>
            <w:r w:rsidRPr="00FB409B">
              <w:rPr>
                <w:lang w:val="uk-UA"/>
              </w:rPr>
              <w:lastRenderedPageBreak/>
              <w:t>планованої собівартості, без урахування амортизаційних відрахувань.</w:t>
            </w:r>
          </w:p>
          <w:p w:rsidR="001A5D96" w:rsidRPr="00FB409B" w:rsidRDefault="001A5D96" w:rsidP="001A5D96">
            <w:pPr>
              <w:pStyle w:val="a5"/>
              <w:jc w:val="both"/>
              <w:rPr>
                <w:strike/>
                <w:lang w:val="uk-UA"/>
              </w:rPr>
            </w:pPr>
          </w:p>
          <w:p w:rsidR="001A5D96" w:rsidRPr="00FB409B" w:rsidRDefault="001A5D96" w:rsidP="001A5D96">
            <w:pPr>
              <w:pStyle w:val="a5"/>
              <w:jc w:val="both"/>
              <w:rPr>
                <w:strike/>
                <w:lang w:val="uk-UA"/>
              </w:rPr>
            </w:pPr>
            <w:r w:rsidRPr="00FB409B">
              <w:rPr>
                <w:strike/>
                <w:lang w:val="uk-UA"/>
              </w:rPr>
              <w:t>сплати податку на прибуток.</w:t>
            </w:r>
          </w:p>
          <w:p w:rsidR="001A5D96" w:rsidRPr="00FB409B" w:rsidRDefault="001A5D96" w:rsidP="001A5D96">
            <w:pPr>
              <w:pStyle w:val="a5"/>
              <w:jc w:val="both"/>
              <w:rPr>
                <w:lang w:val="uk-UA"/>
              </w:rPr>
            </w:pPr>
            <w:r w:rsidRPr="00FB409B">
              <w:rPr>
                <w:strike/>
                <w:lang w:val="uk-UA"/>
              </w:rPr>
              <w:t>2. Планування складової частини прибутку, що передбачається для здійснення необхідних інвестицій, проводиться відповідно до інвестиційної програми ліцензіата.</w:t>
            </w:r>
          </w:p>
        </w:tc>
        <w:tc>
          <w:tcPr>
            <w:tcW w:w="6379" w:type="dxa"/>
          </w:tcPr>
          <w:p w:rsidR="001A5D96" w:rsidRPr="00FB409B" w:rsidRDefault="00E93C14" w:rsidP="001A5D96">
            <w:pPr>
              <w:pStyle w:val="a5"/>
              <w:spacing w:before="0" w:beforeAutospacing="0" w:after="0" w:afterAutospacing="0" w:line="260" w:lineRule="exact"/>
              <w:ind w:firstLine="457"/>
              <w:contextualSpacing/>
              <w:jc w:val="both"/>
              <w:rPr>
                <w:b/>
                <w:i/>
                <w:shd w:val="clear" w:color="auto" w:fill="FFFFFF"/>
                <w:lang w:val="uk-UA"/>
              </w:rPr>
            </w:pPr>
            <w:r w:rsidRPr="00FB409B">
              <w:rPr>
                <w:b/>
                <w:i/>
                <w:lang w:val="uk-UA"/>
              </w:rPr>
              <w:lastRenderedPageBreak/>
              <w:t>Зауваження не надходили</w:t>
            </w:r>
          </w:p>
        </w:tc>
        <w:tc>
          <w:tcPr>
            <w:tcW w:w="2410" w:type="dxa"/>
          </w:tcPr>
          <w:p w:rsidR="001A5D96" w:rsidRPr="00FB409B" w:rsidRDefault="001A5D96" w:rsidP="001A5D96">
            <w:pPr>
              <w:ind w:left="240"/>
              <w:rPr>
                <w:rFonts w:ascii="Times New Roman" w:hAnsi="Times New Roman" w:cs="Times New Roman"/>
                <w:b/>
                <w:bCs/>
                <w:iCs/>
                <w:sz w:val="24"/>
                <w:szCs w:val="24"/>
                <w:shd w:val="clear" w:color="auto" w:fill="FFFFFF"/>
              </w:rPr>
            </w:pPr>
          </w:p>
        </w:tc>
      </w:tr>
      <w:tr w:rsidR="00FB409B" w:rsidRPr="00FB409B" w:rsidTr="003D0E61">
        <w:trPr>
          <w:jc w:val="center"/>
        </w:trPr>
        <w:tc>
          <w:tcPr>
            <w:tcW w:w="13178" w:type="dxa"/>
            <w:gridSpan w:val="2"/>
          </w:tcPr>
          <w:p w:rsidR="001A5D96" w:rsidRPr="00FB409B" w:rsidRDefault="001A5D96" w:rsidP="001A5D96">
            <w:pPr>
              <w:pStyle w:val="a5"/>
              <w:spacing w:before="0" w:beforeAutospacing="0" w:after="0" w:afterAutospacing="0" w:line="260" w:lineRule="exact"/>
              <w:ind w:firstLine="457"/>
              <w:contextualSpacing/>
              <w:jc w:val="center"/>
              <w:rPr>
                <w:b/>
                <w:sz w:val="28"/>
                <w:lang w:val="uk-UA"/>
              </w:rPr>
            </w:pPr>
            <w:r w:rsidRPr="00FB409B">
              <w:rPr>
                <w:b/>
                <w:sz w:val="28"/>
                <w:lang w:val="uk-UA"/>
              </w:rPr>
              <w:t>V. Капітальні інвестиції</w:t>
            </w:r>
          </w:p>
        </w:tc>
        <w:tc>
          <w:tcPr>
            <w:tcW w:w="2410" w:type="dxa"/>
          </w:tcPr>
          <w:p w:rsidR="001A5D96" w:rsidRPr="00FB409B" w:rsidRDefault="001A5D96" w:rsidP="001A5D96">
            <w:pPr>
              <w:ind w:left="240"/>
              <w:rPr>
                <w:rFonts w:ascii="Times New Roman" w:hAnsi="Times New Roman" w:cs="Times New Roman"/>
                <w:b/>
                <w:bCs/>
                <w:iCs/>
                <w:sz w:val="24"/>
                <w:szCs w:val="24"/>
                <w:shd w:val="clear" w:color="auto" w:fill="FFFFFF"/>
              </w:rPr>
            </w:pPr>
          </w:p>
        </w:tc>
      </w:tr>
      <w:tr w:rsidR="00FB409B" w:rsidRPr="00FB409B" w:rsidTr="00E63AEF">
        <w:trPr>
          <w:jc w:val="center"/>
        </w:trPr>
        <w:tc>
          <w:tcPr>
            <w:tcW w:w="6799" w:type="dxa"/>
          </w:tcPr>
          <w:p w:rsidR="001A5D96" w:rsidRPr="00FB409B" w:rsidRDefault="001A5D96" w:rsidP="001A5D96">
            <w:pPr>
              <w:pStyle w:val="a5"/>
              <w:spacing w:before="0" w:beforeAutospacing="0" w:after="0" w:afterAutospacing="0"/>
              <w:jc w:val="both"/>
              <w:rPr>
                <w:b/>
                <w:lang w:val="uk-UA"/>
              </w:rPr>
            </w:pPr>
            <w:r w:rsidRPr="00FB409B">
              <w:rPr>
                <w:b/>
                <w:lang w:val="uk-UA"/>
              </w:rPr>
              <w:t>1. При розрахунку тарифу до складу планованої тарифної виручки включаються капітальні інвестиції, які визначаються з урахуванням необхідності:</w:t>
            </w:r>
          </w:p>
          <w:p w:rsidR="001A5D96" w:rsidRPr="00FB409B" w:rsidRDefault="001A5D96" w:rsidP="001A5D96">
            <w:pPr>
              <w:pStyle w:val="a5"/>
              <w:spacing w:before="0" w:beforeAutospacing="0" w:after="0" w:afterAutospacing="0"/>
              <w:jc w:val="both"/>
              <w:rPr>
                <w:b/>
                <w:lang w:val="uk-UA"/>
              </w:rPr>
            </w:pPr>
          </w:p>
          <w:p w:rsidR="001A5D96" w:rsidRPr="00FB409B" w:rsidRDefault="001A5D96" w:rsidP="001A5D96">
            <w:pPr>
              <w:pStyle w:val="a5"/>
              <w:spacing w:before="0" w:beforeAutospacing="0" w:after="0" w:afterAutospacing="0"/>
              <w:jc w:val="both"/>
              <w:rPr>
                <w:b/>
                <w:lang w:val="uk-UA"/>
              </w:rPr>
            </w:pPr>
            <w:r w:rsidRPr="00FB409B">
              <w:rPr>
                <w:b/>
                <w:lang w:val="uk-UA"/>
              </w:rPr>
              <w:t>здійснення інвестицій, пов'язаних з ліцензованою діяльністю з розподілу природного газу, а саме на капітальні інвестиції;</w:t>
            </w:r>
          </w:p>
          <w:p w:rsidR="001A5D96" w:rsidRPr="00FB409B" w:rsidRDefault="001A5D96" w:rsidP="001A5D96">
            <w:pPr>
              <w:pStyle w:val="a5"/>
              <w:spacing w:before="0" w:beforeAutospacing="0" w:after="0" w:afterAutospacing="0"/>
              <w:jc w:val="both"/>
              <w:rPr>
                <w:b/>
                <w:lang w:val="uk-UA"/>
              </w:rPr>
            </w:pPr>
          </w:p>
          <w:p w:rsidR="001A5D96" w:rsidRPr="00FB409B" w:rsidRDefault="001A5D96" w:rsidP="001A5D96">
            <w:pPr>
              <w:pStyle w:val="a5"/>
              <w:spacing w:before="0" w:beforeAutospacing="0" w:after="0" w:afterAutospacing="0"/>
              <w:jc w:val="both"/>
              <w:rPr>
                <w:b/>
                <w:lang w:val="uk-UA"/>
              </w:rPr>
            </w:pPr>
            <w:r w:rsidRPr="00FB409B">
              <w:rPr>
                <w:b/>
                <w:lang w:val="uk-UA"/>
              </w:rPr>
              <w:t>погашення основної суми кредитів та/або запозичень, які залучені для виконання інвестиційної програми та які погоджені НКРЕКП.</w:t>
            </w:r>
          </w:p>
          <w:p w:rsidR="001A5D96" w:rsidRPr="00FB409B" w:rsidRDefault="001A5D96" w:rsidP="001A5D96">
            <w:pPr>
              <w:pStyle w:val="a5"/>
              <w:spacing w:before="0" w:beforeAutospacing="0" w:after="0" w:afterAutospacing="0"/>
              <w:jc w:val="both"/>
              <w:rPr>
                <w:b/>
                <w:lang w:val="uk-UA"/>
              </w:rPr>
            </w:pPr>
          </w:p>
          <w:p w:rsidR="001A5D96" w:rsidRPr="00FB409B" w:rsidRDefault="001A5D96" w:rsidP="001A5D96">
            <w:pPr>
              <w:pStyle w:val="a5"/>
              <w:spacing w:before="0" w:beforeAutospacing="0" w:after="0" w:afterAutospacing="0"/>
              <w:jc w:val="both"/>
              <w:rPr>
                <w:lang w:val="uk-UA"/>
              </w:rPr>
            </w:pPr>
            <w:r w:rsidRPr="00FB409B">
              <w:rPr>
                <w:b/>
                <w:lang w:val="uk-UA"/>
              </w:rPr>
              <w:t>2. Планування капітальних інвестицій проводиться відповідно до інвестиційної програми ліцензіата.</w:t>
            </w:r>
          </w:p>
          <w:p w:rsidR="001A5D96" w:rsidRPr="00FB409B" w:rsidRDefault="001A5D96" w:rsidP="001A5D96">
            <w:pPr>
              <w:ind w:firstLine="466"/>
              <w:rPr>
                <w:rFonts w:ascii="Times New Roman" w:hAnsi="Times New Roman" w:cs="Times New Roman"/>
                <w:sz w:val="24"/>
                <w:szCs w:val="24"/>
                <w:shd w:val="clear" w:color="auto" w:fill="FFFFFF"/>
              </w:rPr>
            </w:pPr>
          </w:p>
        </w:tc>
        <w:tc>
          <w:tcPr>
            <w:tcW w:w="6379" w:type="dxa"/>
          </w:tcPr>
          <w:p w:rsidR="001A5D96" w:rsidRPr="00FB409B" w:rsidRDefault="00E93C14" w:rsidP="001A5D96">
            <w:pPr>
              <w:pStyle w:val="a5"/>
              <w:spacing w:before="0" w:beforeAutospacing="0" w:after="0" w:afterAutospacing="0" w:line="260" w:lineRule="exact"/>
              <w:ind w:firstLine="457"/>
              <w:contextualSpacing/>
              <w:jc w:val="both"/>
              <w:rPr>
                <w:b/>
                <w:i/>
                <w:shd w:val="clear" w:color="auto" w:fill="FFFFFF"/>
                <w:lang w:val="uk-UA"/>
              </w:rPr>
            </w:pPr>
            <w:r w:rsidRPr="00FB409B">
              <w:rPr>
                <w:b/>
                <w:i/>
                <w:lang w:val="uk-UA"/>
              </w:rPr>
              <w:t>Зауваження не надходили</w:t>
            </w:r>
          </w:p>
        </w:tc>
        <w:tc>
          <w:tcPr>
            <w:tcW w:w="2410" w:type="dxa"/>
          </w:tcPr>
          <w:p w:rsidR="001A5D96" w:rsidRPr="00FB409B" w:rsidRDefault="001A5D96" w:rsidP="001A5D96">
            <w:pPr>
              <w:ind w:left="240"/>
              <w:rPr>
                <w:rFonts w:ascii="Times New Roman" w:hAnsi="Times New Roman" w:cs="Times New Roman"/>
                <w:b/>
                <w:bCs/>
                <w:iCs/>
                <w:sz w:val="24"/>
                <w:szCs w:val="24"/>
                <w:shd w:val="clear" w:color="auto" w:fill="FFFFFF"/>
              </w:rPr>
            </w:pPr>
          </w:p>
        </w:tc>
      </w:tr>
      <w:tr w:rsidR="00FB409B" w:rsidRPr="00FB409B" w:rsidTr="00D205AD">
        <w:trPr>
          <w:jc w:val="center"/>
        </w:trPr>
        <w:tc>
          <w:tcPr>
            <w:tcW w:w="13178" w:type="dxa"/>
            <w:gridSpan w:val="2"/>
          </w:tcPr>
          <w:p w:rsidR="001A5D96" w:rsidRPr="00FB409B" w:rsidRDefault="001A5D96" w:rsidP="001A5D96">
            <w:pPr>
              <w:pStyle w:val="a5"/>
              <w:spacing w:before="0" w:beforeAutospacing="0" w:after="0" w:afterAutospacing="0" w:line="260" w:lineRule="exact"/>
              <w:ind w:firstLine="457"/>
              <w:contextualSpacing/>
              <w:jc w:val="center"/>
              <w:rPr>
                <w:b/>
                <w:sz w:val="28"/>
                <w:lang w:val="uk-UA"/>
              </w:rPr>
            </w:pPr>
            <w:r w:rsidRPr="00FB409B">
              <w:rPr>
                <w:b/>
                <w:sz w:val="28"/>
                <w:lang w:val="uk-UA"/>
              </w:rPr>
              <w:t>VI. Коригування планованої річної тарифної виручки</w:t>
            </w:r>
          </w:p>
        </w:tc>
        <w:tc>
          <w:tcPr>
            <w:tcW w:w="2410" w:type="dxa"/>
          </w:tcPr>
          <w:p w:rsidR="001A5D96" w:rsidRPr="00FB409B" w:rsidRDefault="001A5D96" w:rsidP="001A5D96">
            <w:pPr>
              <w:ind w:left="240"/>
              <w:rPr>
                <w:rFonts w:ascii="Times New Roman" w:hAnsi="Times New Roman" w:cs="Times New Roman"/>
                <w:b/>
                <w:bCs/>
                <w:iCs/>
                <w:sz w:val="24"/>
                <w:szCs w:val="24"/>
                <w:shd w:val="clear" w:color="auto" w:fill="FFFFFF"/>
              </w:rPr>
            </w:pPr>
          </w:p>
        </w:tc>
      </w:tr>
      <w:tr w:rsidR="00FB409B" w:rsidRPr="00FB409B" w:rsidTr="00754427">
        <w:trPr>
          <w:jc w:val="center"/>
        </w:trPr>
        <w:tc>
          <w:tcPr>
            <w:tcW w:w="13178" w:type="dxa"/>
            <w:gridSpan w:val="2"/>
          </w:tcPr>
          <w:p w:rsidR="001A5D96" w:rsidRPr="00FB409B" w:rsidRDefault="001A5D96" w:rsidP="001A5D96">
            <w:pPr>
              <w:pStyle w:val="a5"/>
              <w:spacing w:before="0" w:beforeAutospacing="0" w:after="0" w:afterAutospacing="0" w:line="260" w:lineRule="exact"/>
              <w:ind w:firstLine="457"/>
              <w:contextualSpacing/>
              <w:jc w:val="center"/>
              <w:rPr>
                <w:b/>
                <w:sz w:val="28"/>
                <w:lang w:val="uk-UA"/>
              </w:rPr>
            </w:pPr>
            <w:r w:rsidRPr="00FB409B">
              <w:rPr>
                <w:b/>
                <w:sz w:val="28"/>
                <w:lang w:val="uk-UA"/>
              </w:rPr>
              <w:t>VII. Стимулювання суб'єкта господарювання з розподілу природного газу до підвищення ефективності операційної діяльності</w:t>
            </w:r>
          </w:p>
        </w:tc>
        <w:tc>
          <w:tcPr>
            <w:tcW w:w="2410" w:type="dxa"/>
          </w:tcPr>
          <w:p w:rsidR="001A5D96" w:rsidRPr="00FB409B" w:rsidRDefault="001A5D96" w:rsidP="001A5D96">
            <w:pPr>
              <w:ind w:left="240"/>
              <w:rPr>
                <w:rFonts w:ascii="Times New Roman" w:hAnsi="Times New Roman" w:cs="Times New Roman"/>
                <w:b/>
                <w:bCs/>
                <w:iCs/>
                <w:sz w:val="24"/>
                <w:szCs w:val="24"/>
                <w:shd w:val="clear" w:color="auto" w:fill="FFFFFF"/>
              </w:rPr>
            </w:pPr>
          </w:p>
        </w:tc>
      </w:tr>
      <w:tr w:rsidR="00FB409B" w:rsidRPr="00FB409B" w:rsidTr="00B1386C">
        <w:trPr>
          <w:jc w:val="center"/>
        </w:trPr>
        <w:tc>
          <w:tcPr>
            <w:tcW w:w="13178" w:type="dxa"/>
            <w:gridSpan w:val="2"/>
          </w:tcPr>
          <w:p w:rsidR="001A5D96" w:rsidRPr="00FB409B" w:rsidRDefault="001A5D96" w:rsidP="001A5D96">
            <w:pPr>
              <w:pStyle w:val="a5"/>
              <w:spacing w:before="0" w:beforeAutospacing="0" w:after="0" w:afterAutospacing="0" w:line="260" w:lineRule="exact"/>
              <w:ind w:firstLine="457"/>
              <w:contextualSpacing/>
              <w:jc w:val="center"/>
              <w:rPr>
                <w:b/>
                <w:sz w:val="28"/>
                <w:lang w:val="uk-UA"/>
              </w:rPr>
            </w:pPr>
            <w:r w:rsidRPr="00FB409B">
              <w:rPr>
                <w:b/>
                <w:sz w:val="28"/>
                <w:lang w:val="uk-UA"/>
              </w:rPr>
              <w:t>VIII. Порядок визначення витрат на оплату праці, які враховуються в тарифах на послуги розподілу природного газу</w:t>
            </w:r>
          </w:p>
        </w:tc>
        <w:tc>
          <w:tcPr>
            <w:tcW w:w="2410" w:type="dxa"/>
          </w:tcPr>
          <w:p w:rsidR="001A5D96" w:rsidRPr="00FB409B" w:rsidRDefault="001A5D96" w:rsidP="001A5D96">
            <w:pPr>
              <w:ind w:left="240"/>
              <w:rPr>
                <w:rFonts w:ascii="Times New Roman" w:hAnsi="Times New Roman" w:cs="Times New Roman"/>
                <w:b/>
                <w:bCs/>
                <w:iCs/>
                <w:sz w:val="24"/>
                <w:szCs w:val="24"/>
                <w:shd w:val="clear" w:color="auto" w:fill="FFFFFF"/>
              </w:rPr>
            </w:pPr>
          </w:p>
        </w:tc>
      </w:tr>
      <w:tr w:rsidR="00FB409B" w:rsidRPr="00FB409B" w:rsidTr="00503AE5">
        <w:trPr>
          <w:jc w:val="center"/>
        </w:trPr>
        <w:tc>
          <w:tcPr>
            <w:tcW w:w="13178" w:type="dxa"/>
            <w:gridSpan w:val="2"/>
          </w:tcPr>
          <w:p w:rsidR="001A5D96" w:rsidRPr="00FB409B" w:rsidRDefault="001A5D96" w:rsidP="001A5D96">
            <w:pPr>
              <w:pStyle w:val="a5"/>
              <w:spacing w:before="0" w:beforeAutospacing="0" w:after="0" w:afterAutospacing="0" w:line="260" w:lineRule="exact"/>
              <w:ind w:firstLine="457"/>
              <w:contextualSpacing/>
              <w:jc w:val="center"/>
              <w:rPr>
                <w:b/>
                <w:sz w:val="28"/>
                <w:lang w:val="uk-UA"/>
              </w:rPr>
            </w:pPr>
            <w:r w:rsidRPr="00FB409B">
              <w:rPr>
                <w:b/>
                <w:sz w:val="28"/>
                <w:lang w:val="uk-UA"/>
              </w:rPr>
              <w:t>IX. Податки</w:t>
            </w:r>
          </w:p>
        </w:tc>
        <w:tc>
          <w:tcPr>
            <w:tcW w:w="2410" w:type="dxa"/>
          </w:tcPr>
          <w:p w:rsidR="001A5D96" w:rsidRPr="00FB409B" w:rsidRDefault="001A5D96" w:rsidP="001A5D96">
            <w:pPr>
              <w:ind w:left="240"/>
              <w:rPr>
                <w:rFonts w:ascii="Times New Roman" w:hAnsi="Times New Roman" w:cs="Times New Roman"/>
                <w:b/>
                <w:bCs/>
                <w:iCs/>
                <w:sz w:val="24"/>
                <w:szCs w:val="24"/>
                <w:shd w:val="clear" w:color="auto" w:fill="FFFFFF"/>
              </w:rPr>
            </w:pPr>
          </w:p>
        </w:tc>
      </w:tr>
      <w:tr w:rsidR="00FB409B" w:rsidRPr="00FB409B" w:rsidTr="00FD6D51">
        <w:trPr>
          <w:jc w:val="center"/>
        </w:trPr>
        <w:tc>
          <w:tcPr>
            <w:tcW w:w="13178" w:type="dxa"/>
            <w:gridSpan w:val="2"/>
          </w:tcPr>
          <w:p w:rsidR="001A5D96" w:rsidRPr="00FB409B" w:rsidRDefault="001A5D96" w:rsidP="001A5D96">
            <w:pPr>
              <w:pStyle w:val="a5"/>
              <w:spacing w:before="0" w:beforeAutospacing="0" w:after="0" w:afterAutospacing="0" w:line="260" w:lineRule="exact"/>
              <w:ind w:firstLine="457"/>
              <w:contextualSpacing/>
              <w:jc w:val="center"/>
              <w:rPr>
                <w:b/>
                <w:sz w:val="28"/>
                <w:lang w:val="uk-UA"/>
              </w:rPr>
            </w:pPr>
            <w:r w:rsidRPr="00FB409B">
              <w:rPr>
                <w:b/>
                <w:sz w:val="28"/>
                <w:lang w:val="uk-UA"/>
              </w:rPr>
              <w:t>X. Процедура встановлення та перегляду тарифів на послуги розподілу природного газу</w:t>
            </w:r>
          </w:p>
        </w:tc>
        <w:tc>
          <w:tcPr>
            <w:tcW w:w="2410" w:type="dxa"/>
          </w:tcPr>
          <w:p w:rsidR="001A5D96" w:rsidRPr="00FB409B" w:rsidRDefault="001A5D96" w:rsidP="001A5D96">
            <w:pPr>
              <w:ind w:left="240"/>
              <w:rPr>
                <w:rFonts w:ascii="Times New Roman" w:hAnsi="Times New Roman" w:cs="Times New Roman"/>
                <w:b/>
                <w:bCs/>
                <w:iCs/>
                <w:sz w:val="24"/>
                <w:szCs w:val="24"/>
                <w:shd w:val="clear" w:color="auto" w:fill="FFFFFF"/>
              </w:rPr>
            </w:pPr>
          </w:p>
        </w:tc>
      </w:tr>
      <w:tr w:rsidR="00FB409B" w:rsidRPr="00FB409B" w:rsidTr="00E63AEF">
        <w:trPr>
          <w:jc w:val="center"/>
        </w:trPr>
        <w:tc>
          <w:tcPr>
            <w:tcW w:w="6799" w:type="dxa"/>
          </w:tcPr>
          <w:p w:rsidR="001A5D96" w:rsidRPr="00FB409B" w:rsidRDefault="001A5D96" w:rsidP="001A5D96">
            <w:pPr>
              <w:pStyle w:val="a5"/>
              <w:spacing w:before="0" w:beforeAutospacing="0" w:after="0" w:afterAutospacing="0"/>
              <w:jc w:val="both"/>
              <w:rPr>
                <w:lang w:val="uk-UA"/>
              </w:rPr>
            </w:pPr>
            <w:r w:rsidRPr="00FB409B">
              <w:rPr>
                <w:lang w:val="uk-UA"/>
              </w:rPr>
              <w:t xml:space="preserve">6. Для встановлення тарифу на послуги розподілу природного газу суб'єкт господарювання подає до НКРЕКП не пізніше ніж за 60 календарних днів до початку планованого періоду заяву про встановлення тарифу на послуги розподілу природного газу </w:t>
            </w:r>
            <w:r w:rsidRPr="00FB409B">
              <w:rPr>
                <w:lang w:val="uk-UA"/>
              </w:rPr>
              <w:lastRenderedPageBreak/>
              <w:t>(далі - заява) за формою, наведеною в додатку 1 до цієї Методики, до якої додаються:</w:t>
            </w:r>
          </w:p>
          <w:p w:rsidR="001A5D96" w:rsidRPr="00FB409B" w:rsidRDefault="001A5D96" w:rsidP="001A5D96">
            <w:pPr>
              <w:pStyle w:val="a5"/>
              <w:spacing w:before="0" w:beforeAutospacing="0" w:after="0" w:afterAutospacing="0"/>
              <w:jc w:val="both"/>
              <w:rPr>
                <w:lang w:val="uk-UA"/>
              </w:rPr>
            </w:pPr>
          </w:p>
          <w:p w:rsidR="001A5D96" w:rsidRPr="00FB409B" w:rsidRDefault="001A5D96" w:rsidP="001A5D96">
            <w:pPr>
              <w:pStyle w:val="a5"/>
              <w:spacing w:before="0" w:beforeAutospacing="0" w:after="0" w:afterAutospacing="0"/>
              <w:jc w:val="both"/>
              <w:rPr>
                <w:lang w:val="uk-UA"/>
              </w:rPr>
            </w:pPr>
            <w:r w:rsidRPr="00FB409B">
              <w:rPr>
                <w:lang w:val="uk-UA"/>
              </w:rPr>
              <w:t>….</w:t>
            </w:r>
          </w:p>
          <w:p w:rsidR="001A5D96" w:rsidRPr="00FB409B" w:rsidRDefault="001A5D96" w:rsidP="001A5D96">
            <w:pPr>
              <w:pStyle w:val="a5"/>
              <w:spacing w:before="0" w:beforeAutospacing="0" w:after="0" w:afterAutospacing="0"/>
              <w:jc w:val="both"/>
              <w:rPr>
                <w:lang w:val="uk-UA"/>
              </w:rPr>
            </w:pPr>
          </w:p>
          <w:p w:rsidR="001A5D96" w:rsidRPr="00FB409B" w:rsidRDefault="001A5D96" w:rsidP="001A5D96">
            <w:pPr>
              <w:pStyle w:val="3"/>
              <w:jc w:val="both"/>
              <w:outlineLvl w:val="2"/>
              <w:rPr>
                <w:sz w:val="24"/>
                <w:szCs w:val="24"/>
                <w:lang w:val="uk-UA"/>
              </w:rPr>
            </w:pPr>
            <w:r w:rsidRPr="00FB409B">
              <w:rPr>
                <w:b w:val="0"/>
                <w:strike/>
                <w:sz w:val="24"/>
                <w:szCs w:val="24"/>
                <w:lang w:val="uk-UA"/>
              </w:rPr>
              <w:t>10) розрахунок прибутку з урахуванням суми прибутку на виробничі інвестиції на планований період та динаміка відповідних показників за попередній, базовий та на планований періоди з відповідними обґрунтуваннями</w:t>
            </w:r>
            <w:r w:rsidRPr="00FB409B">
              <w:rPr>
                <w:strike/>
                <w:sz w:val="24"/>
                <w:szCs w:val="24"/>
                <w:lang w:val="uk-UA"/>
              </w:rPr>
              <w:t>;</w:t>
            </w:r>
          </w:p>
        </w:tc>
        <w:tc>
          <w:tcPr>
            <w:tcW w:w="6379" w:type="dxa"/>
          </w:tcPr>
          <w:p w:rsidR="001A5D96" w:rsidRPr="00FB409B" w:rsidRDefault="00E93C14" w:rsidP="001A5D96">
            <w:pPr>
              <w:pStyle w:val="a5"/>
              <w:spacing w:before="0" w:beforeAutospacing="0" w:after="0" w:afterAutospacing="0" w:line="260" w:lineRule="exact"/>
              <w:ind w:firstLine="457"/>
              <w:contextualSpacing/>
              <w:jc w:val="both"/>
              <w:rPr>
                <w:b/>
                <w:i/>
                <w:shd w:val="clear" w:color="auto" w:fill="FFFFFF"/>
                <w:lang w:val="uk-UA"/>
              </w:rPr>
            </w:pPr>
            <w:r w:rsidRPr="00FB409B">
              <w:rPr>
                <w:b/>
                <w:i/>
                <w:lang w:val="uk-UA"/>
              </w:rPr>
              <w:lastRenderedPageBreak/>
              <w:t>Зауваження не надходили</w:t>
            </w:r>
          </w:p>
        </w:tc>
        <w:tc>
          <w:tcPr>
            <w:tcW w:w="2410" w:type="dxa"/>
          </w:tcPr>
          <w:p w:rsidR="001A5D96" w:rsidRPr="00FB409B" w:rsidRDefault="001A5D96" w:rsidP="001A5D96">
            <w:pPr>
              <w:ind w:left="240"/>
              <w:rPr>
                <w:rFonts w:ascii="Times New Roman" w:hAnsi="Times New Roman" w:cs="Times New Roman"/>
                <w:b/>
                <w:bCs/>
                <w:iCs/>
                <w:sz w:val="24"/>
                <w:szCs w:val="24"/>
                <w:shd w:val="clear" w:color="auto" w:fill="FFFFFF"/>
              </w:rPr>
            </w:pPr>
          </w:p>
        </w:tc>
      </w:tr>
      <w:tr w:rsidR="00FB409B" w:rsidRPr="00FB409B" w:rsidTr="00BE0563">
        <w:trPr>
          <w:jc w:val="center"/>
        </w:trPr>
        <w:tc>
          <w:tcPr>
            <w:tcW w:w="13178" w:type="dxa"/>
            <w:gridSpan w:val="2"/>
          </w:tcPr>
          <w:p w:rsidR="001A5D96" w:rsidRPr="00FB409B" w:rsidRDefault="001A5D96" w:rsidP="001A5D96">
            <w:pPr>
              <w:pStyle w:val="a5"/>
              <w:spacing w:before="0" w:beforeAutospacing="0" w:after="0" w:afterAutospacing="0" w:line="260" w:lineRule="exact"/>
              <w:ind w:firstLine="457"/>
              <w:contextualSpacing/>
              <w:jc w:val="center"/>
              <w:rPr>
                <w:b/>
                <w:i/>
                <w:shd w:val="clear" w:color="auto" w:fill="FFFFFF"/>
                <w:lang w:val="uk-UA"/>
              </w:rPr>
            </w:pPr>
            <w:r w:rsidRPr="00FB409B">
              <w:rPr>
                <w:b/>
                <w:sz w:val="28"/>
                <w:lang w:val="uk-UA"/>
              </w:rPr>
              <w:t xml:space="preserve">Примірний перелік питань, </w:t>
            </w:r>
            <w:r w:rsidRPr="00FB409B">
              <w:rPr>
                <w:b/>
                <w:sz w:val="28"/>
                <w:lang w:val="uk-UA"/>
              </w:rPr>
              <w:br/>
              <w:t>які висвітлюються в пояснювальній записці до розрахунку тарифу на послуги розподілу природного газу</w:t>
            </w:r>
          </w:p>
        </w:tc>
        <w:tc>
          <w:tcPr>
            <w:tcW w:w="2410" w:type="dxa"/>
          </w:tcPr>
          <w:p w:rsidR="001A5D96" w:rsidRPr="00FB409B" w:rsidRDefault="001A5D96" w:rsidP="001A5D96">
            <w:pPr>
              <w:ind w:left="240"/>
              <w:rPr>
                <w:rFonts w:ascii="Times New Roman" w:hAnsi="Times New Roman" w:cs="Times New Roman"/>
                <w:b/>
                <w:bCs/>
                <w:iCs/>
                <w:sz w:val="24"/>
                <w:szCs w:val="24"/>
                <w:shd w:val="clear" w:color="auto" w:fill="FFFFFF"/>
              </w:rPr>
            </w:pPr>
          </w:p>
        </w:tc>
      </w:tr>
      <w:tr w:rsidR="00FB409B" w:rsidRPr="00FB409B" w:rsidTr="00E63AEF">
        <w:trPr>
          <w:jc w:val="center"/>
        </w:trPr>
        <w:tc>
          <w:tcPr>
            <w:tcW w:w="6799" w:type="dxa"/>
          </w:tcPr>
          <w:p w:rsidR="001A5D96" w:rsidRPr="00FB409B" w:rsidRDefault="001A5D96" w:rsidP="001A5D96">
            <w:pPr>
              <w:pStyle w:val="a5"/>
              <w:jc w:val="both"/>
              <w:rPr>
                <w:lang w:val="uk-UA"/>
              </w:rPr>
            </w:pPr>
            <w:r w:rsidRPr="00FB409B">
              <w:rPr>
                <w:lang w:val="uk-UA"/>
              </w:rPr>
              <w:t>….</w:t>
            </w:r>
          </w:p>
          <w:p w:rsidR="001A5D96" w:rsidRPr="00FB409B" w:rsidRDefault="001A5D96" w:rsidP="001A5D96">
            <w:pPr>
              <w:pStyle w:val="a5"/>
              <w:jc w:val="both"/>
              <w:rPr>
                <w:lang w:val="uk-UA"/>
              </w:rPr>
            </w:pPr>
            <w:r w:rsidRPr="00FB409B">
              <w:rPr>
                <w:lang w:val="uk-UA"/>
              </w:rPr>
              <w:t>4. Обґрунтування за всіма елементами витрат. Описати принципи обліку прямих і непрямих витрат, пов'язаних з ліцензованим та іншим, крім ліцензованого, видами діяльності, вказати документ, відповідно до якого розподіляються витрати (реквізити наказу, яким визначена облікова політика суб'єкта господарювання).</w:t>
            </w:r>
          </w:p>
          <w:p w:rsidR="001A5D96" w:rsidRPr="00FB409B" w:rsidRDefault="001A5D96" w:rsidP="001A5D96">
            <w:pPr>
              <w:pStyle w:val="a5"/>
              <w:jc w:val="both"/>
              <w:rPr>
                <w:lang w:val="uk-UA"/>
              </w:rPr>
            </w:pPr>
            <w:r w:rsidRPr="00FB409B">
              <w:rPr>
                <w:lang w:val="uk-UA"/>
              </w:rPr>
              <w:t>…..</w:t>
            </w:r>
          </w:p>
          <w:p w:rsidR="001A5D96" w:rsidRPr="00FB409B" w:rsidRDefault="001A5D96" w:rsidP="001A5D96">
            <w:pPr>
              <w:pStyle w:val="a5"/>
              <w:jc w:val="both"/>
              <w:rPr>
                <w:lang w:val="uk-UA"/>
              </w:rPr>
            </w:pPr>
            <w:r w:rsidRPr="00FB409B">
              <w:rPr>
                <w:lang w:val="uk-UA"/>
              </w:rPr>
              <w:t xml:space="preserve">7. Планований прибуток. Обґрунтувати рівень планованого прибутку. </w:t>
            </w:r>
            <w:r w:rsidRPr="00FB409B">
              <w:rPr>
                <w:strike/>
                <w:lang w:val="uk-UA"/>
              </w:rPr>
              <w:t>із визначенням напрямів його використання</w:t>
            </w:r>
            <w:r w:rsidRPr="00FB409B">
              <w:rPr>
                <w:lang w:val="uk-UA"/>
              </w:rPr>
              <w:t>.</w:t>
            </w:r>
          </w:p>
          <w:p w:rsidR="001A5D96" w:rsidRPr="00FB409B" w:rsidRDefault="001A5D96" w:rsidP="001A5D96">
            <w:pPr>
              <w:pStyle w:val="a5"/>
              <w:jc w:val="both"/>
              <w:rPr>
                <w:strike/>
                <w:lang w:val="uk-UA"/>
              </w:rPr>
            </w:pPr>
            <w:r w:rsidRPr="00FB409B">
              <w:rPr>
                <w:strike/>
                <w:lang w:val="uk-UA"/>
              </w:rPr>
              <w:t>1) сума коштів на виконання затвердженої інвестиційної програми;</w:t>
            </w:r>
          </w:p>
          <w:p w:rsidR="001A5D96" w:rsidRPr="00FB409B" w:rsidRDefault="001A5D96" w:rsidP="001A5D96">
            <w:pPr>
              <w:pStyle w:val="a5"/>
              <w:jc w:val="both"/>
              <w:rPr>
                <w:strike/>
                <w:lang w:val="uk-UA"/>
              </w:rPr>
            </w:pPr>
            <w:r w:rsidRPr="00FB409B">
              <w:rPr>
                <w:strike/>
                <w:lang w:val="uk-UA"/>
              </w:rPr>
              <w:t>2) сума коштів на погашення основної суми кредитів та інших запозичень, що залучені для виконання інвестиційної програми;</w:t>
            </w:r>
          </w:p>
          <w:p w:rsidR="001A5D96" w:rsidRPr="00FB409B" w:rsidRDefault="001A5D96" w:rsidP="001A5D96">
            <w:pPr>
              <w:pStyle w:val="a5"/>
              <w:jc w:val="both"/>
              <w:rPr>
                <w:strike/>
                <w:lang w:val="uk-UA"/>
              </w:rPr>
            </w:pPr>
            <w:r w:rsidRPr="00FB409B">
              <w:rPr>
                <w:strike/>
                <w:lang w:val="uk-UA"/>
              </w:rPr>
              <w:t>1) сума коштів для спрямування частини чистого прибутку на виплату дивідендів відповідно до Закону України "Про управління об'єктами державної власності";</w:t>
            </w:r>
          </w:p>
          <w:p w:rsidR="001A5D96" w:rsidRPr="00FB409B" w:rsidRDefault="001A5D96" w:rsidP="001A5D96">
            <w:pPr>
              <w:pStyle w:val="a5"/>
              <w:jc w:val="both"/>
              <w:rPr>
                <w:strike/>
                <w:lang w:val="uk-UA"/>
              </w:rPr>
            </w:pPr>
            <w:r w:rsidRPr="00FB409B">
              <w:rPr>
                <w:strike/>
                <w:lang w:val="uk-UA"/>
              </w:rPr>
              <w:lastRenderedPageBreak/>
              <w:t>2) сума податку на прибуток, розрахованого відповідно до Податкового кодексу України;</w:t>
            </w:r>
          </w:p>
          <w:p w:rsidR="001A5D96" w:rsidRPr="00FB409B" w:rsidRDefault="001A5D96" w:rsidP="001A5D96">
            <w:pPr>
              <w:pStyle w:val="a5"/>
              <w:jc w:val="both"/>
              <w:rPr>
                <w:strike/>
                <w:lang w:val="uk-UA"/>
              </w:rPr>
            </w:pPr>
            <w:r w:rsidRPr="00FB409B">
              <w:rPr>
                <w:strike/>
                <w:lang w:val="uk-UA"/>
              </w:rPr>
              <w:t>5) сума коштів на погашення основної суми кредитів та/або запозичень, які залучені для виконання інвестиційної програми та які погоджені НКРЕКП, та/або суми інвестицій за рахунок власного капіталу в необоротні матеріальні та нематеріальні активи.</w:t>
            </w:r>
          </w:p>
          <w:p w:rsidR="001A5D96" w:rsidRPr="00FB409B" w:rsidRDefault="001A5D96" w:rsidP="001A5D96">
            <w:pPr>
              <w:pStyle w:val="a5"/>
              <w:jc w:val="both"/>
              <w:rPr>
                <w:b/>
                <w:lang w:val="uk-UA"/>
              </w:rPr>
            </w:pPr>
            <w:r w:rsidRPr="00FB409B">
              <w:rPr>
                <w:b/>
                <w:lang w:val="uk-UA"/>
              </w:rPr>
              <w:t>8. Капітальні інвестиції. Обґрунтувати рівень капітальних інвестиції із визначенням напрямів їх використання:</w:t>
            </w:r>
          </w:p>
          <w:p w:rsidR="001A5D96" w:rsidRPr="00FB409B" w:rsidRDefault="001A5D96" w:rsidP="001A5D96">
            <w:pPr>
              <w:pStyle w:val="a5"/>
              <w:jc w:val="both"/>
              <w:rPr>
                <w:b/>
                <w:lang w:val="uk-UA"/>
              </w:rPr>
            </w:pPr>
            <w:r w:rsidRPr="00FB409B">
              <w:rPr>
                <w:b/>
                <w:lang w:val="uk-UA"/>
              </w:rPr>
              <w:t>1) сума коштів на виконання інвестиційної програми;</w:t>
            </w:r>
          </w:p>
          <w:p w:rsidR="001A5D96" w:rsidRPr="00FB409B" w:rsidRDefault="001A5D96" w:rsidP="001A5D96">
            <w:pPr>
              <w:pStyle w:val="a5"/>
              <w:jc w:val="both"/>
              <w:rPr>
                <w:b/>
                <w:noProof/>
                <w:lang w:val="uk-UA"/>
              </w:rPr>
            </w:pPr>
            <w:r w:rsidRPr="00FB409B">
              <w:rPr>
                <w:b/>
                <w:lang w:val="uk-UA"/>
              </w:rPr>
              <w:t>2) сума коштів на погашення основної суми кредитів та/або запозичень, які залучені для виконання інвестиційної програми та які погоджені НКРЕКП.</w:t>
            </w:r>
          </w:p>
        </w:tc>
        <w:tc>
          <w:tcPr>
            <w:tcW w:w="6379" w:type="dxa"/>
          </w:tcPr>
          <w:p w:rsidR="001A5D96" w:rsidRPr="00FB409B" w:rsidRDefault="00E93C14" w:rsidP="001A5D96">
            <w:pPr>
              <w:pStyle w:val="a5"/>
              <w:spacing w:before="0" w:beforeAutospacing="0" w:after="0" w:afterAutospacing="0" w:line="260" w:lineRule="exact"/>
              <w:ind w:firstLine="457"/>
              <w:contextualSpacing/>
              <w:jc w:val="both"/>
              <w:rPr>
                <w:b/>
                <w:i/>
                <w:shd w:val="clear" w:color="auto" w:fill="FFFFFF"/>
                <w:lang w:val="uk-UA"/>
              </w:rPr>
            </w:pPr>
            <w:r w:rsidRPr="00FB409B">
              <w:rPr>
                <w:b/>
                <w:i/>
                <w:lang w:val="uk-UA"/>
              </w:rPr>
              <w:lastRenderedPageBreak/>
              <w:t>Зауваження не надходили</w:t>
            </w:r>
          </w:p>
        </w:tc>
        <w:tc>
          <w:tcPr>
            <w:tcW w:w="2410" w:type="dxa"/>
          </w:tcPr>
          <w:p w:rsidR="001A5D96" w:rsidRPr="00FB409B" w:rsidRDefault="001A5D96" w:rsidP="001A5D96">
            <w:pPr>
              <w:ind w:left="240"/>
              <w:rPr>
                <w:rFonts w:ascii="Times New Roman" w:hAnsi="Times New Roman" w:cs="Times New Roman"/>
                <w:b/>
                <w:bCs/>
                <w:iCs/>
                <w:sz w:val="24"/>
                <w:szCs w:val="24"/>
                <w:shd w:val="clear" w:color="auto" w:fill="FFFFFF"/>
              </w:rPr>
            </w:pPr>
          </w:p>
        </w:tc>
      </w:tr>
      <w:tr w:rsidR="00FB409B" w:rsidRPr="00FB409B" w:rsidTr="00E63AEF">
        <w:trPr>
          <w:jc w:val="center"/>
        </w:trPr>
        <w:tc>
          <w:tcPr>
            <w:tcW w:w="6799" w:type="dxa"/>
          </w:tcPr>
          <w:p w:rsidR="001A5D96" w:rsidRPr="00FB409B" w:rsidRDefault="001A5D96" w:rsidP="001A5D96">
            <w:pPr>
              <w:pStyle w:val="a5"/>
              <w:jc w:val="both"/>
              <w:rPr>
                <w:lang w:val="uk-UA"/>
              </w:rPr>
            </w:pPr>
            <w:r w:rsidRPr="00FB409B">
              <w:rPr>
                <w:noProof/>
                <w:lang w:val="uk-UA"/>
              </w:rPr>
              <w:lastRenderedPageBreak/>
              <w:drawing>
                <wp:inline distT="0" distB="0" distL="0" distR="0">
                  <wp:extent cx="4072269" cy="4253230"/>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77056" cy="4258230"/>
                          </a:xfrm>
                          <a:prstGeom prst="rect">
                            <a:avLst/>
                          </a:prstGeom>
                          <a:noFill/>
                          <a:ln>
                            <a:noFill/>
                          </a:ln>
                        </pic:spPr>
                      </pic:pic>
                    </a:graphicData>
                  </a:graphic>
                </wp:inline>
              </w:drawing>
            </w:r>
          </w:p>
        </w:tc>
        <w:tc>
          <w:tcPr>
            <w:tcW w:w="6379" w:type="dxa"/>
          </w:tcPr>
          <w:p w:rsidR="001A5D96" w:rsidRPr="00FB409B" w:rsidRDefault="00E93C14" w:rsidP="001A5D96">
            <w:pPr>
              <w:pStyle w:val="a5"/>
              <w:spacing w:before="0" w:beforeAutospacing="0" w:after="0" w:afterAutospacing="0" w:line="260" w:lineRule="exact"/>
              <w:ind w:firstLine="457"/>
              <w:contextualSpacing/>
              <w:jc w:val="both"/>
              <w:rPr>
                <w:b/>
                <w:i/>
                <w:shd w:val="clear" w:color="auto" w:fill="FFFFFF"/>
                <w:lang w:val="uk-UA"/>
              </w:rPr>
            </w:pPr>
            <w:r w:rsidRPr="00FB409B">
              <w:rPr>
                <w:b/>
                <w:i/>
                <w:lang w:val="uk-UA"/>
              </w:rPr>
              <w:t>Зауваження не надходили</w:t>
            </w:r>
          </w:p>
        </w:tc>
        <w:tc>
          <w:tcPr>
            <w:tcW w:w="2410" w:type="dxa"/>
          </w:tcPr>
          <w:p w:rsidR="001A5D96" w:rsidRPr="00FB409B" w:rsidRDefault="001A5D96" w:rsidP="001A5D96">
            <w:pPr>
              <w:ind w:left="240"/>
              <w:rPr>
                <w:rFonts w:ascii="Times New Roman" w:hAnsi="Times New Roman" w:cs="Times New Roman"/>
                <w:b/>
                <w:bCs/>
                <w:iCs/>
                <w:sz w:val="24"/>
                <w:szCs w:val="24"/>
                <w:shd w:val="clear" w:color="auto" w:fill="FFFFFF"/>
              </w:rPr>
            </w:pPr>
          </w:p>
        </w:tc>
      </w:tr>
      <w:tr w:rsidR="00FB409B" w:rsidRPr="00FB409B" w:rsidTr="00E63AEF">
        <w:trPr>
          <w:jc w:val="center"/>
        </w:trPr>
        <w:tc>
          <w:tcPr>
            <w:tcW w:w="6799" w:type="dxa"/>
          </w:tcPr>
          <w:p w:rsidR="001A5D96" w:rsidRPr="00FB409B" w:rsidRDefault="001A5D96" w:rsidP="001A5D96">
            <w:pPr>
              <w:pStyle w:val="a5"/>
              <w:jc w:val="both"/>
              <w:rPr>
                <w:noProof/>
                <w:lang w:val="uk-UA"/>
              </w:rPr>
            </w:pPr>
            <w:r w:rsidRPr="00FB409B">
              <w:rPr>
                <w:b/>
                <w:noProof/>
                <w:lang w:val="uk-UA"/>
              </w:rPr>
              <w:lastRenderedPageBreak/>
              <w:drawing>
                <wp:inline distT="0" distB="0" distL="0" distR="0">
                  <wp:extent cx="4146697" cy="619887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52465" cy="6207493"/>
                          </a:xfrm>
                          <a:prstGeom prst="rect">
                            <a:avLst/>
                          </a:prstGeom>
                          <a:noFill/>
                          <a:ln>
                            <a:noFill/>
                          </a:ln>
                        </pic:spPr>
                      </pic:pic>
                    </a:graphicData>
                  </a:graphic>
                </wp:inline>
              </w:drawing>
            </w:r>
          </w:p>
        </w:tc>
        <w:tc>
          <w:tcPr>
            <w:tcW w:w="6379" w:type="dxa"/>
          </w:tcPr>
          <w:p w:rsidR="001A5D96" w:rsidRPr="00FB409B" w:rsidRDefault="00E93C14" w:rsidP="001A5D96">
            <w:pPr>
              <w:pStyle w:val="a5"/>
              <w:spacing w:before="0" w:beforeAutospacing="0" w:after="0" w:afterAutospacing="0" w:line="260" w:lineRule="exact"/>
              <w:ind w:firstLine="457"/>
              <w:contextualSpacing/>
              <w:jc w:val="both"/>
              <w:rPr>
                <w:b/>
                <w:i/>
                <w:shd w:val="clear" w:color="auto" w:fill="FFFFFF"/>
                <w:lang w:val="uk-UA"/>
              </w:rPr>
            </w:pPr>
            <w:r w:rsidRPr="00FB409B">
              <w:rPr>
                <w:b/>
                <w:i/>
                <w:lang w:val="uk-UA"/>
              </w:rPr>
              <w:t>Зауваження не надходили</w:t>
            </w:r>
          </w:p>
        </w:tc>
        <w:tc>
          <w:tcPr>
            <w:tcW w:w="2410" w:type="dxa"/>
          </w:tcPr>
          <w:p w:rsidR="001A5D96" w:rsidRPr="00FB409B" w:rsidRDefault="001A5D96" w:rsidP="001A5D96">
            <w:pPr>
              <w:ind w:left="240"/>
              <w:rPr>
                <w:rFonts w:ascii="Times New Roman" w:hAnsi="Times New Roman" w:cs="Times New Roman"/>
                <w:b/>
                <w:bCs/>
                <w:iCs/>
                <w:sz w:val="24"/>
                <w:szCs w:val="24"/>
                <w:shd w:val="clear" w:color="auto" w:fill="FFFFFF"/>
              </w:rPr>
            </w:pPr>
          </w:p>
        </w:tc>
      </w:tr>
      <w:tr w:rsidR="001A5D96" w:rsidRPr="00FB409B" w:rsidTr="00BF0406">
        <w:trPr>
          <w:trHeight w:val="9764"/>
          <w:jc w:val="center"/>
        </w:trPr>
        <w:tc>
          <w:tcPr>
            <w:tcW w:w="6799" w:type="dxa"/>
          </w:tcPr>
          <w:p w:rsidR="001A5D96" w:rsidRPr="00FB409B" w:rsidRDefault="001A5D96" w:rsidP="001A5D96">
            <w:pPr>
              <w:pStyle w:val="a5"/>
              <w:jc w:val="both"/>
              <w:rPr>
                <w:b/>
                <w:noProof/>
                <w:lang w:val="uk-UA"/>
              </w:rPr>
            </w:pPr>
            <w:r w:rsidRPr="00FB409B">
              <w:rPr>
                <w:noProof/>
                <w:lang w:val="uk-UA"/>
              </w:rPr>
              <w:lastRenderedPageBreak/>
              <w:drawing>
                <wp:inline distT="0" distB="0" distL="0" distR="0">
                  <wp:extent cx="4189095" cy="6362700"/>
                  <wp:effectExtent l="0" t="0" r="190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95930" cy="6373082"/>
                          </a:xfrm>
                          <a:prstGeom prst="rect">
                            <a:avLst/>
                          </a:prstGeom>
                          <a:noFill/>
                          <a:ln>
                            <a:noFill/>
                          </a:ln>
                        </pic:spPr>
                      </pic:pic>
                    </a:graphicData>
                  </a:graphic>
                </wp:inline>
              </w:drawing>
            </w:r>
          </w:p>
        </w:tc>
        <w:tc>
          <w:tcPr>
            <w:tcW w:w="6379" w:type="dxa"/>
          </w:tcPr>
          <w:p w:rsidR="001A5D96" w:rsidRPr="00FB409B" w:rsidRDefault="00E93C14" w:rsidP="001A5D96">
            <w:pPr>
              <w:pStyle w:val="a5"/>
              <w:spacing w:before="0" w:beforeAutospacing="0" w:after="0" w:afterAutospacing="0" w:line="260" w:lineRule="exact"/>
              <w:ind w:firstLine="457"/>
              <w:contextualSpacing/>
              <w:jc w:val="both"/>
              <w:rPr>
                <w:b/>
                <w:i/>
                <w:shd w:val="clear" w:color="auto" w:fill="FFFFFF"/>
                <w:lang w:val="uk-UA"/>
              </w:rPr>
            </w:pPr>
            <w:r w:rsidRPr="00FB409B">
              <w:rPr>
                <w:b/>
                <w:i/>
                <w:lang w:val="uk-UA"/>
              </w:rPr>
              <w:t>Зауваження не надходили</w:t>
            </w:r>
          </w:p>
        </w:tc>
        <w:tc>
          <w:tcPr>
            <w:tcW w:w="2410" w:type="dxa"/>
          </w:tcPr>
          <w:p w:rsidR="001A5D96" w:rsidRPr="00FB409B" w:rsidRDefault="001A5D96" w:rsidP="001A5D96">
            <w:pPr>
              <w:ind w:left="240"/>
              <w:rPr>
                <w:rFonts w:ascii="Times New Roman" w:hAnsi="Times New Roman" w:cs="Times New Roman"/>
                <w:b/>
                <w:bCs/>
                <w:iCs/>
                <w:sz w:val="24"/>
                <w:szCs w:val="24"/>
                <w:shd w:val="clear" w:color="auto" w:fill="FFFFFF"/>
              </w:rPr>
            </w:pPr>
          </w:p>
        </w:tc>
      </w:tr>
    </w:tbl>
    <w:p w:rsidR="00752E13" w:rsidRPr="00FB409B" w:rsidRDefault="00752E13" w:rsidP="00752E13">
      <w:pPr>
        <w:shd w:val="clear" w:color="auto" w:fill="FFFFFF"/>
        <w:spacing w:after="0" w:line="240" w:lineRule="auto"/>
        <w:jc w:val="right"/>
        <w:rPr>
          <w:rFonts w:ascii="Times New Roman" w:eastAsia="Times New Roman" w:hAnsi="Times New Roman" w:cs="Times New Roman"/>
          <w:sz w:val="24"/>
          <w:szCs w:val="24"/>
          <w:lang w:eastAsia="ru-RU"/>
        </w:rPr>
      </w:pPr>
    </w:p>
    <w:sectPr w:rsidR="00752E13" w:rsidRPr="00FB409B" w:rsidSect="006B2AB6">
      <w:pgSz w:w="16838" w:h="11906" w:orient="landscape"/>
      <w:pgMar w:top="567" w:right="1134" w:bottom="567" w:left="1134" w:header="709"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664F" w:rsidRDefault="0045664F">
      <w:pPr>
        <w:spacing w:after="0" w:line="240" w:lineRule="auto"/>
      </w:pPr>
      <w:r>
        <w:separator/>
      </w:r>
    </w:p>
  </w:endnote>
  <w:endnote w:type="continuationSeparator" w:id="0">
    <w:p w:rsidR="0045664F" w:rsidRDefault="00456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8675156"/>
      <w:docPartObj>
        <w:docPartGallery w:val="Page Numbers (Bottom of Page)"/>
        <w:docPartUnique/>
      </w:docPartObj>
    </w:sdtPr>
    <w:sdtEndPr/>
    <w:sdtContent>
      <w:p w:rsidR="00FD5DB4" w:rsidRDefault="00EE6667">
        <w:pPr>
          <w:pStyle w:val="a7"/>
          <w:jc w:val="right"/>
        </w:pPr>
        <w:r>
          <w:fldChar w:fldCharType="begin"/>
        </w:r>
        <w:r w:rsidR="00ED2B39">
          <w:instrText>PAGE   \* MERGEFORMAT</w:instrText>
        </w:r>
        <w:r>
          <w:fldChar w:fldCharType="separate"/>
        </w:r>
        <w:r w:rsidR="00443B7F" w:rsidRPr="00443B7F">
          <w:rPr>
            <w:noProof/>
            <w:lang w:val="ru-RU"/>
          </w:rPr>
          <w:t>2</w:t>
        </w:r>
        <w:r>
          <w:rPr>
            <w:noProof/>
            <w:lang w:val="ru-RU"/>
          </w:rPr>
          <w:fldChar w:fldCharType="end"/>
        </w:r>
      </w:p>
    </w:sdtContent>
  </w:sdt>
  <w:p w:rsidR="00FD5DB4" w:rsidRDefault="00FD5DB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664F" w:rsidRDefault="0045664F">
      <w:pPr>
        <w:spacing w:after="0" w:line="240" w:lineRule="auto"/>
      </w:pPr>
      <w:r>
        <w:separator/>
      </w:r>
    </w:p>
  </w:footnote>
  <w:footnote w:type="continuationSeparator" w:id="0">
    <w:p w:rsidR="0045664F" w:rsidRDefault="004566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F1E24"/>
    <w:multiLevelType w:val="hybridMultilevel"/>
    <w:tmpl w:val="E00CECDA"/>
    <w:lvl w:ilvl="0" w:tplc="D8220D1A">
      <w:start w:val="7"/>
      <w:numFmt w:val="bullet"/>
      <w:lvlText w:val="-"/>
      <w:lvlJc w:val="left"/>
      <w:pPr>
        <w:ind w:left="502" w:hanging="360"/>
      </w:pPr>
      <w:rPr>
        <w:rFonts w:ascii="Times New Roman" w:eastAsiaTheme="minorHAnsi"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 w15:restartNumberingAfterBreak="0">
    <w:nsid w:val="0C6104B8"/>
    <w:multiLevelType w:val="multilevel"/>
    <w:tmpl w:val="6BB67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4C1381"/>
    <w:multiLevelType w:val="hybridMultilevel"/>
    <w:tmpl w:val="A20E78B6"/>
    <w:lvl w:ilvl="0" w:tplc="A9383B62">
      <w:start w:val="2"/>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181475F1"/>
    <w:multiLevelType w:val="hybridMultilevel"/>
    <w:tmpl w:val="34E6B8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9906520"/>
    <w:multiLevelType w:val="hybridMultilevel"/>
    <w:tmpl w:val="CE9CD3D8"/>
    <w:lvl w:ilvl="0" w:tplc="F1B2F61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228E66A7"/>
    <w:multiLevelType w:val="hybridMultilevel"/>
    <w:tmpl w:val="0B087DB0"/>
    <w:lvl w:ilvl="0" w:tplc="F64E8E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24FA32B0"/>
    <w:multiLevelType w:val="hybridMultilevel"/>
    <w:tmpl w:val="94D2A6D4"/>
    <w:lvl w:ilvl="0" w:tplc="8F84610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255F6441"/>
    <w:multiLevelType w:val="hybridMultilevel"/>
    <w:tmpl w:val="4C3A9D2E"/>
    <w:lvl w:ilvl="0" w:tplc="594C5412">
      <w:start w:val="1"/>
      <w:numFmt w:val="decimal"/>
      <w:lvlText w:val="%1."/>
      <w:lvlJc w:val="left"/>
      <w:pPr>
        <w:ind w:left="1069" w:hanging="360"/>
      </w:pPr>
      <w:rPr>
        <w:rFonts w:hint="default"/>
        <w:b/>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61E2A9D"/>
    <w:multiLevelType w:val="hybridMultilevel"/>
    <w:tmpl w:val="7D3AAC56"/>
    <w:lvl w:ilvl="0" w:tplc="83FE303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4A6E28E5"/>
    <w:multiLevelType w:val="hybridMultilevel"/>
    <w:tmpl w:val="CCF0C0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FF47D43"/>
    <w:multiLevelType w:val="hybridMultilevel"/>
    <w:tmpl w:val="46DCDB5A"/>
    <w:lvl w:ilvl="0" w:tplc="1B307C4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5BEB7DD1"/>
    <w:multiLevelType w:val="hybridMultilevel"/>
    <w:tmpl w:val="AAEA68B2"/>
    <w:lvl w:ilvl="0" w:tplc="B9962840">
      <w:start w:val="1"/>
      <w:numFmt w:val="decimal"/>
      <w:lvlText w:val="%1."/>
      <w:lvlJc w:val="left"/>
      <w:pPr>
        <w:ind w:left="1069" w:hanging="360"/>
      </w:pPr>
      <w:rPr>
        <w:rFonts w:eastAsia="Calibri" w:hint="default"/>
        <w:b/>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C5E4067"/>
    <w:multiLevelType w:val="hybridMultilevel"/>
    <w:tmpl w:val="FF40CBF2"/>
    <w:lvl w:ilvl="0" w:tplc="F6F004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FFB69BD"/>
    <w:multiLevelType w:val="hybridMultilevel"/>
    <w:tmpl w:val="526EB8C8"/>
    <w:lvl w:ilvl="0" w:tplc="A9CCA988">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4" w15:restartNumberingAfterBreak="0">
    <w:nsid w:val="6E4805EA"/>
    <w:multiLevelType w:val="hybridMultilevel"/>
    <w:tmpl w:val="17B61432"/>
    <w:lvl w:ilvl="0" w:tplc="A87C43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701808C8"/>
    <w:multiLevelType w:val="hybridMultilevel"/>
    <w:tmpl w:val="973C5D3A"/>
    <w:lvl w:ilvl="0" w:tplc="B5B0ACB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0A64F2D"/>
    <w:multiLevelType w:val="hybridMultilevel"/>
    <w:tmpl w:val="CF42CA7E"/>
    <w:lvl w:ilvl="0" w:tplc="11A6764C">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7" w15:restartNumberingAfterBreak="0">
    <w:nsid w:val="72D76AB3"/>
    <w:multiLevelType w:val="hybridMultilevel"/>
    <w:tmpl w:val="21C257D6"/>
    <w:lvl w:ilvl="0" w:tplc="54E8D454">
      <w:start w:val="1"/>
      <w:numFmt w:val="decimal"/>
      <w:lvlText w:val="%1."/>
      <w:lvlJc w:val="left"/>
      <w:pPr>
        <w:ind w:left="1069" w:hanging="360"/>
      </w:pPr>
      <w:rPr>
        <w:rFonts w:eastAsiaTheme="minorHAnsi" w:hint="default"/>
        <w:b w:val="0"/>
        <w:color w:val="auto"/>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6"/>
  </w:num>
  <w:num w:numId="4">
    <w:abstractNumId w:val="5"/>
  </w:num>
  <w:num w:numId="5">
    <w:abstractNumId w:val="12"/>
  </w:num>
  <w:num w:numId="6">
    <w:abstractNumId w:val="7"/>
  </w:num>
  <w:num w:numId="7">
    <w:abstractNumId w:val="8"/>
  </w:num>
  <w:num w:numId="8">
    <w:abstractNumId w:val="17"/>
  </w:num>
  <w:num w:numId="9">
    <w:abstractNumId w:val="15"/>
  </w:num>
  <w:num w:numId="10">
    <w:abstractNumId w:val="10"/>
  </w:num>
  <w:num w:numId="11">
    <w:abstractNumId w:val="11"/>
  </w:num>
  <w:num w:numId="12">
    <w:abstractNumId w:val="13"/>
  </w:num>
  <w:num w:numId="13">
    <w:abstractNumId w:val="4"/>
  </w:num>
  <w:num w:numId="14">
    <w:abstractNumId w:val="14"/>
  </w:num>
  <w:num w:numId="15">
    <w:abstractNumId w:val="1"/>
  </w:num>
  <w:num w:numId="16">
    <w:abstractNumId w:val="16"/>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13A"/>
    <w:rsid w:val="000017B5"/>
    <w:rsid w:val="000120E9"/>
    <w:rsid w:val="0001285D"/>
    <w:rsid w:val="00014827"/>
    <w:rsid w:val="00023236"/>
    <w:rsid w:val="00035E9B"/>
    <w:rsid w:val="0004265A"/>
    <w:rsid w:val="00045164"/>
    <w:rsid w:val="00056799"/>
    <w:rsid w:val="00066E6C"/>
    <w:rsid w:val="00072690"/>
    <w:rsid w:val="000759A3"/>
    <w:rsid w:val="00083B69"/>
    <w:rsid w:val="000956BB"/>
    <w:rsid w:val="00095E44"/>
    <w:rsid w:val="000B4186"/>
    <w:rsid w:val="000C3D02"/>
    <w:rsid w:val="000C4EFA"/>
    <w:rsid w:val="000E4714"/>
    <w:rsid w:val="000E5B81"/>
    <w:rsid w:val="000F5EB7"/>
    <w:rsid w:val="000F60E5"/>
    <w:rsid w:val="00102874"/>
    <w:rsid w:val="00107F56"/>
    <w:rsid w:val="001102C2"/>
    <w:rsid w:val="001110B5"/>
    <w:rsid w:val="0011129F"/>
    <w:rsid w:val="00111563"/>
    <w:rsid w:val="00130CA6"/>
    <w:rsid w:val="001514F2"/>
    <w:rsid w:val="0016586B"/>
    <w:rsid w:val="00171BB5"/>
    <w:rsid w:val="00172CE3"/>
    <w:rsid w:val="00182F6C"/>
    <w:rsid w:val="001A5D96"/>
    <w:rsid w:val="001A783B"/>
    <w:rsid w:val="001B330A"/>
    <w:rsid w:val="001B7890"/>
    <w:rsid w:val="001C3C02"/>
    <w:rsid w:val="001C545B"/>
    <w:rsid w:val="001D5F9D"/>
    <w:rsid w:val="001D6BDB"/>
    <w:rsid w:val="001E4923"/>
    <w:rsid w:val="001E7E01"/>
    <w:rsid w:val="001F313B"/>
    <w:rsid w:val="002016DB"/>
    <w:rsid w:val="00202E08"/>
    <w:rsid w:val="002067E1"/>
    <w:rsid w:val="00207F2B"/>
    <w:rsid w:val="002226B9"/>
    <w:rsid w:val="002304D1"/>
    <w:rsid w:val="00236FA1"/>
    <w:rsid w:val="00242BB6"/>
    <w:rsid w:val="00243769"/>
    <w:rsid w:val="0026163B"/>
    <w:rsid w:val="00263FBE"/>
    <w:rsid w:val="002738C0"/>
    <w:rsid w:val="00274F29"/>
    <w:rsid w:val="00274F6A"/>
    <w:rsid w:val="00275B8D"/>
    <w:rsid w:val="002766A6"/>
    <w:rsid w:val="0028115B"/>
    <w:rsid w:val="00281AC9"/>
    <w:rsid w:val="002905FF"/>
    <w:rsid w:val="00292A3D"/>
    <w:rsid w:val="002A1E33"/>
    <w:rsid w:val="002A53CA"/>
    <w:rsid w:val="002B25E5"/>
    <w:rsid w:val="002C1928"/>
    <w:rsid w:val="002D79CA"/>
    <w:rsid w:val="002D7E65"/>
    <w:rsid w:val="002E0938"/>
    <w:rsid w:val="002E6806"/>
    <w:rsid w:val="002F3E60"/>
    <w:rsid w:val="002F58E8"/>
    <w:rsid w:val="003002BD"/>
    <w:rsid w:val="00300786"/>
    <w:rsid w:val="00310D53"/>
    <w:rsid w:val="00311E95"/>
    <w:rsid w:val="003132A9"/>
    <w:rsid w:val="003163D3"/>
    <w:rsid w:val="00317AF1"/>
    <w:rsid w:val="0032493A"/>
    <w:rsid w:val="00325467"/>
    <w:rsid w:val="003303A6"/>
    <w:rsid w:val="003414C8"/>
    <w:rsid w:val="00347E5D"/>
    <w:rsid w:val="00360A27"/>
    <w:rsid w:val="00362A92"/>
    <w:rsid w:val="0037299C"/>
    <w:rsid w:val="00384DCB"/>
    <w:rsid w:val="003967C5"/>
    <w:rsid w:val="003A061E"/>
    <w:rsid w:val="003B2F43"/>
    <w:rsid w:val="003B3381"/>
    <w:rsid w:val="003B65E8"/>
    <w:rsid w:val="003C0053"/>
    <w:rsid w:val="003C0239"/>
    <w:rsid w:val="003C2E41"/>
    <w:rsid w:val="003E0543"/>
    <w:rsid w:val="003E65B4"/>
    <w:rsid w:val="003E7DB9"/>
    <w:rsid w:val="0041009A"/>
    <w:rsid w:val="00413634"/>
    <w:rsid w:val="00414372"/>
    <w:rsid w:val="00415107"/>
    <w:rsid w:val="00422F6B"/>
    <w:rsid w:val="00433224"/>
    <w:rsid w:val="00443B7F"/>
    <w:rsid w:val="004440B5"/>
    <w:rsid w:val="0045664F"/>
    <w:rsid w:val="004604AF"/>
    <w:rsid w:val="004618BE"/>
    <w:rsid w:val="004623C5"/>
    <w:rsid w:val="004672D0"/>
    <w:rsid w:val="0046785A"/>
    <w:rsid w:val="00470C05"/>
    <w:rsid w:val="00483207"/>
    <w:rsid w:val="00490BD6"/>
    <w:rsid w:val="004A7ACC"/>
    <w:rsid w:val="004B0330"/>
    <w:rsid w:val="004B2FFE"/>
    <w:rsid w:val="004B49A9"/>
    <w:rsid w:val="004C6CFC"/>
    <w:rsid w:val="004D4FFA"/>
    <w:rsid w:val="004D7EC5"/>
    <w:rsid w:val="004E005B"/>
    <w:rsid w:val="004E4C73"/>
    <w:rsid w:val="004F07B1"/>
    <w:rsid w:val="004F73FE"/>
    <w:rsid w:val="00507D7A"/>
    <w:rsid w:val="00510415"/>
    <w:rsid w:val="00511B29"/>
    <w:rsid w:val="00513712"/>
    <w:rsid w:val="00514AF3"/>
    <w:rsid w:val="00514FE9"/>
    <w:rsid w:val="00523762"/>
    <w:rsid w:val="00526EAB"/>
    <w:rsid w:val="00532A6A"/>
    <w:rsid w:val="00537B31"/>
    <w:rsid w:val="00544229"/>
    <w:rsid w:val="00544733"/>
    <w:rsid w:val="00544925"/>
    <w:rsid w:val="00547BD7"/>
    <w:rsid w:val="005500FE"/>
    <w:rsid w:val="00555B84"/>
    <w:rsid w:val="0056288F"/>
    <w:rsid w:val="00567B5D"/>
    <w:rsid w:val="00571FD2"/>
    <w:rsid w:val="0057421B"/>
    <w:rsid w:val="00574A97"/>
    <w:rsid w:val="00580187"/>
    <w:rsid w:val="005801B0"/>
    <w:rsid w:val="005914D2"/>
    <w:rsid w:val="00591DD5"/>
    <w:rsid w:val="00594D91"/>
    <w:rsid w:val="005962A6"/>
    <w:rsid w:val="005B20FA"/>
    <w:rsid w:val="005B3DA2"/>
    <w:rsid w:val="005D2E21"/>
    <w:rsid w:val="005D3BEC"/>
    <w:rsid w:val="005D4209"/>
    <w:rsid w:val="005D6ABB"/>
    <w:rsid w:val="005E5182"/>
    <w:rsid w:val="005F3544"/>
    <w:rsid w:val="00601A0D"/>
    <w:rsid w:val="006028CD"/>
    <w:rsid w:val="006110C4"/>
    <w:rsid w:val="0062147D"/>
    <w:rsid w:val="00622701"/>
    <w:rsid w:val="0062631F"/>
    <w:rsid w:val="00631AAC"/>
    <w:rsid w:val="0064587A"/>
    <w:rsid w:val="00650FC2"/>
    <w:rsid w:val="006525E0"/>
    <w:rsid w:val="00653209"/>
    <w:rsid w:val="006567EC"/>
    <w:rsid w:val="0066291A"/>
    <w:rsid w:val="006855B4"/>
    <w:rsid w:val="00694CA0"/>
    <w:rsid w:val="006A756E"/>
    <w:rsid w:val="006A7995"/>
    <w:rsid w:val="006B2AB6"/>
    <w:rsid w:val="006C63E7"/>
    <w:rsid w:val="006C69C9"/>
    <w:rsid w:val="006D0EC3"/>
    <w:rsid w:val="006D1E3B"/>
    <w:rsid w:val="006E079A"/>
    <w:rsid w:val="006E0B95"/>
    <w:rsid w:val="006E6606"/>
    <w:rsid w:val="0070296A"/>
    <w:rsid w:val="00715650"/>
    <w:rsid w:val="00716A61"/>
    <w:rsid w:val="007219BB"/>
    <w:rsid w:val="00725023"/>
    <w:rsid w:val="00725E5F"/>
    <w:rsid w:val="00726B9F"/>
    <w:rsid w:val="007315D2"/>
    <w:rsid w:val="00734EB1"/>
    <w:rsid w:val="00734F98"/>
    <w:rsid w:val="0074791C"/>
    <w:rsid w:val="00752E13"/>
    <w:rsid w:val="00773B94"/>
    <w:rsid w:val="00774958"/>
    <w:rsid w:val="0077579D"/>
    <w:rsid w:val="00776980"/>
    <w:rsid w:val="00783E3A"/>
    <w:rsid w:val="007840F8"/>
    <w:rsid w:val="00786BC5"/>
    <w:rsid w:val="007879D5"/>
    <w:rsid w:val="0079067D"/>
    <w:rsid w:val="007A07D5"/>
    <w:rsid w:val="007A3564"/>
    <w:rsid w:val="007A5FD8"/>
    <w:rsid w:val="007B4CB7"/>
    <w:rsid w:val="007C329B"/>
    <w:rsid w:val="007C74D1"/>
    <w:rsid w:val="007D4477"/>
    <w:rsid w:val="007D6D79"/>
    <w:rsid w:val="007E6F5F"/>
    <w:rsid w:val="007E7A4F"/>
    <w:rsid w:val="007F5738"/>
    <w:rsid w:val="007F7043"/>
    <w:rsid w:val="00803405"/>
    <w:rsid w:val="00805FBF"/>
    <w:rsid w:val="00806475"/>
    <w:rsid w:val="008353E0"/>
    <w:rsid w:val="00844028"/>
    <w:rsid w:val="00847314"/>
    <w:rsid w:val="0085424E"/>
    <w:rsid w:val="0086675F"/>
    <w:rsid w:val="00866A66"/>
    <w:rsid w:val="0088039F"/>
    <w:rsid w:val="00880BB7"/>
    <w:rsid w:val="00886024"/>
    <w:rsid w:val="00896651"/>
    <w:rsid w:val="008B186F"/>
    <w:rsid w:val="008B3C5C"/>
    <w:rsid w:val="008C06FE"/>
    <w:rsid w:val="008C2C89"/>
    <w:rsid w:val="008D14C5"/>
    <w:rsid w:val="008D4B15"/>
    <w:rsid w:val="008E4ED5"/>
    <w:rsid w:val="008E5663"/>
    <w:rsid w:val="008E7D90"/>
    <w:rsid w:val="008F07AD"/>
    <w:rsid w:val="008F407F"/>
    <w:rsid w:val="008F4D6E"/>
    <w:rsid w:val="00900EAE"/>
    <w:rsid w:val="00924837"/>
    <w:rsid w:val="0093105C"/>
    <w:rsid w:val="00931547"/>
    <w:rsid w:val="00941E9A"/>
    <w:rsid w:val="00942948"/>
    <w:rsid w:val="00951054"/>
    <w:rsid w:val="00952CE5"/>
    <w:rsid w:val="00953A88"/>
    <w:rsid w:val="00955551"/>
    <w:rsid w:val="00955789"/>
    <w:rsid w:val="00956B73"/>
    <w:rsid w:val="00956EFE"/>
    <w:rsid w:val="00973D6D"/>
    <w:rsid w:val="00982E03"/>
    <w:rsid w:val="00983477"/>
    <w:rsid w:val="00984133"/>
    <w:rsid w:val="00990214"/>
    <w:rsid w:val="00996F82"/>
    <w:rsid w:val="009A2ED6"/>
    <w:rsid w:val="009B05BC"/>
    <w:rsid w:val="009B37BE"/>
    <w:rsid w:val="009B3F10"/>
    <w:rsid w:val="009C1548"/>
    <w:rsid w:val="009C3277"/>
    <w:rsid w:val="009D4C86"/>
    <w:rsid w:val="009E2DB5"/>
    <w:rsid w:val="009E3E93"/>
    <w:rsid w:val="009E50BA"/>
    <w:rsid w:val="009F4F66"/>
    <w:rsid w:val="009F4FFA"/>
    <w:rsid w:val="00A07079"/>
    <w:rsid w:val="00A12E6A"/>
    <w:rsid w:val="00A162FC"/>
    <w:rsid w:val="00A1646E"/>
    <w:rsid w:val="00A16B64"/>
    <w:rsid w:val="00A206C3"/>
    <w:rsid w:val="00A20EC2"/>
    <w:rsid w:val="00A22D6E"/>
    <w:rsid w:val="00A36AF3"/>
    <w:rsid w:val="00A42F3F"/>
    <w:rsid w:val="00A4584F"/>
    <w:rsid w:val="00A46E8F"/>
    <w:rsid w:val="00A47403"/>
    <w:rsid w:val="00A51AE9"/>
    <w:rsid w:val="00A6267C"/>
    <w:rsid w:val="00A67D9C"/>
    <w:rsid w:val="00A75DB2"/>
    <w:rsid w:val="00A8167E"/>
    <w:rsid w:val="00A95AA7"/>
    <w:rsid w:val="00AA0687"/>
    <w:rsid w:val="00AA5281"/>
    <w:rsid w:val="00AA5C1E"/>
    <w:rsid w:val="00AB1E1A"/>
    <w:rsid w:val="00AB2306"/>
    <w:rsid w:val="00AB3AB9"/>
    <w:rsid w:val="00AB60EB"/>
    <w:rsid w:val="00AB7692"/>
    <w:rsid w:val="00AD6907"/>
    <w:rsid w:val="00AD7859"/>
    <w:rsid w:val="00AE14E0"/>
    <w:rsid w:val="00AE1B7B"/>
    <w:rsid w:val="00AE7A20"/>
    <w:rsid w:val="00B01FF7"/>
    <w:rsid w:val="00B14F7A"/>
    <w:rsid w:val="00B15385"/>
    <w:rsid w:val="00B15DB3"/>
    <w:rsid w:val="00B16202"/>
    <w:rsid w:val="00B21936"/>
    <w:rsid w:val="00B25656"/>
    <w:rsid w:val="00B27EC6"/>
    <w:rsid w:val="00B33838"/>
    <w:rsid w:val="00B35BD7"/>
    <w:rsid w:val="00B730EF"/>
    <w:rsid w:val="00B74A09"/>
    <w:rsid w:val="00B94147"/>
    <w:rsid w:val="00BA6EF7"/>
    <w:rsid w:val="00BA7837"/>
    <w:rsid w:val="00BB6443"/>
    <w:rsid w:val="00BC429A"/>
    <w:rsid w:val="00BD1C88"/>
    <w:rsid w:val="00BD2171"/>
    <w:rsid w:val="00BD3114"/>
    <w:rsid w:val="00BE13AA"/>
    <w:rsid w:val="00BE1FCA"/>
    <w:rsid w:val="00BF0406"/>
    <w:rsid w:val="00BF250C"/>
    <w:rsid w:val="00BF3E05"/>
    <w:rsid w:val="00C02162"/>
    <w:rsid w:val="00C0217D"/>
    <w:rsid w:val="00C06402"/>
    <w:rsid w:val="00C172DD"/>
    <w:rsid w:val="00C236A2"/>
    <w:rsid w:val="00C26D38"/>
    <w:rsid w:val="00C32048"/>
    <w:rsid w:val="00C353BD"/>
    <w:rsid w:val="00C35535"/>
    <w:rsid w:val="00C446AE"/>
    <w:rsid w:val="00C44AF3"/>
    <w:rsid w:val="00C541D3"/>
    <w:rsid w:val="00C70297"/>
    <w:rsid w:val="00C764AA"/>
    <w:rsid w:val="00C81CE0"/>
    <w:rsid w:val="00C92131"/>
    <w:rsid w:val="00CB61C4"/>
    <w:rsid w:val="00CB71EA"/>
    <w:rsid w:val="00CC5F8D"/>
    <w:rsid w:val="00CD0BAA"/>
    <w:rsid w:val="00CD2013"/>
    <w:rsid w:val="00CD6C61"/>
    <w:rsid w:val="00CE18C9"/>
    <w:rsid w:val="00CE5977"/>
    <w:rsid w:val="00CF2E2D"/>
    <w:rsid w:val="00CF3BD8"/>
    <w:rsid w:val="00CF5F54"/>
    <w:rsid w:val="00D04FAB"/>
    <w:rsid w:val="00D0634D"/>
    <w:rsid w:val="00D15006"/>
    <w:rsid w:val="00D16E30"/>
    <w:rsid w:val="00D20783"/>
    <w:rsid w:val="00D230AF"/>
    <w:rsid w:val="00D25F2C"/>
    <w:rsid w:val="00D26D5A"/>
    <w:rsid w:val="00D32F18"/>
    <w:rsid w:val="00D35CB3"/>
    <w:rsid w:val="00D4018F"/>
    <w:rsid w:val="00D4638A"/>
    <w:rsid w:val="00D4698C"/>
    <w:rsid w:val="00D62868"/>
    <w:rsid w:val="00D62BF0"/>
    <w:rsid w:val="00D809A7"/>
    <w:rsid w:val="00D82C2E"/>
    <w:rsid w:val="00D84474"/>
    <w:rsid w:val="00D951D7"/>
    <w:rsid w:val="00DA1343"/>
    <w:rsid w:val="00DA7427"/>
    <w:rsid w:val="00DB632C"/>
    <w:rsid w:val="00DC04BA"/>
    <w:rsid w:val="00DC59DE"/>
    <w:rsid w:val="00DD0012"/>
    <w:rsid w:val="00DD2012"/>
    <w:rsid w:val="00DD6F68"/>
    <w:rsid w:val="00DD713A"/>
    <w:rsid w:val="00DE2383"/>
    <w:rsid w:val="00DF03E6"/>
    <w:rsid w:val="00DF2B1A"/>
    <w:rsid w:val="00DF3EDD"/>
    <w:rsid w:val="00E07BBE"/>
    <w:rsid w:val="00E17092"/>
    <w:rsid w:val="00E27218"/>
    <w:rsid w:val="00E331A0"/>
    <w:rsid w:val="00E41CDE"/>
    <w:rsid w:val="00E43789"/>
    <w:rsid w:val="00E4596A"/>
    <w:rsid w:val="00E51A3B"/>
    <w:rsid w:val="00E54E5C"/>
    <w:rsid w:val="00E63AEF"/>
    <w:rsid w:val="00E71983"/>
    <w:rsid w:val="00E72B60"/>
    <w:rsid w:val="00E74AA3"/>
    <w:rsid w:val="00E82A09"/>
    <w:rsid w:val="00E859F4"/>
    <w:rsid w:val="00E93C14"/>
    <w:rsid w:val="00E93CA9"/>
    <w:rsid w:val="00E95B07"/>
    <w:rsid w:val="00E97699"/>
    <w:rsid w:val="00EA089A"/>
    <w:rsid w:val="00EA1134"/>
    <w:rsid w:val="00EC599A"/>
    <w:rsid w:val="00ED2B39"/>
    <w:rsid w:val="00ED304E"/>
    <w:rsid w:val="00EE18F6"/>
    <w:rsid w:val="00EE2AED"/>
    <w:rsid w:val="00EE4912"/>
    <w:rsid w:val="00EE6667"/>
    <w:rsid w:val="00EE6CF9"/>
    <w:rsid w:val="00EE76A9"/>
    <w:rsid w:val="00EF04CC"/>
    <w:rsid w:val="00F122A3"/>
    <w:rsid w:val="00F223A6"/>
    <w:rsid w:val="00F31AF6"/>
    <w:rsid w:val="00F40E7C"/>
    <w:rsid w:val="00F45179"/>
    <w:rsid w:val="00F47DE3"/>
    <w:rsid w:val="00F51E25"/>
    <w:rsid w:val="00F72FA5"/>
    <w:rsid w:val="00F73B5F"/>
    <w:rsid w:val="00F8076F"/>
    <w:rsid w:val="00F84842"/>
    <w:rsid w:val="00F93F5C"/>
    <w:rsid w:val="00F942F6"/>
    <w:rsid w:val="00F95EF3"/>
    <w:rsid w:val="00FA27A9"/>
    <w:rsid w:val="00FB1EB6"/>
    <w:rsid w:val="00FB409B"/>
    <w:rsid w:val="00FB65D0"/>
    <w:rsid w:val="00FB796B"/>
    <w:rsid w:val="00FD515D"/>
    <w:rsid w:val="00FD5DB4"/>
    <w:rsid w:val="00FE09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431E0D5"/>
  <w15:docId w15:val="{D66631FC-809A-4329-93E1-AAE85E9C6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52E13"/>
    <w:rPr>
      <w:lang w:val="uk-UA"/>
    </w:rPr>
  </w:style>
  <w:style w:type="paragraph" w:styleId="3">
    <w:name w:val="heading 3"/>
    <w:basedOn w:val="a"/>
    <w:link w:val="30"/>
    <w:uiPriority w:val="9"/>
    <w:qFormat/>
    <w:rsid w:val="001A5D96"/>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52E13"/>
    <w:rPr>
      <w:b/>
      <w:bCs/>
    </w:rPr>
  </w:style>
  <w:style w:type="character" w:styleId="a4">
    <w:name w:val="Hyperlink"/>
    <w:basedOn w:val="a0"/>
    <w:uiPriority w:val="99"/>
    <w:unhideWhenUsed/>
    <w:rsid w:val="00752E13"/>
    <w:rPr>
      <w:color w:val="0000FF"/>
      <w:u w:val="single"/>
    </w:rPr>
  </w:style>
  <w:style w:type="paragraph" w:styleId="a5">
    <w:name w:val="Normal (Web)"/>
    <w:basedOn w:val="a"/>
    <w:uiPriority w:val="99"/>
    <w:qFormat/>
    <w:rsid w:val="00752E13"/>
    <w:pPr>
      <w:spacing w:before="100" w:beforeAutospacing="1" w:after="100" w:afterAutospacing="1" w:line="240" w:lineRule="auto"/>
    </w:pPr>
    <w:rPr>
      <w:rFonts w:ascii="Times New Roman" w:eastAsia="Calibri" w:hAnsi="Times New Roman" w:cs="Times New Roman"/>
      <w:sz w:val="24"/>
      <w:szCs w:val="24"/>
      <w:lang w:val="ru-RU" w:eastAsia="ru-RU"/>
    </w:rPr>
  </w:style>
  <w:style w:type="table" w:styleId="a6">
    <w:name w:val="Table Grid"/>
    <w:basedOn w:val="a1"/>
    <w:uiPriority w:val="59"/>
    <w:rsid w:val="00752E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752E13"/>
    <w:pPr>
      <w:tabs>
        <w:tab w:val="center" w:pos="4677"/>
        <w:tab w:val="right" w:pos="9355"/>
      </w:tabs>
      <w:spacing w:after="0" w:line="240" w:lineRule="auto"/>
    </w:pPr>
  </w:style>
  <w:style w:type="character" w:customStyle="1" w:styleId="a8">
    <w:name w:val="Нижній колонтитул Знак"/>
    <w:basedOn w:val="a0"/>
    <w:link w:val="a7"/>
    <w:uiPriority w:val="99"/>
    <w:rsid w:val="00752E13"/>
    <w:rPr>
      <w:lang w:val="uk-UA"/>
    </w:rPr>
  </w:style>
  <w:style w:type="paragraph" w:customStyle="1" w:styleId="rvps2">
    <w:name w:val="rvps2"/>
    <w:basedOn w:val="a"/>
    <w:rsid w:val="00B730EF"/>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9">
    <w:name w:val="Emphasis"/>
    <w:basedOn w:val="a0"/>
    <w:uiPriority w:val="20"/>
    <w:qFormat/>
    <w:rsid w:val="002F58E8"/>
    <w:rPr>
      <w:i/>
      <w:iCs/>
    </w:rPr>
  </w:style>
  <w:style w:type="paragraph" w:styleId="aa">
    <w:name w:val="List Paragraph"/>
    <w:basedOn w:val="a"/>
    <w:uiPriority w:val="34"/>
    <w:qFormat/>
    <w:rsid w:val="004623C5"/>
    <w:pPr>
      <w:ind w:left="720"/>
      <w:contextualSpacing/>
    </w:pPr>
  </w:style>
  <w:style w:type="character" w:customStyle="1" w:styleId="rvts46">
    <w:name w:val="rvts46"/>
    <w:basedOn w:val="a0"/>
    <w:rsid w:val="00CB61C4"/>
  </w:style>
  <w:style w:type="character" w:customStyle="1" w:styleId="rvts11">
    <w:name w:val="rvts11"/>
    <w:basedOn w:val="a0"/>
    <w:rsid w:val="00CB61C4"/>
  </w:style>
  <w:style w:type="character" w:customStyle="1" w:styleId="rvts37">
    <w:name w:val="rvts37"/>
    <w:basedOn w:val="a0"/>
    <w:rsid w:val="00C70297"/>
  </w:style>
  <w:style w:type="character" w:styleId="ab">
    <w:name w:val="FollowedHyperlink"/>
    <w:basedOn w:val="a0"/>
    <w:uiPriority w:val="99"/>
    <w:semiHidden/>
    <w:unhideWhenUsed/>
    <w:rsid w:val="00990214"/>
    <w:rPr>
      <w:color w:val="954F72" w:themeColor="followedHyperlink"/>
      <w:u w:val="single"/>
    </w:rPr>
  </w:style>
  <w:style w:type="paragraph" w:styleId="ac">
    <w:name w:val="Balloon Text"/>
    <w:basedOn w:val="a"/>
    <w:link w:val="ad"/>
    <w:uiPriority w:val="99"/>
    <w:semiHidden/>
    <w:unhideWhenUsed/>
    <w:rsid w:val="00D62868"/>
    <w:pPr>
      <w:spacing w:after="0"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D62868"/>
    <w:rPr>
      <w:rFonts w:ascii="Tahoma" w:hAnsi="Tahoma" w:cs="Tahoma"/>
      <w:sz w:val="16"/>
      <w:szCs w:val="16"/>
      <w:lang w:val="uk-UA"/>
    </w:rPr>
  </w:style>
  <w:style w:type="character" w:customStyle="1" w:styleId="fontstyle01">
    <w:name w:val="fontstyle01"/>
    <w:basedOn w:val="a0"/>
    <w:rsid w:val="003A061E"/>
    <w:rPr>
      <w:rFonts w:ascii="TimesNewRomanPS-BoldMT" w:hAnsi="TimesNewRomanPS-BoldMT" w:hint="default"/>
      <w:b/>
      <w:bCs/>
      <w:i w:val="0"/>
      <w:iCs w:val="0"/>
      <w:color w:val="000000"/>
      <w:sz w:val="28"/>
      <w:szCs w:val="28"/>
    </w:rPr>
  </w:style>
  <w:style w:type="paragraph" w:customStyle="1" w:styleId="1">
    <w:name w:val="Обычный1"/>
    <w:rsid w:val="00BA6EF7"/>
    <w:pPr>
      <w:widowControl w:val="0"/>
      <w:spacing w:after="0" w:line="240" w:lineRule="auto"/>
    </w:pPr>
    <w:rPr>
      <w:rFonts w:ascii="Times New Roman" w:eastAsia="Times New Roman" w:hAnsi="Times New Roman" w:cs="Times New Roman"/>
      <w:color w:val="000000"/>
      <w:sz w:val="20"/>
      <w:szCs w:val="20"/>
      <w:lang w:val="uk-UA" w:eastAsia="uk-UA"/>
    </w:rPr>
  </w:style>
  <w:style w:type="character" w:customStyle="1" w:styleId="rvts23">
    <w:name w:val="rvts23"/>
    <w:basedOn w:val="a0"/>
    <w:rsid w:val="00532A6A"/>
  </w:style>
  <w:style w:type="paragraph" w:styleId="ae">
    <w:name w:val="header"/>
    <w:basedOn w:val="a"/>
    <w:link w:val="af"/>
    <w:uiPriority w:val="99"/>
    <w:unhideWhenUsed/>
    <w:rsid w:val="00973D6D"/>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973D6D"/>
    <w:rPr>
      <w:lang w:val="uk-UA"/>
    </w:rPr>
  </w:style>
  <w:style w:type="character" w:customStyle="1" w:styleId="30">
    <w:name w:val="Заголовок 3 Знак"/>
    <w:basedOn w:val="a0"/>
    <w:link w:val="3"/>
    <w:uiPriority w:val="9"/>
    <w:rsid w:val="001A5D96"/>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830033">
      <w:bodyDiv w:val="1"/>
      <w:marLeft w:val="0"/>
      <w:marRight w:val="0"/>
      <w:marTop w:val="0"/>
      <w:marBottom w:val="0"/>
      <w:divBdr>
        <w:top w:val="none" w:sz="0" w:space="0" w:color="auto"/>
        <w:left w:val="none" w:sz="0" w:space="0" w:color="auto"/>
        <w:bottom w:val="none" w:sz="0" w:space="0" w:color="auto"/>
        <w:right w:val="none" w:sz="0" w:space="0" w:color="auto"/>
      </w:divBdr>
    </w:div>
    <w:div w:id="591821252">
      <w:bodyDiv w:val="1"/>
      <w:marLeft w:val="0"/>
      <w:marRight w:val="0"/>
      <w:marTop w:val="0"/>
      <w:marBottom w:val="0"/>
      <w:divBdr>
        <w:top w:val="none" w:sz="0" w:space="0" w:color="auto"/>
        <w:left w:val="none" w:sz="0" w:space="0" w:color="auto"/>
        <w:bottom w:val="none" w:sz="0" w:space="0" w:color="auto"/>
        <w:right w:val="none" w:sz="0" w:space="0" w:color="auto"/>
      </w:divBdr>
    </w:div>
    <w:div w:id="1715497252">
      <w:bodyDiv w:val="1"/>
      <w:marLeft w:val="0"/>
      <w:marRight w:val="0"/>
      <w:marTop w:val="0"/>
      <w:marBottom w:val="0"/>
      <w:divBdr>
        <w:top w:val="none" w:sz="0" w:space="0" w:color="auto"/>
        <w:left w:val="none" w:sz="0" w:space="0" w:color="auto"/>
        <w:bottom w:val="none" w:sz="0" w:space="0" w:color="auto"/>
        <w:right w:val="none" w:sz="0" w:space="0" w:color="auto"/>
      </w:divBdr>
    </w:div>
    <w:div w:id="1731689648">
      <w:bodyDiv w:val="1"/>
      <w:marLeft w:val="0"/>
      <w:marRight w:val="0"/>
      <w:marTop w:val="0"/>
      <w:marBottom w:val="0"/>
      <w:divBdr>
        <w:top w:val="none" w:sz="0" w:space="0" w:color="auto"/>
        <w:left w:val="none" w:sz="0" w:space="0" w:color="auto"/>
        <w:bottom w:val="none" w:sz="0" w:space="0" w:color="auto"/>
        <w:right w:val="none" w:sz="0" w:space="0" w:color="auto"/>
      </w:divBdr>
    </w:div>
    <w:div w:id="1747654813">
      <w:bodyDiv w:val="1"/>
      <w:marLeft w:val="0"/>
      <w:marRight w:val="0"/>
      <w:marTop w:val="0"/>
      <w:marBottom w:val="0"/>
      <w:divBdr>
        <w:top w:val="none" w:sz="0" w:space="0" w:color="auto"/>
        <w:left w:val="none" w:sz="0" w:space="0" w:color="auto"/>
        <w:bottom w:val="none" w:sz="0" w:space="0" w:color="auto"/>
        <w:right w:val="none" w:sz="0" w:space="0" w:color="auto"/>
      </w:divBdr>
    </w:div>
    <w:div w:id="200239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4A0F5-BB35-4D0E-A8F4-F7E8BBBEE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18</Pages>
  <Words>18418</Words>
  <Characters>10499</Characters>
  <Application>Microsoft Office Word</Application>
  <DocSecurity>0</DocSecurity>
  <Lines>87</Lines>
  <Paragraphs>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28860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Катерина Концур</cp:lastModifiedBy>
  <cp:revision>6</cp:revision>
  <cp:lastPrinted>2023-09-01T07:19:00Z</cp:lastPrinted>
  <dcterms:created xsi:type="dcterms:W3CDTF">2023-09-01T05:31:00Z</dcterms:created>
  <dcterms:modified xsi:type="dcterms:W3CDTF">2023-09-01T07:56:00Z</dcterms:modified>
</cp:coreProperties>
</file>