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56C2" w:rsidRPr="00C364E7" w:rsidRDefault="009156C2" w:rsidP="009156C2">
      <w:pPr>
        <w:ind w:right="-30"/>
        <w:jc w:val="center"/>
        <w:rPr>
          <w:rFonts w:ascii="Times New Roman" w:hAnsi="Times New Roman" w:cs="Times New Roman"/>
          <w:b/>
          <w:sz w:val="28"/>
          <w:szCs w:val="28"/>
          <w:lang w:val="ru-RU"/>
        </w:rPr>
      </w:pPr>
      <w:r w:rsidRPr="00C364E7">
        <w:rPr>
          <w:rFonts w:ascii="Times New Roman" w:eastAsia="Times New Roman" w:hAnsi="Times New Roman" w:cs="Times New Roman"/>
          <w:b/>
          <w:sz w:val="28"/>
          <w:szCs w:val="28"/>
        </w:rPr>
        <w:t xml:space="preserve">Узагальнені зауваження та пропозиції до </w:t>
      </w:r>
      <w:proofErr w:type="spellStart"/>
      <w:r w:rsidRPr="00C364E7">
        <w:rPr>
          <w:rFonts w:ascii="Times New Roman" w:eastAsia="Times New Roman" w:hAnsi="Times New Roman" w:cs="Times New Roman"/>
          <w:b/>
          <w:sz w:val="28"/>
          <w:szCs w:val="28"/>
        </w:rPr>
        <w:t>проєкту</w:t>
      </w:r>
      <w:proofErr w:type="spellEnd"/>
      <w:r w:rsidRPr="00C364E7">
        <w:rPr>
          <w:rFonts w:ascii="Times New Roman" w:eastAsia="Times New Roman" w:hAnsi="Times New Roman" w:cs="Times New Roman"/>
          <w:b/>
          <w:sz w:val="28"/>
          <w:szCs w:val="28"/>
        </w:rPr>
        <w:t xml:space="preserve"> рішення НКРЕКП, що має ознаки регуляторного </w:t>
      </w:r>
      <w:proofErr w:type="spellStart"/>
      <w:r w:rsidRPr="00C364E7">
        <w:rPr>
          <w:rFonts w:ascii="Times New Roman" w:eastAsia="Times New Roman" w:hAnsi="Times New Roman" w:cs="Times New Roman"/>
          <w:b/>
          <w:sz w:val="28"/>
          <w:szCs w:val="28"/>
        </w:rPr>
        <w:t>акта</w:t>
      </w:r>
      <w:proofErr w:type="spellEnd"/>
      <w:r w:rsidRPr="00C364E7">
        <w:rPr>
          <w:rFonts w:ascii="Times New Roman" w:eastAsia="Times New Roman" w:hAnsi="Times New Roman" w:cs="Times New Roman"/>
          <w:b/>
          <w:sz w:val="28"/>
          <w:szCs w:val="28"/>
        </w:rPr>
        <w:t xml:space="preserve">, – </w:t>
      </w:r>
      <w:proofErr w:type="spellStart"/>
      <w:r w:rsidRPr="00C364E7">
        <w:rPr>
          <w:rFonts w:ascii="Times New Roman" w:eastAsia="Times New Roman" w:hAnsi="Times New Roman" w:cs="Times New Roman"/>
          <w:b/>
          <w:sz w:val="28"/>
          <w:szCs w:val="28"/>
        </w:rPr>
        <w:t>проєкту</w:t>
      </w:r>
      <w:proofErr w:type="spellEnd"/>
      <w:r w:rsidRPr="00C364E7">
        <w:rPr>
          <w:rFonts w:ascii="Times New Roman" w:eastAsia="Times New Roman" w:hAnsi="Times New Roman" w:cs="Times New Roman"/>
          <w:b/>
          <w:sz w:val="28"/>
          <w:szCs w:val="28"/>
        </w:rPr>
        <w:t xml:space="preserve"> постанови НКРЕКП</w:t>
      </w:r>
      <w:r w:rsidRPr="00C364E7">
        <w:rPr>
          <w:rFonts w:ascii="Times New Roman" w:hAnsi="Times New Roman" w:cs="Times New Roman"/>
          <w:b/>
          <w:sz w:val="28"/>
          <w:szCs w:val="28"/>
        </w:rPr>
        <w:t xml:space="preserve"> «</w:t>
      </w:r>
      <w:r w:rsidR="00C364E7" w:rsidRPr="00C364E7">
        <w:rPr>
          <w:rFonts w:ascii="Times New Roman" w:hAnsi="Times New Roman" w:cs="Times New Roman"/>
          <w:b/>
          <w:sz w:val="28"/>
          <w:szCs w:val="28"/>
        </w:rPr>
        <w:t>Про внесення змін до постанови НКРЕКП від 18 грудня 2018 року № 1965</w:t>
      </w:r>
      <w:r w:rsidRPr="00C364E7">
        <w:rPr>
          <w:rFonts w:ascii="Times New Roman" w:hAnsi="Times New Roman" w:cs="Times New Roman"/>
          <w:b/>
          <w:sz w:val="28"/>
          <w:szCs w:val="28"/>
        </w:rPr>
        <w:t>»</w:t>
      </w:r>
    </w:p>
    <w:tbl>
      <w:tblPr>
        <w:tblW w:w="15877"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709"/>
        <w:gridCol w:w="2836"/>
        <w:gridCol w:w="5244"/>
        <w:gridCol w:w="3686"/>
        <w:gridCol w:w="3402"/>
      </w:tblGrid>
      <w:tr w:rsidR="00C364E7" w:rsidRPr="00C364E7" w:rsidTr="0017439F">
        <w:tc>
          <w:tcPr>
            <w:tcW w:w="709" w:type="dxa"/>
            <w:shd w:val="clear" w:color="auto" w:fill="auto"/>
            <w:tcMar>
              <w:top w:w="100" w:type="dxa"/>
              <w:left w:w="100" w:type="dxa"/>
              <w:bottom w:w="100" w:type="dxa"/>
              <w:right w:w="100" w:type="dxa"/>
            </w:tcMar>
            <w:vAlign w:val="center"/>
          </w:tcPr>
          <w:p w:rsidR="009156C2" w:rsidRPr="00C364E7" w:rsidRDefault="009156C2" w:rsidP="00BD6495">
            <w:pPr>
              <w:tabs>
                <w:tab w:val="left" w:pos="6946"/>
                <w:tab w:val="left" w:pos="7088"/>
              </w:tabs>
              <w:spacing w:before="120" w:after="120"/>
              <w:ind w:left="142" w:right="170"/>
              <w:jc w:val="center"/>
              <w:rPr>
                <w:rStyle w:val="st42"/>
                <w:rFonts w:ascii="Times New Roman" w:hAnsi="Times New Roman" w:cs="Times New Roman"/>
                <w:b/>
                <w:color w:val="auto"/>
                <w:sz w:val="20"/>
              </w:rPr>
            </w:pPr>
            <w:r w:rsidRPr="00C364E7">
              <w:rPr>
                <w:rStyle w:val="st42"/>
                <w:rFonts w:ascii="Times New Roman" w:hAnsi="Times New Roman" w:cs="Times New Roman"/>
                <w:b/>
                <w:color w:val="auto"/>
                <w:sz w:val="20"/>
              </w:rPr>
              <w:t xml:space="preserve">№ </w:t>
            </w:r>
          </w:p>
        </w:tc>
        <w:tc>
          <w:tcPr>
            <w:tcW w:w="2836" w:type="dxa"/>
            <w:shd w:val="clear" w:color="auto" w:fill="auto"/>
            <w:tcMar>
              <w:top w:w="100" w:type="dxa"/>
              <w:left w:w="100" w:type="dxa"/>
              <w:bottom w:w="100" w:type="dxa"/>
              <w:right w:w="100" w:type="dxa"/>
            </w:tcMar>
            <w:vAlign w:val="center"/>
          </w:tcPr>
          <w:p w:rsidR="009156C2" w:rsidRPr="00C364E7" w:rsidRDefault="009156C2" w:rsidP="00BD6495">
            <w:pPr>
              <w:pStyle w:val="TableParagraph"/>
              <w:tabs>
                <w:tab w:val="left" w:pos="3119"/>
                <w:tab w:val="left" w:pos="3261"/>
                <w:tab w:val="left" w:pos="6946"/>
                <w:tab w:val="left" w:pos="7088"/>
              </w:tabs>
              <w:spacing w:before="120" w:after="120"/>
              <w:ind w:left="42" w:right="170" w:firstLine="284"/>
              <w:jc w:val="center"/>
              <w:rPr>
                <w:rStyle w:val="st42"/>
                <w:rFonts w:eastAsia="Calibri"/>
                <w:b/>
                <w:color w:val="auto"/>
                <w:sz w:val="24"/>
                <w:szCs w:val="24"/>
                <w:lang w:val="uk-UA"/>
              </w:rPr>
            </w:pPr>
            <w:r w:rsidRPr="00C364E7">
              <w:rPr>
                <w:b/>
                <w:i/>
                <w:sz w:val="24"/>
                <w:szCs w:val="24"/>
                <w:lang w:val="uk-UA" w:eastAsia="uk-UA"/>
              </w:rPr>
              <w:t>ЗМІСТ ПОЛОЖЕНЬ ПРОЄКТУ ПОСТАНОВИ</w:t>
            </w:r>
          </w:p>
        </w:tc>
        <w:tc>
          <w:tcPr>
            <w:tcW w:w="5244" w:type="dxa"/>
          </w:tcPr>
          <w:p w:rsidR="009156C2" w:rsidRPr="00C364E7" w:rsidRDefault="009156C2" w:rsidP="00BD6495">
            <w:pPr>
              <w:pStyle w:val="TableParagraph"/>
              <w:tabs>
                <w:tab w:val="left" w:pos="3119"/>
                <w:tab w:val="left" w:pos="3261"/>
                <w:tab w:val="left" w:pos="6946"/>
                <w:tab w:val="left" w:pos="7088"/>
              </w:tabs>
              <w:spacing w:before="120" w:after="120"/>
              <w:ind w:left="0" w:right="170" w:firstLine="367"/>
              <w:jc w:val="center"/>
              <w:rPr>
                <w:b/>
                <w:i/>
                <w:sz w:val="24"/>
                <w:szCs w:val="24"/>
                <w:lang w:val="uk-UA" w:eastAsia="uk-UA"/>
              </w:rPr>
            </w:pPr>
            <w:r w:rsidRPr="00C364E7">
              <w:rPr>
                <w:b/>
                <w:i/>
                <w:sz w:val="24"/>
                <w:szCs w:val="24"/>
                <w:lang w:val="uk-UA"/>
              </w:rPr>
              <w:t>ЗАУВАЖЕННЯ ТА ПРОПОЗИЦІЇ ДО ПРОЄКТУ РІШЕННЯ НКРЕКП</w:t>
            </w:r>
          </w:p>
        </w:tc>
        <w:tc>
          <w:tcPr>
            <w:tcW w:w="3686" w:type="dxa"/>
          </w:tcPr>
          <w:p w:rsidR="009156C2" w:rsidRPr="00C364E7" w:rsidRDefault="009156C2" w:rsidP="00BD6495">
            <w:pPr>
              <w:pStyle w:val="TableParagraph"/>
              <w:tabs>
                <w:tab w:val="left" w:pos="3119"/>
                <w:tab w:val="left" w:pos="3261"/>
                <w:tab w:val="left" w:pos="6946"/>
                <w:tab w:val="left" w:pos="7088"/>
              </w:tabs>
              <w:spacing w:before="120" w:after="120"/>
              <w:ind w:left="42" w:right="170"/>
              <w:jc w:val="center"/>
              <w:rPr>
                <w:b/>
                <w:i/>
                <w:sz w:val="24"/>
                <w:szCs w:val="24"/>
                <w:lang w:val="uk-UA" w:eastAsia="uk-UA"/>
              </w:rPr>
            </w:pPr>
            <w:r w:rsidRPr="00C364E7">
              <w:rPr>
                <w:b/>
                <w:i/>
                <w:sz w:val="24"/>
                <w:szCs w:val="24"/>
                <w:lang w:val="uk-UA"/>
              </w:rPr>
              <w:t>ОБҐРУНТУВАННЯ ДО ЗАУВАЖЕНЬ ТА ПРОПОЗИЦІЙ</w:t>
            </w:r>
          </w:p>
        </w:tc>
        <w:tc>
          <w:tcPr>
            <w:tcW w:w="3402" w:type="dxa"/>
          </w:tcPr>
          <w:p w:rsidR="009156C2" w:rsidRPr="00C364E7" w:rsidRDefault="009156C2" w:rsidP="00BD6495">
            <w:pPr>
              <w:pStyle w:val="TableParagraph"/>
              <w:tabs>
                <w:tab w:val="left" w:pos="3119"/>
                <w:tab w:val="left" w:pos="3261"/>
                <w:tab w:val="left" w:pos="6946"/>
                <w:tab w:val="left" w:pos="7088"/>
              </w:tabs>
              <w:spacing w:before="120" w:after="120"/>
              <w:ind w:left="142" w:right="170"/>
              <w:jc w:val="center"/>
              <w:rPr>
                <w:b/>
                <w:i/>
                <w:sz w:val="24"/>
                <w:szCs w:val="24"/>
                <w:lang w:val="uk-UA" w:eastAsia="uk-UA"/>
              </w:rPr>
            </w:pPr>
            <w:r w:rsidRPr="00C364E7">
              <w:rPr>
                <w:b/>
                <w:i/>
                <w:sz w:val="24"/>
                <w:szCs w:val="24"/>
                <w:lang w:val="uk-UA"/>
              </w:rPr>
              <w:t>ПОПЕРЕДНЯ ПОЗИЦІЯ НКРЕКП ЩОДО НАДАНИХ ЗАУВАЖЕНЬ ТА ПРОПОЗИЦІЙ З ОБҐРУНТУВАННЯМИ ЩОДО ПРИЙНЯТТЯ АБО ВІДХИЛЕННЯ</w:t>
            </w:r>
          </w:p>
        </w:tc>
      </w:tr>
      <w:tr w:rsidR="00C364E7" w:rsidRPr="00C364E7" w:rsidTr="0017439F">
        <w:tc>
          <w:tcPr>
            <w:tcW w:w="709" w:type="dxa"/>
            <w:shd w:val="clear" w:color="auto" w:fill="auto"/>
            <w:tcMar>
              <w:top w:w="100" w:type="dxa"/>
              <w:left w:w="100" w:type="dxa"/>
              <w:bottom w:w="100" w:type="dxa"/>
              <w:right w:w="100" w:type="dxa"/>
            </w:tcMar>
            <w:vAlign w:val="center"/>
          </w:tcPr>
          <w:p w:rsidR="009156C2" w:rsidRPr="00C364E7" w:rsidRDefault="009156C2" w:rsidP="00BD6495">
            <w:pPr>
              <w:tabs>
                <w:tab w:val="left" w:pos="6946"/>
                <w:tab w:val="left" w:pos="7088"/>
              </w:tabs>
              <w:spacing w:before="120" w:after="120"/>
              <w:ind w:left="142" w:right="170"/>
              <w:jc w:val="center"/>
              <w:rPr>
                <w:rStyle w:val="st42"/>
                <w:rFonts w:ascii="Times New Roman" w:hAnsi="Times New Roman" w:cs="Times New Roman"/>
                <w:b/>
                <w:color w:val="auto"/>
                <w:sz w:val="20"/>
              </w:rPr>
            </w:pPr>
          </w:p>
        </w:tc>
        <w:tc>
          <w:tcPr>
            <w:tcW w:w="2836" w:type="dxa"/>
            <w:shd w:val="clear" w:color="auto" w:fill="auto"/>
            <w:tcMar>
              <w:top w:w="100" w:type="dxa"/>
              <w:left w:w="100" w:type="dxa"/>
              <w:bottom w:w="100" w:type="dxa"/>
              <w:right w:w="100" w:type="dxa"/>
            </w:tcMar>
            <w:vAlign w:val="center"/>
          </w:tcPr>
          <w:p w:rsidR="009156C2" w:rsidRPr="00C364E7" w:rsidRDefault="009156C2" w:rsidP="00BD6495">
            <w:pPr>
              <w:pStyle w:val="TableParagraph"/>
              <w:tabs>
                <w:tab w:val="left" w:pos="3119"/>
                <w:tab w:val="left" w:pos="3261"/>
                <w:tab w:val="left" w:pos="6946"/>
                <w:tab w:val="left" w:pos="7088"/>
              </w:tabs>
              <w:spacing w:before="120" w:after="120"/>
              <w:ind w:left="42" w:right="170" w:firstLine="284"/>
              <w:jc w:val="center"/>
              <w:rPr>
                <w:b/>
                <w:i/>
                <w:sz w:val="24"/>
                <w:szCs w:val="24"/>
                <w:lang w:val="uk-UA" w:eastAsia="uk-UA"/>
              </w:rPr>
            </w:pPr>
            <w:r w:rsidRPr="00C364E7">
              <w:rPr>
                <w:b/>
                <w:i/>
                <w:sz w:val="24"/>
                <w:szCs w:val="24"/>
                <w:lang w:val="uk-UA" w:eastAsia="uk-UA"/>
              </w:rPr>
              <w:t xml:space="preserve">Відсутній в </w:t>
            </w:r>
            <w:proofErr w:type="spellStart"/>
            <w:r w:rsidRPr="00C364E7">
              <w:rPr>
                <w:b/>
                <w:i/>
                <w:sz w:val="24"/>
                <w:szCs w:val="24"/>
                <w:lang w:val="uk-UA" w:eastAsia="uk-UA"/>
              </w:rPr>
              <w:t>проєкті</w:t>
            </w:r>
            <w:proofErr w:type="spellEnd"/>
            <w:r w:rsidRPr="00C364E7">
              <w:rPr>
                <w:b/>
                <w:i/>
                <w:sz w:val="24"/>
                <w:szCs w:val="24"/>
                <w:lang w:val="uk-UA" w:eastAsia="uk-UA"/>
              </w:rPr>
              <w:t xml:space="preserve"> змін</w:t>
            </w:r>
          </w:p>
        </w:tc>
        <w:tc>
          <w:tcPr>
            <w:tcW w:w="5244" w:type="dxa"/>
          </w:tcPr>
          <w:p w:rsidR="00C364E7" w:rsidRPr="00C364E7" w:rsidRDefault="00C364E7" w:rsidP="009156C2">
            <w:pPr>
              <w:pStyle w:val="TableParagraph"/>
              <w:tabs>
                <w:tab w:val="left" w:pos="3119"/>
                <w:tab w:val="left" w:pos="3261"/>
                <w:tab w:val="left" w:pos="6946"/>
                <w:tab w:val="left" w:pos="7088"/>
              </w:tabs>
              <w:spacing w:after="120"/>
              <w:ind w:left="0" w:right="42" w:firstLine="474"/>
              <w:jc w:val="both"/>
              <w:rPr>
                <w:b/>
                <w:szCs w:val="24"/>
                <w:u w:val="single"/>
                <w:lang w:val="uk-UA"/>
              </w:rPr>
            </w:pPr>
            <w:r w:rsidRPr="00C364E7">
              <w:rPr>
                <w:b/>
                <w:szCs w:val="24"/>
                <w:u w:val="single"/>
                <w:lang w:val="uk-UA"/>
              </w:rPr>
              <w:t>АТ «ДТЕК ДНІПРОВСЬКІ ЕЛЕКТРОМЕРЕЖІ»</w:t>
            </w:r>
          </w:p>
          <w:p w:rsidR="009156C2" w:rsidRPr="00C364E7" w:rsidRDefault="009156C2" w:rsidP="009156C2">
            <w:pPr>
              <w:pStyle w:val="TableParagraph"/>
              <w:tabs>
                <w:tab w:val="left" w:pos="3119"/>
                <w:tab w:val="left" w:pos="3261"/>
                <w:tab w:val="left" w:pos="6946"/>
                <w:tab w:val="left" w:pos="7088"/>
              </w:tabs>
              <w:spacing w:after="120"/>
              <w:ind w:left="0" w:right="42" w:firstLine="474"/>
              <w:jc w:val="both"/>
              <w:rPr>
                <w:b/>
                <w:szCs w:val="24"/>
                <w:lang w:val="uk-UA"/>
              </w:rPr>
            </w:pPr>
            <w:r w:rsidRPr="00C364E7">
              <w:rPr>
                <w:szCs w:val="24"/>
                <w:lang w:val="uk-UA"/>
              </w:rPr>
              <w:t xml:space="preserve">1.3. Ставки плати за стандартне приєднання та ставки плати за нестандартне приєднання потужності щорічно розраховуються, затверджуються та оприлюднюються НКРЕКП на своєму офіційному </w:t>
            </w:r>
            <w:proofErr w:type="spellStart"/>
            <w:r w:rsidRPr="00C364E7">
              <w:rPr>
                <w:szCs w:val="24"/>
                <w:lang w:val="uk-UA"/>
              </w:rPr>
              <w:t>вебсайті</w:t>
            </w:r>
            <w:proofErr w:type="spellEnd"/>
            <w:r w:rsidRPr="00C364E7">
              <w:rPr>
                <w:szCs w:val="24"/>
                <w:lang w:val="uk-UA"/>
              </w:rPr>
              <w:t xml:space="preserve"> до початку розрахункового періоду. </w:t>
            </w:r>
            <w:r w:rsidRPr="00C364E7">
              <w:rPr>
                <w:b/>
                <w:szCs w:val="24"/>
                <w:lang w:val="uk-UA"/>
              </w:rPr>
              <w:t>У разі суттєвого (більше 5%) відхилення прогнозного індексу зміни цін виробників промислової продукції від фактичного (за 1 півріччя) індексу зміни цін виробників промислової продукції за розрахунковий період, НКРЕКП здійснює відповідні перерахунки ставок плати за стандартне приєднання та ставки плати за нестандартне приєднання потужності  розрахунковий період.</w:t>
            </w:r>
          </w:p>
          <w:p w:rsidR="009156C2" w:rsidRPr="00C364E7" w:rsidRDefault="009156C2" w:rsidP="009156C2">
            <w:pPr>
              <w:pStyle w:val="TableParagraph"/>
              <w:tabs>
                <w:tab w:val="left" w:pos="3119"/>
                <w:tab w:val="left" w:pos="3261"/>
                <w:tab w:val="left" w:pos="6946"/>
                <w:tab w:val="left" w:pos="7088"/>
              </w:tabs>
              <w:spacing w:before="120" w:after="120"/>
              <w:ind w:left="0" w:right="42" w:firstLine="474"/>
              <w:jc w:val="both"/>
              <w:rPr>
                <w:szCs w:val="24"/>
                <w:lang w:val="uk-UA"/>
              </w:rPr>
            </w:pPr>
            <w:r w:rsidRPr="00C364E7">
              <w:rPr>
                <w:szCs w:val="24"/>
                <w:lang w:val="uk-UA"/>
              </w:rPr>
              <w:t>Ставки плати за лінійну частину приєднання розраховуються та затверджуються НКРЕКП для всіх операторів систем розподілу відповідно до цієї Методики з урахуванням укрупнених показників вартості будівництва електричних мереж, затверджених центральним органом виконавчої влади, що забезпечує формування та реалізацію державної політики в електроенергетичному комплексі.</w:t>
            </w:r>
          </w:p>
          <w:p w:rsidR="009156C2" w:rsidRPr="00C364E7" w:rsidRDefault="009156C2" w:rsidP="009156C2">
            <w:pPr>
              <w:pStyle w:val="TableParagraph"/>
              <w:tabs>
                <w:tab w:val="left" w:pos="3119"/>
                <w:tab w:val="left" w:pos="3261"/>
                <w:tab w:val="left" w:pos="6946"/>
                <w:tab w:val="left" w:pos="7088"/>
              </w:tabs>
              <w:spacing w:before="120" w:after="120"/>
              <w:ind w:left="0" w:right="42" w:firstLine="474"/>
              <w:jc w:val="both"/>
              <w:rPr>
                <w:b/>
                <w:i/>
                <w:sz w:val="24"/>
                <w:szCs w:val="24"/>
                <w:lang w:val="uk-UA"/>
              </w:rPr>
            </w:pPr>
            <w:r w:rsidRPr="00C364E7">
              <w:rPr>
                <w:szCs w:val="24"/>
                <w:lang w:val="uk-UA"/>
              </w:rPr>
              <w:t xml:space="preserve">Ставки плати за нестандартне приєднання </w:t>
            </w:r>
            <w:r w:rsidRPr="00C364E7">
              <w:rPr>
                <w:szCs w:val="24"/>
                <w:lang w:val="uk-UA"/>
              </w:rPr>
              <w:lastRenderedPageBreak/>
              <w:t>потужності застосовуються для територіальної одиниці оператора системи розподілу, де розташований об'єкт замовника.</w:t>
            </w:r>
          </w:p>
        </w:tc>
        <w:tc>
          <w:tcPr>
            <w:tcW w:w="3686" w:type="dxa"/>
          </w:tcPr>
          <w:p w:rsidR="009156C2" w:rsidRPr="00C364E7" w:rsidRDefault="009156C2" w:rsidP="009156C2">
            <w:pPr>
              <w:pStyle w:val="TableParagraph"/>
              <w:tabs>
                <w:tab w:val="left" w:pos="3119"/>
                <w:tab w:val="left" w:pos="3261"/>
                <w:tab w:val="left" w:pos="6946"/>
                <w:tab w:val="left" w:pos="7088"/>
              </w:tabs>
              <w:spacing w:before="120" w:after="120"/>
              <w:ind w:left="42" w:right="41"/>
              <w:jc w:val="both"/>
              <w:rPr>
                <w:sz w:val="24"/>
                <w:szCs w:val="24"/>
                <w:lang w:val="uk-UA"/>
              </w:rPr>
            </w:pPr>
            <w:r w:rsidRPr="00C364E7">
              <w:rPr>
                <w:sz w:val="24"/>
                <w:szCs w:val="24"/>
                <w:lang w:val="uk-UA"/>
              </w:rPr>
              <w:lastRenderedPageBreak/>
              <w:t xml:space="preserve">Пропонуємо </w:t>
            </w:r>
            <w:proofErr w:type="spellStart"/>
            <w:r w:rsidRPr="00C364E7">
              <w:rPr>
                <w:sz w:val="24"/>
                <w:szCs w:val="24"/>
                <w:lang w:val="uk-UA"/>
              </w:rPr>
              <w:t>внести</w:t>
            </w:r>
            <w:proofErr w:type="spellEnd"/>
            <w:r w:rsidRPr="00C364E7">
              <w:rPr>
                <w:sz w:val="24"/>
                <w:szCs w:val="24"/>
                <w:lang w:val="uk-UA"/>
              </w:rPr>
              <w:t xml:space="preserve"> додаткові зміни до методики щодо врахування фактичних індексів зміни цін виробників промислової п</w:t>
            </w:r>
            <w:bookmarkStart w:id="0" w:name="_GoBack"/>
            <w:bookmarkEnd w:id="0"/>
            <w:r w:rsidRPr="00C364E7">
              <w:rPr>
                <w:sz w:val="24"/>
                <w:szCs w:val="24"/>
                <w:lang w:val="uk-UA"/>
              </w:rPr>
              <w:t xml:space="preserve">родукції. В зв’язку з агресією </w:t>
            </w:r>
            <w:proofErr w:type="spellStart"/>
            <w:r w:rsidRPr="00C364E7">
              <w:rPr>
                <w:sz w:val="24"/>
                <w:szCs w:val="24"/>
                <w:lang w:val="uk-UA"/>
              </w:rPr>
              <w:t>росі</w:t>
            </w:r>
            <w:r w:rsidR="00DE6C50">
              <w:rPr>
                <w:sz w:val="24"/>
                <w:szCs w:val="24"/>
                <w:lang w:val="uk-UA"/>
              </w:rPr>
              <w:t>ї</w:t>
            </w:r>
            <w:proofErr w:type="spellEnd"/>
            <w:r w:rsidRPr="00C364E7">
              <w:rPr>
                <w:sz w:val="24"/>
                <w:szCs w:val="24"/>
                <w:lang w:val="uk-UA"/>
              </w:rPr>
              <w:t>, у 2022р за 8 місяців фактичний  індекс зміни цін виробників промислової продукції склав 23,8%, при цьому прогнозний індекс при затверджені ставок складав лише 6%.</w:t>
            </w:r>
          </w:p>
        </w:tc>
        <w:tc>
          <w:tcPr>
            <w:tcW w:w="3402" w:type="dxa"/>
          </w:tcPr>
          <w:p w:rsidR="009156C2" w:rsidRPr="006E648E" w:rsidRDefault="006E648E" w:rsidP="001B568F">
            <w:pPr>
              <w:pStyle w:val="TableParagraph"/>
              <w:spacing w:before="120" w:after="120"/>
              <w:ind w:left="0" w:firstLine="142"/>
              <w:jc w:val="both"/>
              <w:rPr>
                <w:b/>
                <w:sz w:val="24"/>
                <w:szCs w:val="24"/>
                <w:lang w:val="uk-UA"/>
              </w:rPr>
            </w:pPr>
            <w:r w:rsidRPr="001B568F">
              <w:rPr>
                <w:b/>
                <w:szCs w:val="24"/>
                <w:lang w:val="uk-UA"/>
              </w:rPr>
              <w:t>Пропонується не враховувати</w:t>
            </w:r>
          </w:p>
        </w:tc>
      </w:tr>
      <w:tr w:rsidR="00C364E7" w:rsidRPr="00C364E7" w:rsidTr="0017439F">
        <w:tc>
          <w:tcPr>
            <w:tcW w:w="709" w:type="dxa"/>
            <w:shd w:val="clear" w:color="auto" w:fill="auto"/>
            <w:tcMar>
              <w:top w:w="100" w:type="dxa"/>
              <w:left w:w="100" w:type="dxa"/>
              <w:bottom w:w="100" w:type="dxa"/>
              <w:right w:w="100" w:type="dxa"/>
            </w:tcMar>
            <w:vAlign w:val="center"/>
          </w:tcPr>
          <w:p w:rsidR="009156C2" w:rsidRPr="00C364E7" w:rsidRDefault="009156C2" w:rsidP="009156C2">
            <w:pPr>
              <w:tabs>
                <w:tab w:val="left" w:pos="6946"/>
                <w:tab w:val="left" w:pos="7088"/>
              </w:tabs>
              <w:spacing w:before="120" w:after="120"/>
              <w:ind w:left="142" w:right="170"/>
              <w:jc w:val="center"/>
              <w:rPr>
                <w:rStyle w:val="st42"/>
                <w:rFonts w:ascii="Times New Roman" w:hAnsi="Times New Roman" w:cs="Times New Roman"/>
                <w:b/>
                <w:color w:val="auto"/>
                <w:sz w:val="20"/>
              </w:rPr>
            </w:pPr>
          </w:p>
        </w:tc>
        <w:tc>
          <w:tcPr>
            <w:tcW w:w="2836" w:type="dxa"/>
            <w:shd w:val="clear" w:color="auto" w:fill="auto"/>
            <w:tcMar>
              <w:top w:w="100" w:type="dxa"/>
              <w:left w:w="100" w:type="dxa"/>
              <w:bottom w:w="100" w:type="dxa"/>
              <w:right w:w="100" w:type="dxa"/>
            </w:tcMar>
            <w:vAlign w:val="center"/>
          </w:tcPr>
          <w:p w:rsidR="009156C2" w:rsidRPr="00C364E7" w:rsidRDefault="009156C2" w:rsidP="009156C2">
            <w:pPr>
              <w:pStyle w:val="TableParagraph"/>
              <w:tabs>
                <w:tab w:val="left" w:pos="3119"/>
                <w:tab w:val="left" w:pos="3261"/>
                <w:tab w:val="left" w:pos="6946"/>
                <w:tab w:val="left" w:pos="7088"/>
              </w:tabs>
              <w:spacing w:before="120" w:after="120"/>
              <w:ind w:left="42" w:right="170" w:firstLine="284"/>
              <w:jc w:val="center"/>
              <w:rPr>
                <w:b/>
                <w:i/>
                <w:sz w:val="24"/>
                <w:szCs w:val="24"/>
                <w:lang w:val="uk-UA" w:eastAsia="uk-UA"/>
              </w:rPr>
            </w:pPr>
            <w:r w:rsidRPr="00C364E7">
              <w:rPr>
                <w:b/>
                <w:i/>
                <w:sz w:val="24"/>
                <w:szCs w:val="24"/>
                <w:lang w:val="uk-UA" w:eastAsia="uk-UA"/>
              </w:rPr>
              <w:t xml:space="preserve">Відсутній в </w:t>
            </w:r>
            <w:proofErr w:type="spellStart"/>
            <w:r w:rsidRPr="00C364E7">
              <w:rPr>
                <w:b/>
                <w:i/>
                <w:sz w:val="24"/>
                <w:szCs w:val="24"/>
                <w:lang w:val="uk-UA" w:eastAsia="uk-UA"/>
              </w:rPr>
              <w:t>проєкті</w:t>
            </w:r>
            <w:proofErr w:type="spellEnd"/>
            <w:r w:rsidRPr="00C364E7">
              <w:rPr>
                <w:b/>
                <w:i/>
                <w:sz w:val="24"/>
                <w:szCs w:val="24"/>
                <w:lang w:val="uk-UA" w:eastAsia="uk-UA"/>
              </w:rPr>
              <w:t xml:space="preserve"> змін</w:t>
            </w:r>
          </w:p>
        </w:tc>
        <w:tc>
          <w:tcPr>
            <w:tcW w:w="5244" w:type="dxa"/>
          </w:tcPr>
          <w:p w:rsidR="00C364E7" w:rsidRPr="00C364E7" w:rsidRDefault="00C364E7" w:rsidP="00C364E7">
            <w:pPr>
              <w:pStyle w:val="TableParagraph"/>
              <w:tabs>
                <w:tab w:val="left" w:pos="3119"/>
                <w:tab w:val="left" w:pos="3261"/>
                <w:tab w:val="left" w:pos="6946"/>
                <w:tab w:val="left" w:pos="7088"/>
              </w:tabs>
              <w:spacing w:after="120"/>
              <w:ind w:left="0" w:right="42" w:firstLine="474"/>
              <w:jc w:val="both"/>
              <w:rPr>
                <w:b/>
                <w:szCs w:val="24"/>
                <w:u w:val="single"/>
                <w:lang w:val="uk-UA"/>
              </w:rPr>
            </w:pPr>
            <w:r w:rsidRPr="00C364E7">
              <w:rPr>
                <w:b/>
                <w:szCs w:val="24"/>
                <w:u w:val="single"/>
                <w:lang w:val="uk-UA"/>
              </w:rPr>
              <w:t>АТ «ДТЕК ДНІПРОВСЬКІ ЕЛЕКТРОМЕРЕЖІ»</w:t>
            </w:r>
          </w:p>
          <w:p w:rsidR="009156C2" w:rsidRPr="00C364E7" w:rsidRDefault="009156C2" w:rsidP="009156C2">
            <w:pPr>
              <w:pStyle w:val="rvps2"/>
              <w:shd w:val="clear" w:color="auto" w:fill="FFFFFF"/>
              <w:spacing w:before="0" w:beforeAutospacing="0" w:after="0" w:afterAutospacing="0"/>
              <w:ind w:firstLine="450"/>
              <w:contextualSpacing/>
              <w:jc w:val="both"/>
              <w:rPr>
                <w:rFonts w:eastAsia="Cambria"/>
                <w:sz w:val="22"/>
                <w:szCs w:val="22"/>
              </w:rPr>
            </w:pPr>
            <w:r w:rsidRPr="00C364E7">
              <w:rPr>
                <w:rFonts w:eastAsia="Cambria"/>
                <w:sz w:val="22"/>
                <w:szCs w:val="22"/>
              </w:rPr>
              <w:t xml:space="preserve">3.2. Ставки плати за стандартне приєднання </w:t>
            </w:r>
            <w:proofErr w:type="spellStart"/>
            <w:r w:rsidRPr="00C364E7">
              <w:rPr>
                <w:rFonts w:eastAsia="Cambria"/>
                <w:sz w:val="22"/>
                <w:szCs w:val="22"/>
              </w:rPr>
              <w:t>C</w:t>
            </w:r>
            <w:r w:rsidRPr="00C364E7">
              <w:rPr>
                <w:rStyle w:val="rvts40"/>
                <w:rFonts w:eastAsia="Cambria"/>
                <w:b/>
                <w:bCs/>
                <w:sz w:val="22"/>
                <w:szCs w:val="22"/>
                <w:vertAlign w:val="subscript"/>
              </w:rPr>
              <w:t>ст</w:t>
            </w:r>
            <w:r w:rsidRPr="00C364E7">
              <w:rPr>
                <w:rStyle w:val="rvts37"/>
                <w:rFonts w:eastAsia="Cambria"/>
                <w:b/>
                <w:bCs/>
                <w:sz w:val="22"/>
                <w:szCs w:val="22"/>
                <w:vertAlign w:val="superscript"/>
              </w:rPr>
              <w:t>к.н.ф.місц</w:t>
            </w:r>
            <w:proofErr w:type="spellEnd"/>
            <w:r w:rsidRPr="00C364E7">
              <w:rPr>
                <w:rFonts w:eastAsia="Cambria"/>
                <w:sz w:val="22"/>
                <w:szCs w:val="22"/>
              </w:rPr>
              <w:t> встановлюються НКРЕКП на розрахунковий період та розраховуються за формулою</w:t>
            </w:r>
          </w:p>
          <w:tbl>
            <w:tblPr>
              <w:tblW w:w="5000" w:type="pct"/>
              <w:tblBorders>
                <w:top w:val="outset" w:sz="2" w:space="0" w:color="auto"/>
                <w:left w:val="outset" w:sz="2" w:space="0" w:color="auto"/>
                <w:bottom w:val="outset" w:sz="2" w:space="0" w:color="auto"/>
                <w:right w:val="outset" w:sz="2" w:space="0" w:color="auto"/>
              </w:tblBorders>
              <w:tblLayout w:type="fixed"/>
              <w:tblCellMar>
                <w:top w:w="10" w:type="dxa"/>
                <w:left w:w="10" w:type="dxa"/>
                <w:bottom w:w="10" w:type="dxa"/>
                <w:right w:w="10" w:type="dxa"/>
              </w:tblCellMar>
              <w:tblLook w:val="04A0" w:firstRow="1" w:lastRow="0" w:firstColumn="1" w:lastColumn="0" w:noHBand="0" w:noVBand="1"/>
            </w:tblPr>
            <w:tblGrid>
              <w:gridCol w:w="306"/>
              <w:gridCol w:w="680"/>
              <w:gridCol w:w="40"/>
              <w:gridCol w:w="3705"/>
              <w:gridCol w:w="313"/>
            </w:tblGrid>
            <w:tr w:rsidR="00C364E7" w:rsidRPr="00C364E7" w:rsidTr="00BD6495">
              <w:tc>
                <w:tcPr>
                  <w:tcW w:w="8775" w:type="dxa"/>
                  <w:gridSpan w:val="4"/>
                  <w:tcBorders>
                    <w:top w:val="nil"/>
                    <w:left w:val="nil"/>
                    <w:bottom w:val="nil"/>
                    <w:right w:val="nil"/>
                  </w:tcBorders>
                  <w:hideMark/>
                </w:tcPr>
                <w:p w:rsidR="009156C2" w:rsidRPr="00C364E7" w:rsidRDefault="009156C2" w:rsidP="009156C2">
                  <w:pPr>
                    <w:pStyle w:val="rvps12"/>
                    <w:spacing w:before="0" w:beforeAutospacing="0" w:after="0" w:afterAutospacing="0"/>
                    <w:contextualSpacing/>
                    <w:jc w:val="center"/>
                    <w:rPr>
                      <w:sz w:val="22"/>
                      <w:szCs w:val="22"/>
                    </w:rPr>
                  </w:pPr>
                  <w:hyperlink r:id="rId4" w:history="1">
                    <w:r w:rsidRPr="00C364E7">
                      <w:rPr>
                        <w:noProof/>
                        <w:sz w:val="22"/>
                        <w:szCs w:val="22"/>
                      </w:rPr>
                      <w:pict w14:anchorId="11694C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37" type="#_x0000_t75" style="width:308.25pt;height:28.5pt;visibility:visible" o:button="t">
                          <v:fill o:detectmouseclick="t"/>
                          <v:imagedata r:id="rId5" o:title=""/>
                        </v:shape>
                      </w:pict>
                    </w:r>
                  </w:hyperlink>
                </w:p>
              </w:tc>
              <w:tc>
                <w:tcPr>
                  <w:tcW w:w="120" w:type="dxa"/>
                  <w:tcBorders>
                    <w:top w:val="nil"/>
                    <w:left w:val="nil"/>
                    <w:bottom w:val="nil"/>
                    <w:right w:val="nil"/>
                  </w:tcBorders>
                  <w:hideMark/>
                </w:tcPr>
                <w:p w:rsidR="009156C2" w:rsidRPr="00C364E7" w:rsidRDefault="009156C2" w:rsidP="009156C2">
                  <w:pPr>
                    <w:pStyle w:val="rvps11"/>
                    <w:spacing w:before="0" w:beforeAutospacing="0" w:after="0" w:afterAutospacing="0"/>
                    <w:contextualSpacing/>
                    <w:jc w:val="right"/>
                    <w:rPr>
                      <w:sz w:val="22"/>
                      <w:szCs w:val="22"/>
                    </w:rPr>
                  </w:pPr>
                  <w:r w:rsidRPr="00C364E7">
                    <w:rPr>
                      <w:sz w:val="22"/>
                      <w:szCs w:val="22"/>
                    </w:rPr>
                    <w:t>(2)</w:t>
                  </w:r>
                </w:p>
              </w:tc>
            </w:tr>
            <w:tr w:rsidR="00C364E7" w:rsidRPr="00C364E7" w:rsidTr="00BD6495">
              <w:tc>
                <w:tcPr>
                  <w:tcW w:w="540"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rPr>
                      <w:sz w:val="22"/>
                      <w:szCs w:val="22"/>
                    </w:rPr>
                  </w:pPr>
                  <w:r w:rsidRPr="00C364E7">
                    <w:rPr>
                      <w:sz w:val="22"/>
                      <w:szCs w:val="22"/>
                    </w:rPr>
                    <w:t>де</w:t>
                  </w:r>
                </w:p>
              </w:tc>
              <w:tc>
                <w:tcPr>
                  <w:tcW w:w="1245"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rPr>
                      <w:sz w:val="22"/>
                      <w:szCs w:val="22"/>
                    </w:rPr>
                  </w:pPr>
                  <w:hyperlink r:id="rId6" w:history="1">
                    <w:r w:rsidRPr="00C364E7">
                      <w:rPr>
                        <w:noProof/>
                        <w:sz w:val="22"/>
                        <w:szCs w:val="22"/>
                      </w:rPr>
                      <w:pict w14:anchorId="0FAF8A2D">
                        <v:shape id="_x0000_i1738" type="#_x0000_t75" style="width:48pt;height:19.5pt;visibility:visible" o:button="t">
                          <v:fill o:detectmouseclick="t"/>
                          <v:imagedata r:id="rId7" o:title=""/>
                        </v:shape>
                      </w:pict>
                    </w:r>
                  </w:hyperlink>
                </w:p>
              </w:tc>
              <w:tc>
                <w:tcPr>
                  <w:tcW w:w="15" w:type="dxa"/>
                  <w:tcBorders>
                    <w:top w:val="nil"/>
                    <w:left w:val="nil"/>
                    <w:bottom w:val="nil"/>
                    <w:right w:val="nil"/>
                  </w:tcBorders>
                  <w:hideMark/>
                </w:tcPr>
                <w:p w:rsidR="009156C2" w:rsidRPr="00C364E7" w:rsidRDefault="009156C2" w:rsidP="009156C2">
                  <w:pPr>
                    <w:pStyle w:val="rvps12"/>
                    <w:spacing w:before="0" w:beforeAutospacing="0" w:after="0" w:afterAutospacing="0"/>
                    <w:contextualSpacing/>
                    <w:jc w:val="center"/>
                    <w:rPr>
                      <w:sz w:val="22"/>
                      <w:szCs w:val="22"/>
                    </w:rPr>
                  </w:pPr>
                  <w:r w:rsidRPr="00C364E7">
                    <w:rPr>
                      <w:sz w:val="22"/>
                      <w:szCs w:val="22"/>
                    </w:rPr>
                    <w:t>-</w:t>
                  </w:r>
                </w:p>
              </w:tc>
              <w:tc>
                <w:tcPr>
                  <w:tcW w:w="7530" w:type="dxa"/>
                  <w:gridSpan w:val="2"/>
                  <w:tcBorders>
                    <w:top w:val="nil"/>
                    <w:left w:val="nil"/>
                    <w:bottom w:val="nil"/>
                    <w:right w:val="nil"/>
                  </w:tcBorders>
                  <w:hideMark/>
                </w:tcPr>
                <w:p w:rsidR="009156C2" w:rsidRPr="00C364E7" w:rsidRDefault="009156C2" w:rsidP="009156C2">
                  <w:pPr>
                    <w:pStyle w:val="rvps14"/>
                    <w:spacing w:before="0" w:beforeAutospacing="0" w:after="0" w:afterAutospacing="0"/>
                    <w:contextualSpacing/>
                    <w:rPr>
                      <w:sz w:val="22"/>
                      <w:szCs w:val="22"/>
                    </w:rPr>
                  </w:pPr>
                  <w:r w:rsidRPr="00C364E7">
                    <w:rPr>
                      <w:sz w:val="22"/>
                      <w:szCs w:val="22"/>
                    </w:rPr>
                    <w:t>питома вартість приєднання 1 кВт потужності електроустановок замовника, яка розраховується за формулою</w:t>
                  </w:r>
                </w:p>
              </w:tc>
            </w:tr>
          </w:tbl>
          <w:p w:rsidR="009156C2" w:rsidRPr="00C364E7" w:rsidRDefault="009156C2" w:rsidP="009156C2">
            <w:pPr>
              <w:shd w:val="clear" w:color="auto" w:fill="FFFFFF"/>
              <w:contextualSpacing/>
              <w:rPr>
                <w:rFonts w:ascii="Times New Roman" w:eastAsia="Cambria" w:hAnsi="Times New Roman" w:cs="Times New Roman"/>
                <w:vanish/>
              </w:rPr>
            </w:pPr>
          </w:p>
          <w:tbl>
            <w:tblPr>
              <w:tblW w:w="5000" w:type="pct"/>
              <w:tblLayout w:type="fixed"/>
              <w:tblCellMar>
                <w:left w:w="0" w:type="dxa"/>
                <w:right w:w="0" w:type="dxa"/>
              </w:tblCellMar>
              <w:tblLook w:val="04A0" w:firstRow="1" w:lastRow="0" w:firstColumn="1" w:lastColumn="0" w:noHBand="0" w:noVBand="1"/>
            </w:tblPr>
            <w:tblGrid>
              <w:gridCol w:w="4715"/>
              <w:gridCol w:w="323"/>
            </w:tblGrid>
            <w:tr w:rsidR="00C364E7" w:rsidRPr="00C364E7" w:rsidTr="00BD6495">
              <w:tc>
                <w:tcPr>
                  <w:tcW w:w="8835" w:type="dxa"/>
                  <w:tcBorders>
                    <w:top w:val="single" w:sz="2" w:space="0" w:color="auto"/>
                    <w:left w:val="single" w:sz="2" w:space="0" w:color="auto"/>
                    <w:bottom w:val="single" w:sz="2" w:space="0" w:color="auto"/>
                    <w:right w:val="single" w:sz="2" w:space="0" w:color="auto"/>
                  </w:tcBorders>
                  <w:hideMark/>
                </w:tcPr>
                <w:p w:rsidR="009156C2" w:rsidRPr="00C364E7" w:rsidRDefault="009156C2" w:rsidP="009156C2">
                  <w:pPr>
                    <w:pStyle w:val="rvps12"/>
                    <w:spacing w:before="0" w:beforeAutospacing="0" w:after="0" w:afterAutospacing="0"/>
                    <w:contextualSpacing/>
                    <w:jc w:val="center"/>
                    <w:rPr>
                      <w:sz w:val="18"/>
                      <w:szCs w:val="22"/>
                    </w:rPr>
                  </w:pPr>
                  <w:hyperlink r:id="rId8" w:history="1">
                    <w:r w:rsidRPr="00C364E7">
                      <w:rPr>
                        <w:noProof/>
                        <w:sz w:val="18"/>
                        <w:szCs w:val="22"/>
                      </w:rPr>
                      <w:pict w14:anchorId="5C54A774">
                        <v:shape id="_x0000_i1739" type="#_x0000_t75" style="width:233.25pt;height:57pt;visibility:visible" o:button="t">
                          <v:fill o:detectmouseclick="t"/>
                          <v:imagedata r:id="rId9" o:title=""/>
                        </v:shape>
                      </w:pict>
                    </w:r>
                  </w:hyperlink>
                </w:p>
              </w:tc>
              <w:tc>
                <w:tcPr>
                  <w:tcW w:w="585" w:type="dxa"/>
                  <w:tcBorders>
                    <w:top w:val="single" w:sz="2" w:space="0" w:color="auto"/>
                    <w:left w:val="single" w:sz="2" w:space="0" w:color="auto"/>
                    <w:bottom w:val="single" w:sz="2" w:space="0" w:color="auto"/>
                    <w:right w:val="single" w:sz="2" w:space="0" w:color="auto"/>
                  </w:tcBorders>
                  <w:hideMark/>
                </w:tcPr>
                <w:p w:rsidR="009156C2" w:rsidRPr="00C364E7" w:rsidRDefault="009156C2" w:rsidP="009156C2">
                  <w:pPr>
                    <w:pStyle w:val="rvps11"/>
                    <w:spacing w:before="0" w:beforeAutospacing="0" w:after="0" w:afterAutospacing="0"/>
                    <w:contextualSpacing/>
                    <w:jc w:val="right"/>
                    <w:rPr>
                      <w:sz w:val="22"/>
                      <w:szCs w:val="22"/>
                    </w:rPr>
                  </w:pPr>
                  <w:r w:rsidRPr="00C364E7">
                    <w:rPr>
                      <w:sz w:val="22"/>
                      <w:szCs w:val="22"/>
                    </w:rPr>
                    <w:t>(3)</w:t>
                  </w:r>
                </w:p>
              </w:tc>
            </w:tr>
          </w:tbl>
          <w:p w:rsidR="009156C2" w:rsidRPr="00C364E7" w:rsidRDefault="009156C2" w:rsidP="009156C2">
            <w:pPr>
              <w:pStyle w:val="rvps2"/>
              <w:spacing w:before="0" w:beforeAutospacing="0" w:after="0" w:afterAutospacing="0"/>
              <w:ind w:firstLine="450"/>
              <w:contextualSpacing/>
              <w:jc w:val="both"/>
              <w:rPr>
                <w:rFonts w:eastAsia="Cambria"/>
                <w:sz w:val="22"/>
                <w:szCs w:val="22"/>
                <w:shd w:val="clear" w:color="auto" w:fill="FFFFFF"/>
              </w:rPr>
            </w:pPr>
          </w:p>
          <w:tbl>
            <w:tblPr>
              <w:tblW w:w="5000" w:type="pct"/>
              <w:tblBorders>
                <w:top w:val="outset" w:sz="2" w:space="0" w:color="auto"/>
                <w:left w:val="outset" w:sz="2" w:space="0" w:color="auto"/>
                <w:bottom w:val="outset" w:sz="2" w:space="0" w:color="auto"/>
                <w:right w:val="outset" w:sz="2" w:space="0" w:color="auto"/>
              </w:tblBorders>
              <w:tblLayout w:type="fixed"/>
              <w:tblCellMar>
                <w:top w:w="10" w:type="dxa"/>
                <w:left w:w="10" w:type="dxa"/>
                <w:bottom w:w="10" w:type="dxa"/>
                <w:right w:w="10" w:type="dxa"/>
              </w:tblCellMar>
              <w:tblLook w:val="04A0" w:firstRow="1" w:lastRow="0" w:firstColumn="1" w:lastColumn="0" w:noHBand="0" w:noVBand="1"/>
            </w:tblPr>
            <w:tblGrid>
              <w:gridCol w:w="244"/>
              <w:gridCol w:w="801"/>
              <w:gridCol w:w="110"/>
              <w:gridCol w:w="2191"/>
              <w:gridCol w:w="1698"/>
            </w:tblGrid>
            <w:tr w:rsidR="00C364E7" w:rsidRPr="00C364E7" w:rsidTr="00BD6495">
              <w:tc>
                <w:tcPr>
                  <w:tcW w:w="366"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r w:rsidRPr="00C364E7">
                    <w:rPr>
                      <w:sz w:val="22"/>
                      <w:szCs w:val="22"/>
                    </w:rPr>
                    <w:t>де</w:t>
                  </w:r>
                </w:p>
              </w:tc>
              <w:tc>
                <w:tcPr>
                  <w:tcW w:w="1250"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hyperlink r:id="rId10" w:history="1">
                    <w:r w:rsidRPr="00C364E7">
                      <w:rPr>
                        <w:noProof/>
                        <w:sz w:val="22"/>
                        <w:szCs w:val="22"/>
                      </w:rPr>
                      <w:pict w14:anchorId="36A8F571">
                        <v:shape id="_x0000_i1740" type="#_x0000_t75" style="width:54pt;height:24pt;visibility:visible" o:button="t">
                          <v:fill o:detectmouseclick="t"/>
                          <v:imagedata r:id="rId11" o:title=""/>
                        </v:shape>
                      </w:pict>
                    </w:r>
                  </w:hyperlink>
                </w:p>
              </w:tc>
              <w:tc>
                <w:tcPr>
                  <w:tcW w:w="151" w:type="dxa"/>
                  <w:tcBorders>
                    <w:top w:val="nil"/>
                    <w:left w:val="nil"/>
                    <w:bottom w:val="nil"/>
                    <w:right w:val="nil"/>
                  </w:tcBorders>
                  <w:hideMark/>
                </w:tcPr>
                <w:p w:rsidR="009156C2" w:rsidRPr="00C364E7" w:rsidRDefault="009156C2" w:rsidP="009156C2">
                  <w:pPr>
                    <w:pStyle w:val="rvps12"/>
                    <w:spacing w:before="0" w:beforeAutospacing="0" w:after="0" w:afterAutospacing="0"/>
                    <w:contextualSpacing/>
                    <w:jc w:val="both"/>
                    <w:rPr>
                      <w:sz w:val="22"/>
                      <w:szCs w:val="22"/>
                    </w:rPr>
                  </w:pPr>
                  <w:r w:rsidRPr="00C364E7">
                    <w:rPr>
                      <w:sz w:val="22"/>
                      <w:szCs w:val="22"/>
                    </w:rPr>
                    <w:t>-</w:t>
                  </w:r>
                </w:p>
              </w:tc>
              <w:tc>
                <w:tcPr>
                  <w:tcW w:w="6159" w:type="dxa"/>
                  <w:gridSpan w:val="2"/>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r w:rsidRPr="00C364E7">
                    <w:rPr>
                      <w:sz w:val="22"/>
                      <w:szCs w:val="22"/>
                    </w:rPr>
                    <w:t>фактичні капітальні витрати (без ПДВ), понесені під час надання послуги за i-те стандартне приєднання (за об'єктами замовників, приєднання яких завершено у базовому періоді) для міської за першим та другим ступенями стандартного приєднання та сільської місцевості за першим та другим ступенями стандартного приєднання, (значення за рядками графи 80 </w:t>
                  </w:r>
                  <w:hyperlink r:id="rId12" w:anchor="n146" w:history="1">
                    <w:r w:rsidRPr="00C364E7">
                      <w:rPr>
                        <w:rStyle w:val="a3"/>
                        <w:color w:val="auto"/>
                        <w:sz w:val="22"/>
                        <w:szCs w:val="22"/>
                      </w:rPr>
                      <w:t>додатка 1</w:t>
                    </w:r>
                  </w:hyperlink>
                  <w:r w:rsidRPr="00C364E7">
                    <w:rPr>
                      <w:sz w:val="22"/>
                      <w:szCs w:val="22"/>
                    </w:rPr>
                    <w:t> до цієї Методики), тис. грн (без ПДВ);</w:t>
                  </w:r>
                </w:p>
              </w:tc>
            </w:tr>
            <w:tr w:rsidR="00C364E7" w:rsidRPr="00C364E7" w:rsidTr="00BD6495">
              <w:tc>
                <w:tcPr>
                  <w:tcW w:w="366"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p>
              </w:tc>
              <w:tc>
                <w:tcPr>
                  <w:tcW w:w="1250"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hyperlink r:id="rId13" w:history="1">
                    <w:r w:rsidRPr="00C364E7">
                      <w:rPr>
                        <w:noProof/>
                        <w:sz w:val="22"/>
                        <w:szCs w:val="22"/>
                      </w:rPr>
                      <w:pict w14:anchorId="0ADCC3E6">
                        <v:shape id="_x0000_i1741" type="#_x0000_t75" style="width:61.5pt;height:22.5pt;visibility:visible" o:button="t">
                          <v:fill o:detectmouseclick="t"/>
                          <v:imagedata r:id="rId14" o:title=""/>
                        </v:shape>
                      </w:pict>
                    </w:r>
                  </w:hyperlink>
                </w:p>
              </w:tc>
              <w:tc>
                <w:tcPr>
                  <w:tcW w:w="151" w:type="dxa"/>
                  <w:tcBorders>
                    <w:top w:val="nil"/>
                    <w:left w:val="nil"/>
                    <w:bottom w:val="nil"/>
                    <w:right w:val="nil"/>
                  </w:tcBorders>
                  <w:hideMark/>
                </w:tcPr>
                <w:p w:rsidR="009156C2" w:rsidRPr="00C364E7" w:rsidRDefault="009156C2" w:rsidP="009156C2">
                  <w:pPr>
                    <w:pStyle w:val="rvps12"/>
                    <w:spacing w:before="0" w:beforeAutospacing="0" w:after="0" w:afterAutospacing="0"/>
                    <w:contextualSpacing/>
                    <w:jc w:val="both"/>
                    <w:rPr>
                      <w:sz w:val="22"/>
                      <w:szCs w:val="22"/>
                    </w:rPr>
                  </w:pPr>
                  <w:r w:rsidRPr="00C364E7">
                    <w:rPr>
                      <w:sz w:val="22"/>
                      <w:szCs w:val="22"/>
                    </w:rPr>
                    <w:t>-</w:t>
                  </w:r>
                </w:p>
              </w:tc>
              <w:tc>
                <w:tcPr>
                  <w:tcW w:w="6159" w:type="dxa"/>
                  <w:gridSpan w:val="2"/>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r w:rsidRPr="00C364E7">
                    <w:rPr>
                      <w:sz w:val="22"/>
                      <w:szCs w:val="22"/>
                    </w:rPr>
                    <w:t xml:space="preserve">фактичні капітальні витрати (без ПДВ), понесені під час надання послуги за i-те стандартне приєднання, за яким здійснювалось улаштування розвантажувальних трансформаторних пунктів, окрім трансформаторних </w:t>
                  </w:r>
                  <w:r w:rsidRPr="00C364E7">
                    <w:rPr>
                      <w:sz w:val="22"/>
                      <w:szCs w:val="22"/>
                    </w:rPr>
                    <w:lastRenderedPageBreak/>
                    <w:t>пунктів, які забезпечують покриття дефіциту потужності виключно для потреб замовника приєднання, для міської місцевості за першим та другим ступенями стандартного приєднання та сільської місцевості за першим та другим ступенями стандартного приєднання (за об'єктами замовників, приєднання яких завершено у базовому періоді), тис. грн (без ПДВ);</w:t>
                  </w:r>
                </w:p>
              </w:tc>
            </w:tr>
            <w:tr w:rsidR="00C364E7" w:rsidRPr="00C364E7" w:rsidTr="00BD6495">
              <w:tc>
                <w:tcPr>
                  <w:tcW w:w="7926" w:type="dxa"/>
                  <w:gridSpan w:val="5"/>
                  <w:tcBorders>
                    <w:top w:val="nil"/>
                    <w:left w:val="nil"/>
                    <w:bottom w:val="nil"/>
                    <w:right w:val="nil"/>
                  </w:tcBorders>
                  <w:hideMark/>
                </w:tcPr>
                <w:p w:rsidR="009156C2" w:rsidRPr="00C364E7" w:rsidRDefault="009156C2" w:rsidP="009156C2">
                  <w:pPr>
                    <w:pStyle w:val="rvps2"/>
                    <w:spacing w:before="0" w:beforeAutospacing="0" w:after="0" w:afterAutospacing="0"/>
                    <w:ind w:firstLine="450"/>
                    <w:contextualSpacing/>
                    <w:jc w:val="both"/>
                    <w:rPr>
                      <w:sz w:val="22"/>
                      <w:szCs w:val="22"/>
                    </w:rPr>
                  </w:pPr>
                </w:p>
              </w:tc>
            </w:tr>
            <w:tr w:rsidR="00C364E7" w:rsidRPr="00C364E7" w:rsidTr="00BD6495">
              <w:tc>
                <w:tcPr>
                  <w:tcW w:w="366"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p>
              </w:tc>
              <w:tc>
                <w:tcPr>
                  <w:tcW w:w="1250"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hyperlink r:id="rId15" w:history="1">
                    <w:r w:rsidRPr="00C364E7">
                      <w:rPr>
                        <w:noProof/>
                        <w:sz w:val="22"/>
                        <w:szCs w:val="22"/>
                      </w:rPr>
                      <w:pict w14:anchorId="52540BD8">
                        <v:shape id="_x0000_i1742" type="#_x0000_t75" style="width:31.5pt;height:19.5pt;visibility:visible" o:button="t">
                          <v:fill o:detectmouseclick="t"/>
                          <v:imagedata r:id="rId16" o:title=""/>
                        </v:shape>
                      </w:pict>
                    </w:r>
                  </w:hyperlink>
                </w:p>
              </w:tc>
              <w:tc>
                <w:tcPr>
                  <w:tcW w:w="151" w:type="dxa"/>
                  <w:tcBorders>
                    <w:top w:val="nil"/>
                    <w:left w:val="nil"/>
                    <w:bottom w:val="nil"/>
                    <w:right w:val="nil"/>
                  </w:tcBorders>
                  <w:hideMark/>
                </w:tcPr>
                <w:p w:rsidR="009156C2" w:rsidRPr="00C364E7" w:rsidRDefault="009156C2" w:rsidP="009156C2">
                  <w:pPr>
                    <w:pStyle w:val="rvps12"/>
                    <w:spacing w:before="0" w:beforeAutospacing="0" w:after="0" w:afterAutospacing="0"/>
                    <w:contextualSpacing/>
                    <w:jc w:val="both"/>
                    <w:rPr>
                      <w:sz w:val="22"/>
                      <w:szCs w:val="22"/>
                    </w:rPr>
                  </w:pPr>
                  <w:r w:rsidRPr="00C364E7">
                    <w:rPr>
                      <w:sz w:val="22"/>
                      <w:szCs w:val="22"/>
                    </w:rPr>
                    <w:t>-</w:t>
                  </w:r>
                </w:p>
              </w:tc>
              <w:tc>
                <w:tcPr>
                  <w:tcW w:w="6159" w:type="dxa"/>
                  <w:gridSpan w:val="2"/>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r w:rsidRPr="00C364E7">
                    <w:rPr>
                      <w:sz w:val="22"/>
                      <w:szCs w:val="22"/>
                    </w:rPr>
                    <w:t>величина замовленої до приєднання потужності i-того стандартного приєднання (за об'єктами замовників, приєднання яких завершено у базовому періоді) для міської та сільської місцевості за першим та другим ступенями стандартного приєднання, (значення відповідних рядків графи 12 </w:t>
                  </w:r>
                  <w:hyperlink r:id="rId17" w:anchor="n146" w:history="1">
                    <w:r w:rsidRPr="00C364E7">
                      <w:rPr>
                        <w:rStyle w:val="a3"/>
                        <w:color w:val="auto"/>
                        <w:sz w:val="22"/>
                        <w:szCs w:val="22"/>
                      </w:rPr>
                      <w:t>додатка 1</w:t>
                    </w:r>
                  </w:hyperlink>
                  <w:r w:rsidRPr="00C364E7">
                    <w:rPr>
                      <w:sz w:val="22"/>
                      <w:szCs w:val="22"/>
                    </w:rPr>
                    <w:t> до цієї Методики) крім приєднань, зазначених у </w:t>
                  </w:r>
                  <w:hyperlink r:id="rId18" w:anchor="n320" w:history="1">
                    <w:r w:rsidRPr="00C364E7">
                      <w:rPr>
                        <w:rStyle w:val="a3"/>
                        <w:color w:val="auto"/>
                        <w:sz w:val="22"/>
                        <w:szCs w:val="22"/>
                      </w:rPr>
                      <w:t>пункті 1.4</w:t>
                    </w:r>
                  </w:hyperlink>
                  <w:r w:rsidRPr="00C364E7">
                    <w:rPr>
                      <w:sz w:val="22"/>
                      <w:szCs w:val="22"/>
                    </w:rPr>
                    <w:t> глави 1 цієї Методики, кВт;</w:t>
                  </w:r>
                </w:p>
              </w:tc>
            </w:tr>
            <w:tr w:rsidR="00C364E7" w:rsidRPr="00C364E7" w:rsidTr="00BD6495">
              <w:tc>
                <w:tcPr>
                  <w:tcW w:w="366"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p>
              </w:tc>
              <w:tc>
                <w:tcPr>
                  <w:tcW w:w="1250"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proofErr w:type="spellStart"/>
                  <w:r w:rsidRPr="00C364E7">
                    <w:rPr>
                      <w:rStyle w:val="rvts9"/>
                      <w:b/>
                      <w:bCs/>
                      <w:sz w:val="22"/>
                      <w:szCs w:val="22"/>
                    </w:rPr>
                    <w:t>К</w:t>
                  </w:r>
                  <w:r w:rsidRPr="00C364E7">
                    <w:rPr>
                      <w:rStyle w:val="rvts40"/>
                      <w:b/>
                      <w:bCs/>
                      <w:sz w:val="22"/>
                      <w:szCs w:val="22"/>
                      <w:vertAlign w:val="subscript"/>
                    </w:rPr>
                    <w:t>к</w:t>
                  </w:r>
                  <w:proofErr w:type="spellEnd"/>
                </w:p>
              </w:tc>
              <w:tc>
                <w:tcPr>
                  <w:tcW w:w="151" w:type="dxa"/>
                  <w:tcBorders>
                    <w:top w:val="nil"/>
                    <w:left w:val="nil"/>
                    <w:bottom w:val="nil"/>
                    <w:right w:val="nil"/>
                  </w:tcBorders>
                  <w:hideMark/>
                </w:tcPr>
                <w:p w:rsidR="009156C2" w:rsidRPr="00C364E7" w:rsidRDefault="009156C2" w:rsidP="009156C2">
                  <w:pPr>
                    <w:pStyle w:val="rvps12"/>
                    <w:spacing w:before="0" w:beforeAutospacing="0" w:after="0" w:afterAutospacing="0"/>
                    <w:contextualSpacing/>
                    <w:jc w:val="both"/>
                    <w:rPr>
                      <w:sz w:val="22"/>
                      <w:szCs w:val="22"/>
                    </w:rPr>
                  </w:pPr>
                  <w:r w:rsidRPr="00C364E7">
                    <w:rPr>
                      <w:sz w:val="22"/>
                      <w:szCs w:val="22"/>
                    </w:rPr>
                    <w:t>-</w:t>
                  </w:r>
                </w:p>
              </w:tc>
              <w:tc>
                <w:tcPr>
                  <w:tcW w:w="6159" w:type="dxa"/>
                  <w:gridSpan w:val="2"/>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r w:rsidRPr="00C364E7">
                    <w:rPr>
                      <w:sz w:val="22"/>
                      <w:szCs w:val="22"/>
                    </w:rPr>
                    <w:t>коефіцієнт категорії надійності електропостачання (</w:t>
                  </w:r>
                  <w:hyperlink r:id="rId19" w:anchor="n152" w:history="1">
                    <w:r w:rsidRPr="00C364E7">
                      <w:rPr>
                        <w:rStyle w:val="a3"/>
                        <w:color w:val="auto"/>
                        <w:sz w:val="22"/>
                        <w:szCs w:val="22"/>
                      </w:rPr>
                      <w:t>додаток 3</w:t>
                    </w:r>
                  </w:hyperlink>
                  <w:r w:rsidRPr="00C364E7">
                    <w:rPr>
                      <w:sz w:val="22"/>
                      <w:szCs w:val="22"/>
                    </w:rPr>
                    <w:t> до цієї Методики);</w:t>
                  </w:r>
                </w:p>
              </w:tc>
            </w:tr>
            <w:tr w:rsidR="00C364E7" w:rsidRPr="00C364E7" w:rsidTr="00BD6495">
              <w:tc>
                <w:tcPr>
                  <w:tcW w:w="7926" w:type="dxa"/>
                  <w:gridSpan w:val="5"/>
                  <w:tcBorders>
                    <w:top w:val="nil"/>
                    <w:left w:val="nil"/>
                    <w:bottom w:val="nil"/>
                    <w:right w:val="nil"/>
                  </w:tcBorders>
                  <w:hideMark/>
                </w:tcPr>
                <w:p w:rsidR="009156C2" w:rsidRPr="00C364E7" w:rsidRDefault="009156C2" w:rsidP="009156C2">
                  <w:pPr>
                    <w:pStyle w:val="rvps2"/>
                    <w:spacing w:before="0" w:beforeAutospacing="0" w:after="0" w:afterAutospacing="0"/>
                    <w:ind w:firstLine="450"/>
                    <w:contextualSpacing/>
                    <w:jc w:val="both"/>
                    <w:rPr>
                      <w:sz w:val="22"/>
                      <w:szCs w:val="22"/>
                    </w:rPr>
                  </w:pPr>
                </w:p>
              </w:tc>
            </w:tr>
            <w:tr w:rsidR="00C364E7" w:rsidRPr="00C364E7" w:rsidTr="00BD6495">
              <w:tc>
                <w:tcPr>
                  <w:tcW w:w="366"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p>
              </w:tc>
              <w:tc>
                <w:tcPr>
                  <w:tcW w:w="1250"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proofErr w:type="spellStart"/>
                  <w:r w:rsidRPr="00C364E7">
                    <w:rPr>
                      <w:rStyle w:val="rvts9"/>
                      <w:b/>
                      <w:bCs/>
                      <w:sz w:val="22"/>
                      <w:szCs w:val="22"/>
                    </w:rPr>
                    <w:t>К</w:t>
                  </w:r>
                  <w:r w:rsidRPr="00C364E7">
                    <w:rPr>
                      <w:rStyle w:val="rvts40"/>
                      <w:b/>
                      <w:bCs/>
                      <w:sz w:val="22"/>
                      <w:szCs w:val="22"/>
                      <w:vertAlign w:val="subscript"/>
                    </w:rPr>
                    <w:t>н</w:t>
                  </w:r>
                  <w:proofErr w:type="spellEnd"/>
                </w:p>
              </w:tc>
              <w:tc>
                <w:tcPr>
                  <w:tcW w:w="151" w:type="dxa"/>
                  <w:tcBorders>
                    <w:top w:val="nil"/>
                    <w:left w:val="nil"/>
                    <w:bottom w:val="nil"/>
                    <w:right w:val="nil"/>
                  </w:tcBorders>
                  <w:hideMark/>
                </w:tcPr>
                <w:p w:rsidR="009156C2" w:rsidRPr="00C364E7" w:rsidRDefault="009156C2" w:rsidP="009156C2">
                  <w:pPr>
                    <w:pStyle w:val="rvps12"/>
                    <w:spacing w:before="0" w:beforeAutospacing="0" w:after="0" w:afterAutospacing="0"/>
                    <w:contextualSpacing/>
                    <w:jc w:val="both"/>
                    <w:rPr>
                      <w:sz w:val="22"/>
                      <w:szCs w:val="22"/>
                    </w:rPr>
                  </w:pPr>
                  <w:r w:rsidRPr="00C364E7">
                    <w:rPr>
                      <w:sz w:val="22"/>
                      <w:szCs w:val="22"/>
                    </w:rPr>
                    <w:t>-</w:t>
                  </w:r>
                </w:p>
              </w:tc>
              <w:tc>
                <w:tcPr>
                  <w:tcW w:w="6159" w:type="dxa"/>
                  <w:gridSpan w:val="2"/>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r w:rsidRPr="00C364E7">
                    <w:rPr>
                      <w:sz w:val="22"/>
                      <w:szCs w:val="22"/>
                    </w:rPr>
                    <w:t>коефіцієнт ступеня напруги в точці приєднання (0,4 (0,23), 6(10)20 кВ) (</w:t>
                  </w:r>
                  <w:hyperlink r:id="rId20" w:anchor="n155" w:history="1">
                    <w:r w:rsidRPr="00C364E7">
                      <w:rPr>
                        <w:rStyle w:val="a3"/>
                        <w:color w:val="auto"/>
                        <w:sz w:val="22"/>
                        <w:szCs w:val="22"/>
                      </w:rPr>
                      <w:t>додаток 4</w:t>
                    </w:r>
                  </w:hyperlink>
                  <w:r w:rsidRPr="00C364E7">
                    <w:rPr>
                      <w:sz w:val="22"/>
                      <w:szCs w:val="22"/>
                    </w:rPr>
                    <w:t> до цієї Методики);</w:t>
                  </w:r>
                </w:p>
              </w:tc>
            </w:tr>
            <w:tr w:rsidR="00C364E7" w:rsidRPr="00C364E7" w:rsidTr="00BD6495">
              <w:tc>
                <w:tcPr>
                  <w:tcW w:w="7926" w:type="dxa"/>
                  <w:gridSpan w:val="5"/>
                  <w:tcBorders>
                    <w:top w:val="nil"/>
                    <w:left w:val="nil"/>
                    <w:bottom w:val="nil"/>
                    <w:right w:val="nil"/>
                  </w:tcBorders>
                  <w:hideMark/>
                </w:tcPr>
                <w:p w:rsidR="009156C2" w:rsidRPr="00C364E7" w:rsidRDefault="009156C2" w:rsidP="009156C2">
                  <w:pPr>
                    <w:pStyle w:val="rvps2"/>
                    <w:spacing w:before="0" w:beforeAutospacing="0" w:after="0" w:afterAutospacing="0"/>
                    <w:ind w:firstLine="450"/>
                    <w:contextualSpacing/>
                    <w:jc w:val="both"/>
                    <w:rPr>
                      <w:sz w:val="22"/>
                      <w:szCs w:val="22"/>
                    </w:rPr>
                  </w:pPr>
                </w:p>
              </w:tc>
            </w:tr>
            <w:tr w:rsidR="00C364E7" w:rsidRPr="00C364E7" w:rsidTr="00BD6495">
              <w:tc>
                <w:tcPr>
                  <w:tcW w:w="366"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p>
              </w:tc>
              <w:tc>
                <w:tcPr>
                  <w:tcW w:w="1250"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proofErr w:type="spellStart"/>
                  <w:r w:rsidRPr="00C364E7">
                    <w:rPr>
                      <w:rStyle w:val="rvts9"/>
                      <w:b/>
                      <w:bCs/>
                      <w:sz w:val="22"/>
                      <w:szCs w:val="22"/>
                    </w:rPr>
                    <w:t>К</w:t>
                  </w:r>
                  <w:r w:rsidRPr="00C364E7">
                    <w:rPr>
                      <w:rStyle w:val="rvts40"/>
                      <w:b/>
                      <w:bCs/>
                      <w:sz w:val="22"/>
                      <w:szCs w:val="22"/>
                      <w:vertAlign w:val="subscript"/>
                    </w:rPr>
                    <w:t>ф</w:t>
                  </w:r>
                  <w:proofErr w:type="spellEnd"/>
                </w:p>
              </w:tc>
              <w:tc>
                <w:tcPr>
                  <w:tcW w:w="151" w:type="dxa"/>
                  <w:tcBorders>
                    <w:top w:val="nil"/>
                    <w:left w:val="nil"/>
                    <w:bottom w:val="nil"/>
                    <w:right w:val="nil"/>
                  </w:tcBorders>
                  <w:hideMark/>
                </w:tcPr>
                <w:p w:rsidR="009156C2" w:rsidRPr="00C364E7" w:rsidRDefault="009156C2" w:rsidP="009156C2">
                  <w:pPr>
                    <w:pStyle w:val="rvps12"/>
                    <w:spacing w:before="0" w:beforeAutospacing="0" w:after="0" w:afterAutospacing="0"/>
                    <w:contextualSpacing/>
                    <w:jc w:val="both"/>
                    <w:rPr>
                      <w:sz w:val="22"/>
                      <w:szCs w:val="22"/>
                    </w:rPr>
                  </w:pPr>
                  <w:r w:rsidRPr="00C364E7">
                    <w:rPr>
                      <w:sz w:val="22"/>
                      <w:szCs w:val="22"/>
                    </w:rPr>
                    <w:t>-</w:t>
                  </w:r>
                </w:p>
              </w:tc>
              <w:tc>
                <w:tcPr>
                  <w:tcW w:w="6159" w:type="dxa"/>
                  <w:gridSpan w:val="2"/>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r w:rsidRPr="00C364E7">
                    <w:rPr>
                      <w:sz w:val="22"/>
                      <w:szCs w:val="22"/>
                    </w:rPr>
                    <w:t>коефіцієнт схеми електрозабезпечення (</w:t>
                  </w:r>
                  <w:hyperlink r:id="rId21" w:anchor="n158" w:history="1">
                    <w:r w:rsidRPr="00C364E7">
                      <w:rPr>
                        <w:rStyle w:val="a3"/>
                        <w:color w:val="auto"/>
                        <w:sz w:val="22"/>
                        <w:szCs w:val="22"/>
                      </w:rPr>
                      <w:t>додаток 5</w:t>
                    </w:r>
                  </w:hyperlink>
                  <w:r w:rsidRPr="00C364E7">
                    <w:rPr>
                      <w:sz w:val="22"/>
                      <w:szCs w:val="22"/>
                    </w:rPr>
                    <w:t> до цієї Методики);</w:t>
                  </w:r>
                </w:p>
              </w:tc>
            </w:tr>
            <w:tr w:rsidR="00C364E7" w:rsidRPr="00C364E7" w:rsidTr="00BD6495">
              <w:tc>
                <w:tcPr>
                  <w:tcW w:w="7926" w:type="dxa"/>
                  <w:gridSpan w:val="5"/>
                  <w:tcBorders>
                    <w:top w:val="nil"/>
                    <w:left w:val="nil"/>
                    <w:bottom w:val="nil"/>
                    <w:right w:val="nil"/>
                  </w:tcBorders>
                  <w:hideMark/>
                </w:tcPr>
                <w:p w:rsidR="009156C2" w:rsidRPr="00C364E7" w:rsidRDefault="009156C2" w:rsidP="009156C2">
                  <w:pPr>
                    <w:pStyle w:val="rvps2"/>
                    <w:spacing w:before="0" w:beforeAutospacing="0" w:after="0" w:afterAutospacing="0"/>
                    <w:contextualSpacing/>
                    <w:jc w:val="both"/>
                    <w:rPr>
                      <w:sz w:val="22"/>
                      <w:szCs w:val="22"/>
                    </w:rPr>
                  </w:pPr>
                </w:p>
              </w:tc>
            </w:tr>
            <w:tr w:rsidR="00C364E7" w:rsidRPr="00C364E7" w:rsidTr="00BD6495">
              <w:tc>
                <w:tcPr>
                  <w:tcW w:w="366"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p>
              </w:tc>
              <w:tc>
                <w:tcPr>
                  <w:tcW w:w="1250"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hyperlink r:id="rId22" w:history="1">
                    <w:r w:rsidRPr="00C364E7">
                      <w:rPr>
                        <w:noProof/>
                        <w:sz w:val="22"/>
                        <w:szCs w:val="22"/>
                      </w:rPr>
                      <w:pict w14:anchorId="7D574DA2">
                        <v:shape id="_x0000_i1743" type="#_x0000_t75" style="width:18pt;height:16.5pt;visibility:visible" o:button="t">
                          <v:fill o:detectmouseclick="t"/>
                          <v:imagedata r:id="rId23" o:title=""/>
                        </v:shape>
                      </w:pict>
                    </w:r>
                  </w:hyperlink>
                </w:p>
              </w:tc>
              <w:tc>
                <w:tcPr>
                  <w:tcW w:w="151" w:type="dxa"/>
                  <w:tcBorders>
                    <w:top w:val="nil"/>
                    <w:left w:val="nil"/>
                    <w:bottom w:val="nil"/>
                    <w:right w:val="nil"/>
                  </w:tcBorders>
                  <w:hideMark/>
                </w:tcPr>
                <w:p w:rsidR="009156C2" w:rsidRPr="00C364E7" w:rsidRDefault="009156C2" w:rsidP="009156C2">
                  <w:pPr>
                    <w:pStyle w:val="rvps12"/>
                    <w:spacing w:before="0" w:beforeAutospacing="0" w:after="0" w:afterAutospacing="0"/>
                    <w:contextualSpacing/>
                    <w:jc w:val="both"/>
                    <w:rPr>
                      <w:sz w:val="22"/>
                      <w:szCs w:val="22"/>
                    </w:rPr>
                  </w:pPr>
                  <w:r w:rsidRPr="00C364E7">
                    <w:rPr>
                      <w:sz w:val="22"/>
                      <w:szCs w:val="22"/>
                    </w:rPr>
                    <w:t>-</w:t>
                  </w:r>
                </w:p>
              </w:tc>
              <w:tc>
                <w:tcPr>
                  <w:tcW w:w="6159" w:type="dxa"/>
                  <w:gridSpan w:val="2"/>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r w:rsidRPr="00C364E7">
                    <w:rPr>
                      <w:sz w:val="22"/>
                      <w:szCs w:val="22"/>
                    </w:rPr>
                    <w:t>коефіцієнт категорії надійності електропостачання i-того стандартного приєднання (за об'єктами замовників, приєднання яких завершено у базовому періоді) (</w:t>
                  </w:r>
                  <w:hyperlink r:id="rId24" w:anchor="n152" w:history="1">
                    <w:r w:rsidRPr="00C364E7">
                      <w:rPr>
                        <w:rStyle w:val="a3"/>
                        <w:color w:val="auto"/>
                        <w:sz w:val="22"/>
                        <w:szCs w:val="22"/>
                      </w:rPr>
                      <w:t>додаток 3</w:t>
                    </w:r>
                  </w:hyperlink>
                  <w:r w:rsidRPr="00C364E7">
                    <w:rPr>
                      <w:sz w:val="22"/>
                      <w:szCs w:val="22"/>
                    </w:rPr>
                    <w:t> до цієї Методики);</w:t>
                  </w:r>
                </w:p>
              </w:tc>
            </w:tr>
            <w:tr w:rsidR="00C364E7" w:rsidRPr="00C364E7" w:rsidTr="00BD6495">
              <w:tc>
                <w:tcPr>
                  <w:tcW w:w="7926" w:type="dxa"/>
                  <w:gridSpan w:val="5"/>
                  <w:tcBorders>
                    <w:top w:val="nil"/>
                    <w:left w:val="nil"/>
                    <w:bottom w:val="nil"/>
                    <w:right w:val="nil"/>
                  </w:tcBorders>
                  <w:hideMark/>
                </w:tcPr>
                <w:p w:rsidR="009156C2" w:rsidRPr="00C364E7" w:rsidRDefault="009156C2" w:rsidP="009156C2">
                  <w:pPr>
                    <w:pStyle w:val="rvps2"/>
                    <w:spacing w:before="0" w:beforeAutospacing="0" w:after="0" w:afterAutospacing="0"/>
                    <w:contextualSpacing/>
                    <w:jc w:val="both"/>
                    <w:rPr>
                      <w:sz w:val="22"/>
                      <w:szCs w:val="22"/>
                    </w:rPr>
                  </w:pPr>
                </w:p>
              </w:tc>
            </w:tr>
            <w:tr w:rsidR="00C364E7" w:rsidRPr="00C364E7" w:rsidTr="00BD6495">
              <w:tc>
                <w:tcPr>
                  <w:tcW w:w="366"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p>
              </w:tc>
              <w:tc>
                <w:tcPr>
                  <w:tcW w:w="1250"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hyperlink r:id="rId25" w:history="1">
                    <w:r w:rsidRPr="00C364E7">
                      <w:rPr>
                        <w:noProof/>
                        <w:sz w:val="22"/>
                        <w:szCs w:val="22"/>
                      </w:rPr>
                      <w:pict w14:anchorId="194A3CD6">
                        <v:shape id="_x0000_i1744" type="#_x0000_t75" style="width:21pt;height:16.5pt;visibility:visible" o:button="t">
                          <v:fill o:detectmouseclick="t"/>
                          <v:imagedata r:id="rId26" o:title=""/>
                        </v:shape>
                      </w:pict>
                    </w:r>
                  </w:hyperlink>
                </w:p>
              </w:tc>
              <w:tc>
                <w:tcPr>
                  <w:tcW w:w="151" w:type="dxa"/>
                  <w:tcBorders>
                    <w:top w:val="nil"/>
                    <w:left w:val="nil"/>
                    <w:bottom w:val="nil"/>
                    <w:right w:val="nil"/>
                  </w:tcBorders>
                  <w:hideMark/>
                </w:tcPr>
                <w:p w:rsidR="009156C2" w:rsidRPr="00C364E7" w:rsidRDefault="009156C2" w:rsidP="009156C2">
                  <w:pPr>
                    <w:pStyle w:val="rvps12"/>
                    <w:spacing w:before="0" w:beforeAutospacing="0" w:after="0" w:afterAutospacing="0"/>
                    <w:contextualSpacing/>
                    <w:jc w:val="both"/>
                    <w:rPr>
                      <w:sz w:val="22"/>
                      <w:szCs w:val="22"/>
                    </w:rPr>
                  </w:pPr>
                  <w:r w:rsidRPr="00C364E7">
                    <w:rPr>
                      <w:sz w:val="22"/>
                      <w:szCs w:val="22"/>
                    </w:rPr>
                    <w:t>-</w:t>
                  </w:r>
                </w:p>
              </w:tc>
              <w:tc>
                <w:tcPr>
                  <w:tcW w:w="6159" w:type="dxa"/>
                  <w:gridSpan w:val="2"/>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r w:rsidRPr="00C364E7">
                    <w:rPr>
                      <w:sz w:val="22"/>
                      <w:szCs w:val="22"/>
                    </w:rPr>
                    <w:t xml:space="preserve">коефіцієнт ступеня напруги в точці приєднання (0,4 (0,23), 6(10)20 кВ) i-того стандартного приєднання (за об'єктами замовників, приєднання яких завершено </w:t>
                  </w:r>
                  <w:r w:rsidRPr="00C364E7">
                    <w:rPr>
                      <w:sz w:val="22"/>
                      <w:szCs w:val="22"/>
                    </w:rPr>
                    <w:lastRenderedPageBreak/>
                    <w:t>у базовому періоді) (</w:t>
                  </w:r>
                  <w:hyperlink r:id="rId27" w:anchor="n155" w:history="1">
                    <w:r w:rsidRPr="00C364E7">
                      <w:rPr>
                        <w:rStyle w:val="a3"/>
                        <w:color w:val="auto"/>
                        <w:sz w:val="22"/>
                        <w:szCs w:val="22"/>
                      </w:rPr>
                      <w:t>додаток 4</w:t>
                    </w:r>
                  </w:hyperlink>
                  <w:r w:rsidRPr="00C364E7">
                    <w:rPr>
                      <w:sz w:val="22"/>
                      <w:szCs w:val="22"/>
                    </w:rPr>
                    <w:t> до цієї Методики);</w:t>
                  </w:r>
                </w:p>
              </w:tc>
            </w:tr>
            <w:tr w:rsidR="00C364E7" w:rsidRPr="00C364E7" w:rsidTr="00BD6495">
              <w:tc>
                <w:tcPr>
                  <w:tcW w:w="7926" w:type="dxa"/>
                  <w:gridSpan w:val="5"/>
                  <w:tcBorders>
                    <w:top w:val="nil"/>
                    <w:left w:val="nil"/>
                    <w:bottom w:val="nil"/>
                    <w:right w:val="nil"/>
                  </w:tcBorders>
                  <w:hideMark/>
                </w:tcPr>
                <w:p w:rsidR="009156C2" w:rsidRPr="00C364E7" w:rsidRDefault="009156C2" w:rsidP="009156C2">
                  <w:pPr>
                    <w:pStyle w:val="rvps2"/>
                    <w:spacing w:before="0" w:beforeAutospacing="0" w:after="0" w:afterAutospacing="0"/>
                    <w:ind w:firstLine="450"/>
                    <w:contextualSpacing/>
                    <w:jc w:val="both"/>
                    <w:rPr>
                      <w:sz w:val="22"/>
                      <w:szCs w:val="22"/>
                    </w:rPr>
                  </w:pPr>
                </w:p>
              </w:tc>
            </w:tr>
            <w:tr w:rsidR="00C364E7" w:rsidRPr="00C364E7" w:rsidTr="00BD6495">
              <w:tc>
                <w:tcPr>
                  <w:tcW w:w="366"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p>
              </w:tc>
              <w:tc>
                <w:tcPr>
                  <w:tcW w:w="1250"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hyperlink r:id="rId28" w:history="1">
                    <w:r w:rsidRPr="00C364E7">
                      <w:rPr>
                        <w:noProof/>
                        <w:sz w:val="22"/>
                        <w:szCs w:val="22"/>
                      </w:rPr>
                      <w:pict w14:anchorId="500C9051">
                        <v:shape id="_x0000_i1745" type="#_x0000_t75" style="width:20.25pt;height:17.25pt;visibility:visible" o:button="t">
                          <v:fill o:detectmouseclick="t"/>
                          <v:imagedata r:id="rId29" o:title=""/>
                        </v:shape>
                      </w:pict>
                    </w:r>
                  </w:hyperlink>
                </w:p>
              </w:tc>
              <w:tc>
                <w:tcPr>
                  <w:tcW w:w="151" w:type="dxa"/>
                  <w:tcBorders>
                    <w:top w:val="nil"/>
                    <w:left w:val="nil"/>
                    <w:bottom w:val="nil"/>
                    <w:right w:val="nil"/>
                  </w:tcBorders>
                  <w:hideMark/>
                </w:tcPr>
                <w:p w:rsidR="009156C2" w:rsidRPr="00C364E7" w:rsidRDefault="009156C2" w:rsidP="009156C2">
                  <w:pPr>
                    <w:pStyle w:val="rvps12"/>
                    <w:spacing w:before="0" w:beforeAutospacing="0" w:after="0" w:afterAutospacing="0"/>
                    <w:contextualSpacing/>
                    <w:jc w:val="both"/>
                    <w:rPr>
                      <w:sz w:val="22"/>
                      <w:szCs w:val="22"/>
                    </w:rPr>
                  </w:pPr>
                  <w:r w:rsidRPr="00C364E7">
                    <w:rPr>
                      <w:sz w:val="22"/>
                      <w:szCs w:val="22"/>
                    </w:rPr>
                    <w:t>-</w:t>
                  </w:r>
                </w:p>
              </w:tc>
              <w:tc>
                <w:tcPr>
                  <w:tcW w:w="6159" w:type="dxa"/>
                  <w:gridSpan w:val="2"/>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r w:rsidRPr="00C364E7">
                    <w:rPr>
                      <w:sz w:val="22"/>
                      <w:szCs w:val="22"/>
                    </w:rPr>
                    <w:t>коефіцієнт схеми електрозабезпечення i-того стандартного приєднання (за об'єктами замовників, приєднання яких завершено у базовому періоді) (</w:t>
                  </w:r>
                  <w:hyperlink r:id="rId30" w:anchor="n158" w:history="1">
                    <w:r w:rsidRPr="00C364E7">
                      <w:rPr>
                        <w:rStyle w:val="a3"/>
                        <w:color w:val="auto"/>
                        <w:sz w:val="22"/>
                        <w:szCs w:val="22"/>
                      </w:rPr>
                      <w:t>додаток 5</w:t>
                    </w:r>
                  </w:hyperlink>
                  <w:r w:rsidRPr="00C364E7">
                    <w:rPr>
                      <w:sz w:val="22"/>
                      <w:szCs w:val="22"/>
                    </w:rPr>
                    <w:t> до цієї Методики);</w:t>
                  </w:r>
                </w:p>
              </w:tc>
            </w:tr>
            <w:tr w:rsidR="00C364E7" w:rsidRPr="00C364E7" w:rsidTr="00BD6495">
              <w:tc>
                <w:tcPr>
                  <w:tcW w:w="7926" w:type="dxa"/>
                  <w:gridSpan w:val="5"/>
                  <w:tcBorders>
                    <w:top w:val="nil"/>
                    <w:left w:val="nil"/>
                    <w:bottom w:val="nil"/>
                    <w:right w:val="nil"/>
                  </w:tcBorders>
                  <w:hideMark/>
                </w:tcPr>
                <w:p w:rsidR="009156C2" w:rsidRPr="00C364E7" w:rsidRDefault="009156C2" w:rsidP="009156C2">
                  <w:pPr>
                    <w:pStyle w:val="rvps2"/>
                    <w:spacing w:before="0" w:beforeAutospacing="0" w:after="0" w:afterAutospacing="0"/>
                    <w:ind w:firstLine="450"/>
                    <w:contextualSpacing/>
                    <w:jc w:val="both"/>
                    <w:rPr>
                      <w:sz w:val="22"/>
                      <w:szCs w:val="22"/>
                    </w:rPr>
                  </w:pPr>
                </w:p>
              </w:tc>
            </w:tr>
            <w:tr w:rsidR="00C364E7" w:rsidRPr="00C364E7" w:rsidTr="00BD6495">
              <w:tc>
                <w:tcPr>
                  <w:tcW w:w="366"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p>
              </w:tc>
              <w:tc>
                <w:tcPr>
                  <w:tcW w:w="1250"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hyperlink r:id="rId31" w:history="1">
                    <w:r w:rsidRPr="00C364E7">
                      <w:rPr>
                        <w:noProof/>
                        <w:sz w:val="22"/>
                        <w:szCs w:val="22"/>
                      </w:rPr>
                      <w:pict w14:anchorId="0D096492">
                        <v:shape id="_x0000_i1746" type="#_x0000_t75" style="width:24pt;height:14.25pt;visibility:visible" o:button="t">
                          <v:fill o:detectmouseclick="t"/>
                          <v:imagedata r:id="rId32" o:title=""/>
                        </v:shape>
                      </w:pict>
                    </w:r>
                  </w:hyperlink>
                </w:p>
              </w:tc>
              <w:tc>
                <w:tcPr>
                  <w:tcW w:w="151" w:type="dxa"/>
                  <w:tcBorders>
                    <w:top w:val="nil"/>
                    <w:left w:val="nil"/>
                    <w:bottom w:val="nil"/>
                    <w:right w:val="nil"/>
                  </w:tcBorders>
                  <w:hideMark/>
                </w:tcPr>
                <w:p w:rsidR="009156C2" w:rsidRPr="00C364E7" w:rsidRDefault="009156C2" w:rsidP="009156C2">
                  <w:pPr>
                    <w:pStyle w:val="rvps12"/>
                    <w:spacing w:before="0" w:beforeAutospacing="0" w:after="0" w:afterAutospacing="0"/>
                    <w:contextualSpacing/>
                    <w:jc w:val="both"/>
                    <w:rPr>
                      <w:sz w:val="22"/>
                      <w:szCs w:val="22"/>
                    </w:rPr>
                  </w:pPr>
                  <w:r w:rsidRPr="00C364E7">
                    <w:rPr>
                      <w:sz w:val="22"/>
                      <w:szCs w:val="22"/>
                    </w:rPr>
                    <w:t>-</w:t>
                  </w:r>
                </w:p>
              </w:tc>
              <w:tc>
                <w:tcPr>
                  <w:tcW w:w="6159" w:type="dxa"/>
                  <w:gridSpan w:val="2"/>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r w:rsidRPr="00C364E7">
                    <w:rPr>
                      <w:sz w:val="22"/>
                      <w:szCs w:val="22"/>
                    </w:rPr>
                    <w:t xml:space="preserve">коефіцієнт прогнозного індексу зміни цін виробників промислової продукції на розрахунковий період у відношенні до базового періоду. </w:t>
                  </w:r>
                  <w:r w:rsidRPr="00C364E7">
                    <w:rPr>
                      <w:b/>
                      <w:sz w:val="22"/>
                      <w:szCs w:val="22"/>
                    </w:rPr>
                    <w:t>Розмір індексу дорівнює добутку фактичного (прогнозного) індексу зміни цін виробників промислової продукції що передує розрахунковому періоду та прогнозного індексу зміни цін виробників промислової продукції згідно Державного бюджету України (проекту Державного бюджету України) на розрахунковий період;</w:t>
                  </w:r>
                </w:p>
              </w:tc>
            </w:tr>
            <w:tr w:rsidR="00C364E7" w:rsidRPr="00C364E7" w:rsidTr="00BD6495">
              <w:tc>
                <w:tcPr>
                  <w:tcW w:w="366"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p>
              </w:tc>
              <w:tc>
                <w:tcPr>
                  <w:tcW w:w="1250"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hyperlink r:id="rId33" w:history="1">
                    <w:r w:rsidRPr="00C364E7">
                      <w:rPr>
                        <w:noProof/>
                        <w:sz w:val="22"/>
                        <w:szCs w:val="22"/>
                      </w:rPr>
                      <w:pict w14:anchorId="3C63F328">
                        <v:shape id="_x0000_i1747" type="#_x0000_t75" style="width:33.75pt;height:19.5pt;visibility:visible" o:button="t">
                          <v:fill o:detectmouseclick="t"/>
                          <v:imagedata r:id="rId34" o:title=""/>
                        </v:shape>
                      </w:pict>
                    </w:r>
                  </w:hyperlink>
                </w:p>
              </w:tc>
              <w:tc>
                <w:tcPr>
                  <w:tcW w:w="151" w:type="dxa"/>
                  <w:tcBorders>
                    <w:top w:val="nil"/>
                    <w:left w:val="nil"/>
                    <w:bottom w:val="nil"/>
                    <w:right w:val="nil"/>
                  </w:tcBorders>
                  <w:hideMark/>
                </w:tcPr>
                <w:p w:rsidR="009156C2" w:rsidRPr="00C364E7" w:rsidRDefault="009156C2" w:rsidP="009156C2">
                  <w:pPr>
                    <w:pStyle w:val="rvps12"/>
                    <w:spacing w:before="0" w:beforeAutospacing="0" w:after="0" w:afterAutospacing="0"/>
                    <w:contextualSpacing/>
                    <w:jc w:val="both"/>
                    <w:rPr>
                      <w:sz w:val="22"/>
                      <w:szCs w:val="22"/>
                    </w:rPr>
                  </w:pPr>
                  <w:r w:rsidRPr="00C364E7">
                    <w:rPr>
                      <w:sz w:val="22"/>
                      <w:szCs w:val="22"/>
                    </w:rPr>
                    <w:t>-</w:t>
                  </w:r>
                </w:p>
              </w:tc>
              <w:tc>
                <w:tcPr>
                  <w:tcW w:w="6159" w:type="dxa"/>
                  <w:gridSpan w:val="2"/>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r w:rsidRPr="00C364E7">
                    <w:rPr>
                      <w:sz w:val="22"/>
                      <w:szCs w:val="22"/>
                    </w:rPr>
                    <w:t>коефіцієнт оптимізації коштів щодо витрат, пов'язаних з наданням послуг зі стандартних приєднань електроустановок замовників до електричних мереж за базовий період для міської та сільської місцевості, який розраховується за формулою</w:t>
                  </w:r>
                </w:p>
              </w:tc>
            </w:tr>
            <w:tr w:rsidR="00C364E7" w:rsidRPr="00C364E7" w:rsidTr="00BD6495">
              <w:tc>
                <w:tcPr>
                  <w:tcW w:w="5249" w:type="dxa"/>
                  <w:gridSpan w:val="4"/>
                  <w:tcBorders>
                    <w:top w:val="nil"/>
                    <w:left w:val="nil"/>
                    <w:bottom w:val="nil"/>
                    <w:right w:val="nil"/>
                  </w:tcBorders>
                  <w:hideMark/>
                </w:tcPr>
                <w:p w:rsidR="009156C2" w:rsidRPr="00C364E7" w:rsidRDefault="009156C2" w:rsidP="009156C2">
                  <w:pPr>
                    <w:pStyle w:val="rvps12"/>
                    <w:spacing w:before="0" w:beforeAutospacing="0" w:after="0" w:afterAutospacing="0"/>
                    <w:contextualSpacing/>
                    <w:jc w:val="both"/>
                    <w:rPr>
                      <w:sz w:val="22"/>
                      <w:szCs w:val="22"/>
                    </w:rPr>
                  </w:pPr>
                  <w:hyperlink r:id="rId35" w:history="1">
                    <w:r w:rsidRPr="00C364E7">
                      <w:rPr>
                        <w:noProof/>
                        <w:sz w:val="22"/>
                        <w:szCs w:val="22"/>
                      </w:rPr>
                      <w:pict w14:anchorId="61740F42">
                        <v:shape id="_x0000_i1748" type="#_x0000_t75" style="width:133.5pt;height:45pt;visibility:visible" o:button="t">
                          <v:fill o:detectmouseclick="t"/>
                          <v:imagedata r:id="rId36" o:title=""/>
                        </v:shape>
                      </w:pict>
                    </w:r>
                  </w:hyperlink>
                </w:p>
              </w:tc>
              <w:tc>
                <w:tcPr>
                  <w:tcW w:w="2677" w:type="dxa"/>
                  <w:tcBorders>
                    <w:top w:val="nil"/>
                    <w:left w:val="nil"/>
                    <w:bottom w:val="nil"/>
                    <w:right w:val="nil"/>
                  </w:tcBorders>
                  <w:hideMark/>
                </w:tcPr>
                <w:p w:rsidR="009156C2" w:rsidRPr="00C364E7" w:rsidRDefault="009156C2" w:rsidP="009156C2">
                  <w:pPr>
                    <w:pStyle w:val="rvps11"/>
                    <w:spacing w:before="0" w:beforeAutospacing="0" w:after="0" w:afterAutospacing="0"/>
                    <w:contextualSpacing/>
                    <w:jc w:val="both"/>
                    <w:rPr>
                      <w:sz w:val="22"/>
                      <w:szCs w:val="22"/>
                    </w:rPr>
                  </w:pPr>
                  <w:r w:rsidRPr="00C364E7">
                    <w:rPr>
                      <w:sz w:val="22"/>
                      <w:szCs w:val="22"/>
                    </w:rPr>
                    <w:t>(4)</w:t>
                  </w:r>
                </w:p>
              </w:tc>
            </w:tr>
          </w:tbl>
          <w:p w:rsidR="009156C2" w:rsidRPr="00C364E7" w:rsidRDefault="009156C2" w:rsidP="009156C2">
            <w:pPr>
              <w:shd w:val="clear" w:color="auto" w:fill="FFFFFF"/>
              <w:contextualSpacing/>
              <w:jc w:val="both"/>
              <w:rPr>
                <w:rFonts w:ascii="Times New Roman" w:eastAsia="Cambria" w:hAnsi="Times New Roman" w:cs="Times New Roman"/>
                <w:vanish/>
              </w:rPr>
            </w:pPr>
          </w:p>
          <w:tbl>
            <w:tblPr>
              <w:tblW w:w="5000" w:type="pct"/>
              <w:tblBorders>
                <w:top w:val="outset" w:sz="2" w:space="0" w:color="auto"/>
                <w:left w:val="outset" w:sz="2" w:space="0" w:color="auto"/>
                <w:bottom w:val="outset" w:sz="2" w:space="0" w:color="auto"/>
                <w:right w:val="outset" w:sz="2" w:space="0" w:color="auto"/>
              </w:tblBorders>
              <w:tblLayout w:type="fixed"/>
              <w:tblCellMar>
                <w:top w:w="10" w:type="dxa"/>
                <w:left w:w="10" w:type="dxa"/>
                <w:bottom w:w="10" w:type="dxa"/>
                <w:right w:w="10" w:type="dxa"/>
              </w:tblCellMar>
              <w:tblLook w:val="04A0" w:firstRow="1" w:lastRow="0" w:firstColumn="1" w:lastColumn="0" w:noHBand="0" w:noVBand="1"/>
            </w:tblPr>
            <w:tblGrid>
              <w:gridCol w:w="261"/>
              <w:gridCol w:w="550"/>
              <w:gridCol w:w="66"/>
              <w:gridCol w:w="4167"/>
            </w:tblGrid>
            <w:tr w:rsidR="00C364E7" w:rsidRPr="00C364E7" w:rsidTr="00BD6495">
              <w:tc>
                <w:tcPr>
                  <w:tcW w:w="600"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r w:rsidRPr="00C364E7">
                    <w:rPr>
                      <w:sz w:val="22"/>
                      <w:szCs w:val="22"/>
                    </w:rPr>
                    <w:t>де</w:t>
                  </w:r>
                </w:p>
              </w:tc>
              <w:tc>
                <w:tcPr>
                  <w:tcW w:w="1335"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hyperlink r:id="rId37" w:history="1">
                    <w:r w:rsidRPr="00C364E7">
                      <w:rPr>
                        <w:noProof/>
                        <w:sz w:val="22"/>
                        <w:szCs w:val="22"/>
                      </w:rPr>
                      <w:pict w14:anchorId="3C7A4CFD">
                        <v:shape id="_x0000_i1749" type="#_x0000_t75" style="width:57pt;height:26.25pt;visibility:visible" o:button="t">
                          <v:fill o:detectmouseclick="t"/>
                          <v:imagedata r:id="rId38" o:title=""/>
                        </v:shape>
                      </w:pict>
                    </w:r>
                  </w:hyperlink>
                </w:p>
              </w:tc>
              <w:tc>
                <w:tcPr>
                  <w:tcW w:w="105" w:type="dxa"/>
                  <w:tcBorders>
                    <w:top w:val="nil"/>
                    <w:left w:val="nil"/>
                    <w:bottom w:val="nil"/>
                    <w:right w:val="nil"/>
                  </w:tcBorders>
                  <w:hideMark/>
                </w:tcPr>
                <w:p w:rsidR="009156C2" w:rsidRPr="00C364E7" w:rsidRDefault="009156C2" w:rsidP="009156C2">
                  <w:pPr>
                    <w:pStyle w:val="rvps12"/>
                    <w:spacing w:before="0" w:beforeAutospacing="0" w:after="0" w:afterAutospacing="0"/>
                    <w:contextualSpacing/>
                    <w:jc w:val="both"/>
                    <w:rPr>
                      <w:sz w:val="22"/>
                      <w:szCs w:val="22"/>
                    </w:rPr>
                  </w:pPr>
                  <w:r w:rsidRPr="00C364E7">
                    <w:rPr>
                      <w:sz w:val="22"/>
                      <w:szCs w:val="22"/>
                    </w:rPr>
                    <w:t>-</w:t>
                  </w:r>
                </w:p>
              </w:tc>
              <w:tc>
                <w:tcPr>
                  <w:tcW w:w="10515"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r w:rsidRPr="00C364E7">
                    <w:rPr>
                      <w:sz w:val="22"/>
                      <w:szCs w:val="22"/>
                    </w:rPr>
                    <w:t>фактичні капітальні витрати, понесені під час надання послуги за j-те стандартне приєднання (за об'єктами замовників, приєднання яких завершено у базовому періоді) для міської та сільської місцевості за першим та другим ступенями стандартного приєднання, по яких проводився аналіз відповідно до </w:t>
                  </w:r>
                  <w:hyperlink r:id="rId39" w:anchor="n249" w:history="1">
                    <w:r w:rsidRPr="00C364E7">
                      <w:rPr>
                        <w:rStyle w:val="a3"/>
                        <w:color w:val="auto"/>
                        <w:sz w:val="22"/>
                        <w:szCs w:val="22"/>
                      </w:rPr>
                      <w:t xml:space="preserve">пункту </w:t>
                    </w:r>
                    <w:r w:rsidRPr="00C364E7">
                      <w:rPr>
                        <w:rStyle w:val="a3"/>
                        <w:color w:val="auto"/>
                        <w:sz w:val="22"/>
                        <w:szCs w:val="22"/>
                      </w:rPr>
                      <w:lastRenderedPageBreak/>
                      <w:t>3.7</w:t>
                    </w:r>
                  </w:hyperlink>
                  <w:r w:rsidRPr="00C364E7">
                    <w:rPr>
                      <w:sz w:val="22"/>
                      <w:szCs w:val="22"/>
                    </w:rPr>
                    <w:t> цієї глави з урахуванням результатів аналізу, тис. грн (без ПДВ);</w:t>
                  </w:r>
                </w:p>
              </w:tc>
            </w:tr>
            <w:tr w:rsidR="00C364E7" w:rsidRPr="00C364E7" w:rsidTr="00BD6495">
              <w:tc>
                <w:tcPr>
                  <w:tcW w:w="600"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p>
              </w:tc>
              <w:tc>
                <w:tcPr>
                  <w:tcW w:w="1335"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hyperlink r:id="rId40" w:history="1">
                    <w:r w:rsidRPr="00C364E7">
                      <w:rPr>
                        <w:noProof/>
                        <w:sz w:val="22"/>
                        <w:szCs w:val="22"/>
                      </w:rPr>
                      <w:pict w14:anchorId="3AE862F9">
                        <v:shape id="_x0000_i1750" type="#_x0000_t75" style="width:52.5pt;height:25.5pt;visibility:visible" o:button="t">
                          <v:fill o:detectmouseclick="t"/>
                          <v:imagedata r:id="rId41" o:title=""/>
                        </v:shape>
                      </w:pict>
                    </w:r>
                  </w:hyperlink>
                </w:p>
              </w:tc>
              <w:tc>
                <w:tcPr>
                  <w:tcW w:w="105" w:type="dxa"/>
                  <w:tcBorders>
                    <w:top w:val="nil"/>
                    <w:left w:val="nil"/>
                    <w:bottom w:val="nil"/>
                    <w:right w:val="nil"/>
                  </w:tcBorders>
                  <w:hideMark/>
                </w:tcPr>
                <w:p w:rsidR="009156C2" w:rsidRPr="00C364E7" w:rsidRDefault="009156C2" w:rsidP="009156C2">
                  <w:pPr>
                    <w:pStyle w:val="rvps12"/>
                    <w:spacing w:before="0" w:beforeAutospacing="0" w:after="0" w:afterAutospacing="0"/>
                    <w:contextualSpacing/>
                    <w:jc w:val="both"/>
                    <w:rPr>
                      <w:sz w:val="22"/>
                      <w:szCs w:val="22"/>
                    </w:rPr>
                  </w:pPr>
                  <w:r w:rsidRPr="00C364E7">
                    <w:rPr>
                      <w:sz w:val="22"/>
                      <w:szCs w:val="22"/>
                    </w:rPr>
                    <w:t>-</w:t>
                  </w:r>
                </w:p>
              </w:tc>
              <w:tc>
                <w:tcPr>
                  <w:tcW w:w="10515" w:type="dxa"/>
                  <w:tcBorders>
                    <w:top w:val="nil"/>
                    <w:left w:val="nil"/>
                    <w:bottom w:val="nil"/>
                    <w:right w:val="nil"/>
                  </w:tcBorders>
                  <w:hideMark/>
                </w:tcPr>
                <w:p w:rsidR="009156C2" w:rsidRPr="00C364E7" w:rsidRDefault="009156C2" w:rsidP="009156C2">
                  <w:pPr>
                    <w:pStyle w:val="rvps14"/>
                    <w:spacing w:before="0" w:beforeAutospacing="0" w:after="0" w:afterAutospacing="0"/>
                    <w:contextualSpacing/>
                    <w:jc w:val="both"/>
                    <w:rPr>
                      <w:sz w:val="22"/>
                      <w:szCs w:val="22"/>
                    </w:rPr>
                  </w:pPr>
                  <w:r w:rsidRPr="00C364E7">
                    <w:rPr>
                      <w:sz w:val="22"/>
                      <w:szCs w:val="22"/>
                    </w:rPr>
                    <w:t>фактичні капітальні витрати, понесені під час надання послуги за j-те стандартне приєднання (за об'єктами замовників, приєднання яких завершено у базовому періоді) для міської та сільської місцевості за першим та другим ступенями стандартного приєднання (значення за рядками графи 80 </w:t>
                  </w:r>
                  <w:hyperlink r:id="rId42" w:anchor="n146" w:history="1">
                    <w:r w:rsidRPr="00C364E7">
                      <w:rPr>
                        <w:rStyle w:val="a3"/>
                        <w:color w:val="auto"/>
                        <w:sz w:val="22"/>
                        <w:szCs w:val="22"/>
                      </w:rPr>
                      <w:t>додатка 1</w:t>
                    </w:r>
                  </w:hyperlink>
                  <w:r w:rsidRPr="00C364E7">
                    <w:rPr>
                      <w:sz w:val="22"/>
                      <w:szCs w:val="22"/>
                    </w:rPr>
                    <w:t> до цієї Методики), по яких проводився аналіз відповідно до </w:t>
                  </w:r>
                  <w:hyperlink r:id="rId43" w:anchor="n249" w:history="1">
                    <w:r w:rsidRPr="00C364E7">
                      <w:rPr>
                        <w:rStyle w:val="a3"/>
                        <w:color w:val="auto"/>
                        <w:sz w:val="22"/>
                        <w:szCs w:val="22"/>
                      </w:rPr>
                      <w:t>пункту 3.7</w:t>
                    </w:r>
                  </w:hyperlink>
                  <w:r w:rsidRPr="00C364E7">
                    <w:rPr>
                      <w:sz w:val="22"/>
                      <w:szCs w:val="22"/>
                    </w:rPr>
                    <w:t> цієї глави, тис. грн (без ПДВ).</w:t>
                  </w:r>
                </w:p>
              </w:tc>
            </w:tr>
          </w:tbl>
          <w:p w:rsidR="009156C2" w:rsidRPr="00C364E7" w:rsidRDefault="009156C2" w:rsidP="009156C2">
            <w:pPr>
              <w:pStyle w:val="rvps2"/>
              <w:shd w:val="clear" w:color="auto" w:fill="FFFFFF"/>
              <w:spacing w:before="0" w:beforeAutospacing="0" w:after="0" w:afterAutospacing="0"/>
              <w:ind w:firstLine="450"/>
              <w:contextualSpacing/>
              <w:jc w:val="both"/>
              <w:rPr>
                <w:rFonts w:eastAsia="Cambria"/>
                <w:sz w:val="22"/>
                <w:szCs w:val="22"/>
              </w:rPr>
            </w:pPr>
          </w:p>
        </w:tc>
        <w:tc>
          <w:tcPr>
            <w:tcW w:w="3686" w:type="dxa"/>
          </w:tcPr>
          <w:p w:rsidR="009156C2" w:rsidRPr="00C364E7" w:rsidRDefault="009156C2" w:rsidP="009156C2">
            <w:pPr>
              <w:pStyle w:val="TableParagraph"/>
              <w:spacing w:before="120" w:after="120"/>
              <w:ind w:left="42"/>
              <w:jc w:val="both"/>
              <w:rPr>
                <w:sz w:val="24"/>
                <w:szCs w:val="24"/>
                <w:lang w:val="uk-UA"/>
              </w:rPr>
            </w:pPr>
            <w:r w:rsidRPr="00C364E7">
              <w:rPr>
                <w:sz w:val="24"/>
                <w:szCs w:val="24"/>
                <w:lang w:val="uk-UA"/>
              </w:rPr>
              <w:lastRenderedPageBreak/>
              <w:t xml:space="preserve">Пропонуємо </w:t>
            </w:r>
            <w:proofErr w:type="spellStart"/>
            <w:r w:rsidRPr="00C364E7">
              <w:rPr>
                <w:sz w:val="24"/>
                <w:szCs w:val="24"/>
                <w:lang w:val="uk-UA"/>
              </w:rPr>
              <w:t>внести</w:t>
            </w:r>
            <w:proofErr w:type="spellEnd"/>
            <w:r w:rsidRPr="00C364E7">
              <w:rPr>
                <w:sz w:val="24"/>
                <w:szCs w:val="24"/>
                <w:lang w:val="uk-UA"/>
              </w:rPr>
              <w:t xml:space="preserve"> додаткові зміни до методики щодо врахування фактичних індексів зміни цін виробників промислової продукції. В зв’язку з агресією </w:t>
            </w:r>
            <w:proofErr w:type="spellStart"/>
            <w:r w:rsidRPr="00C364E7">
              <w:rPr>
                <w:sz w:val="24"/>
                <w:szCs w:val="24"/>
                <w:lang w:val="uk-UA"/>
              </w:rPr>
              <w:t>росі</w:t>
            </w:r>
            <w:r w:rsidR="00DE6C50">
              <w:rPr>
                <w:sz w:val="24"/>
                <w:szCs w:val="24"/>
                <w:lang w:val="uk-UA"/>
              </w:rPr>
              <w:t>ї</w:t>
            </w:r>
            <w:proofErr w:type="spellEnd"/>
            <w:r w:rsidRPr="00C364E7">
              <w:rPr>
                <w:sz w:val="24"/>
                <w:szCs w:val="24"/>
                <w:lang w:val="uk-UA"/>
              </w:rPr>
              <w:t>, у 2022р за 8 місяців фактичний  індекс зміни цін виробників промислової продукції склав 23,8%, при цьому прогнозний індекс при затверджені ставок складав лише 6%.</w:t>
            </w:r>
          </w:p>
        </w:tc>
        <w:tc>
          <w:tcPr>
            <w:tcW w:w="3402" w:type="dxa"/>
          </w:tcPr>
          <w:p w:rsidR="009156C2" w:rsidRPr="00C364E7" w:rsidRDefault="001B568F" w:rsidP="001B568F">
            <w:pPr>
              <w:pStyle w:val="TableParagraph"/>
              <w:spacing w:before="120" w:after="120"/>
              <w:ind w:left="0" w:firstLine="142"/>
              <w:jc w:val="both"/>
              <w:rPr>
                <w:b/>
                <w:i/>
                <w:sz w:val="24"/>
                <w:szCs w:val="24"/>
                <w:lang w:val="uk-UA"/>
              </w:rPr>
            </w:pPr>
            <w:r w:rsidRPr="001B568F">
              <w:rPr>
                <w:b/>
                <w:szCs w:val="24"/>
                <w:lang w:val="uk-UA"/>
              </w:rPr>
              <w:t>Пропонується не враховувати</w:t>
            </w:r>
          </w:p>
        </w:tc>
      </w:tr>
    </w:tbl>
    <w:p w:rsidR="004251D2" w:rsidRPr="00C364E7" w:rsidRDefault="004251D2"/>
    <w:sectPr w:rsidR="004251D2" w:rsidRPr="00C364E7" w:rsidSect="0017439F">
      <w:pgSz w:w="16838" w:h="11906" w:orient="landscape"/>
      <w:pgMar w:top="709"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6C2"/>
    <w:rsid w:val="0017439F"/>
    <w:rsid w:val="001B568F"/>
    <w:rsid w:val="004251D2"/>
    <w:rsid w:val="005365CC"/>
    <w:rsid w:val="00697026"/>
    <w:rsid w:val="006E648E"/>
    <w:rsid w:val="00700F97"/>
    <w:rsid w:val="00786293"/>
    <w:rsid w:val="008F4D5E"/>
    <w:rsid w:val="009156C2"/>
    <w:rsid w:val="00A27171"/>
    <w:rsid w:val="00BC1EB2"/>
    <w:rsid w:val="00C364E7"/>
    <w:rsid w:val="00C92761"/>
    <w:rsid w:val="00DD6CC6"/>
    <w:rsid w:val="00DE6C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20E4D"/>
  <w15:chartTrackingRefBased/>
  <w15:docId w15:val="{9B21C09E-A3BC-4C13-90B7-0F5003890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156C2"/>
    <w:pPr>
      <w:spacing w:after="0" w:line="276" w:lineRule="auto"/>
    </w:pPr>
    <w:rPr>
      <w:rFonts w:ascii="Arial" w:eastAsia="Arial" w:hAnsi="Arial" w:cs="Arial"/>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9156C2"/>
    <w:pPr>
      <w:widowControl w:val="0"/>
      <w:autoSpaceDE w:val="0"/>
      <w:autoSpaceDN w:val="0"/>
      <w:spacing w:line="240" w:lineRule="auto"/>
      <w:ind w:left="107"/>
    </w:pPr>
    <w:rPr>
      <w:rFonts w:ascii="Times New Roman" w:eastAsia="Times New Roman" w:hAnsi="Times New Roman" w:cs="Times New Roman"/>
      <w:lang w:val="en-US" w:eastAsia="en-US"/>
    </w:rPr>
  </w:style>
  <w:style w:type="character" w:customStyle="1" w:styleId="st42">
    <w:name w:val="st42"/>
    <w:uiPriority w:val="99"/>
    <w:rsid w:val="009156C2"/>
    <w:rPr>
      <w:color w:val="000000"/>
    </w:rPr>
  </w:style>
  <w:style w:type="character" w:styleId="a3">
    <w:name w:val="Hyperlink"/>
    <w:uiPriority w:val="99"/>
    <w:semiHidden/>
    <w:unhideWhenUsed/>
    <w:rsid w:val="009156C2"/>
    <w:rPr>
      <w:color w:val="0000FF"/>
      <w:u w:val="single"/>
    </w:rPr>
  </w:style>
  <w:style w:type="paragraph" w:customStyle="1" w:styleId="rvps2">
    <w:name w:val="rvps2"/>
    <w:basedOn w:val="a"/>
    <w:rsid w:val="009156C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rvts9">
    <w:name w:val="rvts9"/>
    <w:basedOn w:val="a0"/>
    <w:rsid w:val="009156C2"/>
  </w:style>
  <w:style w:type="character" w:customStyle="1" w:styleId="rvts40">
    <w:name w:val="rvts40"/>
    <w:basedOn w:val="a0"/>
    <w:rsid w:val="009156C2"/>
  </w:style>
  <w:style w:type="paragraph" w:customStyle="1" w:styleId="rvps12">
    <w:name w:val="rvps12"/>
    <w:basedOn w:val="a"/>
    <w:rsid w:val="009156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1">
    <w:name w:val="rvps11"/>
    <w:basedOn w:val="a"/>
    <w:rsid w:val="009156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9156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rsid w:val="00915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file/imgs/98/p480243n237v1-6.emf" TargetMode="External"/><Relationship Id="rId18" Type="http://schemas.openxmlformats.org/officeDocument/2006/relationships/hyperlink" Target="https://zakon.rada.gov.ua/laws/show/v1965874-18" TargetMode="External"/><Relationship Id="rId26" Type="http://schemas.openxmlformats.org/officeDocument/2006/relationships/image" Target="media/image8.gif"/><Relationship Id="rId39" Type="http://schemas.openxmlformats.org/officeDocument/2006/relationships/hyperlink" Target="https://zakon.rada.gov.ua/laws/show/v1965874-18" TargetMode="External"/><Relationship Id="rId21" Type="http://schemas.openxmlformats.org/officeDocument/2006/relationships/hyperlink" Target="https://zakon.rada.gov.ua/laws/show/v1965874-18" TargetMode="External"/><Relationship Id="rId34" Type="http://schemas.openxmlformats.org/officeDocument/2006/relationships/image" Target="media/image11.gif"/><Relationship Id="rId42" Type="http://schemas.openxmlformats.org/officeDocument/2006/relationships/hyperlink" Target="https://zakon.rada.gov.ua/laws/show/v1965874-18" TargetMode="External"/><Relationship Id="rId7" Type="http://schemas.openxmlformats.org/officeDocument/2006/relationships/image" Target="media/image2.gif"/><Relationship Id="rId2" Type="http://schemas.openxmlformats.org/officeDocument/2006/relationships/settings" Target="settings.xml"/><Relationship Id="rId16" Type="http://schemas.openxmlformats.org/officeDocument/2006/relationships/image" Target="media/image6.gif"/><Relationship Id="rId29" Type="http://schemas.openxmlformats.org/officeDocument/2006/relationships/image" Target="media/image9.gif"/><Relationship Id="rId1" Type="http://schemas.openxmlformats.org/officeDocument/2006/relationships/styles" Target="styles.xml"/><Relationship Id="rId6" Type="http://schemas.openxmlformats.org/officeDocument/2006/relationships/hyperlink" Target="https://zakon.rada.gov.ua/laws/file/imgs/85/p480243n235-3.emf" TargetMode="External"/><Relationship Id="rId11" Type="http://schemas.openxmlformats.org/officeDocument/2006/relationships/image" Target="media/image4.gif"/><Relationship Id="rId24" Type="http://schemas.openxmlformats.org/officeDocument/2006/relationships/hyperlink" Target="https://zakon.rada.gov.ua/laws/show/v1965874-18" TargetMode="External"/><Relationship Id="rId32" Type="http://schemas.openxmlformats.org/officeDocument/2006/relationships/image" Target="media/image10.gif"/><Relationship Id="rId37" Type="http://schemas.openxmlformats.org/officeDocument/2006/relationships/hyperlink" Target="https://zakon.rada.gov.ua/laws/file/imgs/98/p480243n239v1-14.emf" TargetMode="External"/><Relationship Id="rId40" Type="http://schemas.openxmlformats.org/officeDocument/2006/relationships/hyperlink" Target="https://zakon.rada.gov.ua/laws/file/imgs/98/p480243n239v1-15.emf" TargetMode="External"/><Relationship Id="rId45" Type="http://schemas.openxmlformats.org/officeDocument/2006/relationships/theme" Target="theme/theme1.xml"/><Relationship Id="rId5" Type="http://schemas.openxmlformats.org/officeDocument/2006/relationships/image" Target="media/image1.gif"/><Relationship Id="rId15" Type="http://schemas.openxmlformats.org/officeDocument/2006/relationships/hyperlink" Target="https://zakon.rada.gov.ua/laws/file/imgs/98/p480243n237v1-7.emf" TargetMode="External"/><Relationship Id="rId23" Type="http://schemas.openxmlformats.org/officeDocument/2006/relationships/image" Target="media/image7.gif"/><Relationship Id="rId28" Type="http://schemas.openxmlformats.org/officeDocument/2006/relationships/hyperlink" Target="https://zakon.rada.gov.ua/laws/file/imgs/98/p480243n237v1-10.emf" TargetMode="External"/><Relationship Id="rId36" Type="http://schemas.openxmlformats.org/officeDocument/2006/relationships/image" Target="media/image12.gif"/><Relationship Id="rId10" Type="http://schemas.openxmlformats.org/officeDocument/2006/relationships/hyperlink" Target="https://zakon.rada.gov.ua/laws/file/imgs/98/p480243n237v1-5.emf" TargetMode="External"/><Relationship Id="rId19" Type="http://schemas.openxmlformats.org/officeDocument/2006/relationships/hyperlink" Target="https://zakon.rada.gov.ua/laws/show/v1965874-18" TargetMode="External"/><Relationship Id="rId31" Type="http://schemas.openxmlformats.org/officeDocument/2006/relationships/hyperlink" Target="https://zakon.rada.gov.ua/laws/file/imgs/98/p480243n237v1-11.emf" TargetMode="External"/><Relationship Id="rId44" Type="http://schemas.openxmlformats.org/officeDocument/2006/relationships/fontTable" Target="fontTable.xml"/><Relationship Id="rId4" Type="http://schemas.openxmlformats.org/officeDocument/2006/relationships/hyperlink" Target="https://zakon.rada.gov.ua/laws/file/imgs/85/p480243n234-2.bmp" TargetMode="External"/><Relationship Id="rId9" Type="http://schemas.openxmlformats.org/officeDocument/2006/relationships/image" Target="media/image3.gif"/><Relationship Id="rId14" Type="http://schemas.openxmlformats.org/officeDocument/2006/relationships/image" Target="media/image5.gif"/><Relationship Id="rId22" Type="http://schemas.openxmlformats.org/officeDocument/2006/relationships/hyperlink" Target="https://zakon.rada.gov.ua/laws/file/imgs/98/p480243n237v1-8.emf" TargetMode="External"/><Relationship Id="rId27" Type="http://schemas.openxmlformats.org/officeDocument/2006/relationships/hyperlink" Target="https://zakon.rada.gov.ua/laws/show/v1965874-18" TargetMode="External"/><Relationship Id="rId30" Type="http://schemas.openxmlformats.org/officeDocument/2006/relationships/hyperlink" Target="https://zakon.rada.gov.ua/laws/show/v1965874-18" TargetMode="External"/><Relationship Id="rId35" Type="http://schemas.openxmlformats.org/officeDocument/2006/relationships/hyperlink" Target="https://zakon.rada.gov.ua/laws/file/imgs/98/p480243n238-13.bmp" TargetMode="External"/><Relationship Id="rId43" Type="http://schemas.openxmlformats.org/officeDocument/2006/relationships/hyperlink" Target="https://zakon.rada.gov.ua/laws/show/v1965874-18" TargetMode="External"/><Relationship Id="rId8" Type="http://schemas.openxmlformats.org/officeDocument/2006/relationships/hyperlink" Target="https://zakon.rada.gov.ua/laws/file/imgs/98/p480243n325-4.bmp" TargetMode="External"/><Relationship Id="rId3" Type="http://schemas.openxmlformats.org/officeDocument/2006/relationships/webSettings" Target="webSettings.xml"/><Relationship Id="rId12" Type="http://schemas.openxmlformats.org/officeDocument/2006/relationships/hyperlink" Target="https://zakon.rada.gov.ua/laws/show/v1965874-18" TargetMode="External"/><Relationship Id="rId17" Type="http://schemas.openxmlformats.org/officeDocument/2006/relationships/hyperlink" Target="https://zakon.rada.gov.ua/laws/show/v1965874-18" TargetMode="External"/><Relationship Id="rId25" Type="http://schemas.openxmlformats.org/officeDocument/2006/relationships/hyperlink" Target="https://zakon.rada.gov.ua/laws/file/imgs/98/p480243n237v1-9.emf" TargetMode="External"/><Relationship Id="rId33" Type="http://schemas.openxmlformats.org/officeDocument/2006/relationships/hyperlink" Target="https://zakon.rada.gov.ua/laws/file/imgs/98/p480243n237v1-12.emf" TargetMode="External"/><Relationship Id="rId38" Type="http://schemas.openxmlformats.org/officeDocument/2006/relationships/image" Target="media/image13.gif"/><Relationship Id="rId20" Type="http://schemas.openxmlformats.org/officeDocument/2006/relationships/hyperlink" Target="https://zakon.rada.gov.ua/laws/show/v1965874-18" TargetMode="External"/><Relationship Id="rId41" Type="http://schemas.openxmlformats.org/officeDocument/2006/relationships/image" Target="media/image14.gi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5</Pages>
  <Words>5285</Words>
  <Characters>3014</Characters>
  <Application>Microsoft Office Word</Application>
  <DocSecurity>0</DocSecurity>
  <Lines>25</Lines>
  <Paragraphs>16</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Максим Кічковський</cp:lastModifiedBy>
  <cp:revision>14</cp:revision>
  <dcterms:created xsi:type="dcterms:W3CDTF">2022-10-17T05:36:00Z</dcterms:created>
  <dcterms:modified xsi:type="dcterms:W3CDTF">2022-10-17T07:44:00Z</dcterms:modified>
</cp:coreProperties>
</file>