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6B41" w:rsidRDefault="00296B41" w:rsidP="00744F92">
      <w:pPr>
        <w:jc w:val="center"/>
        <w:rPr>
          <w:b/>
          <w:sz w:val="28"/>
          <w:szCs w:val="28"/>
        </w:rPr>
      </w:pPr>
      <w:r w:rsidRPr="00296B41">
        <w:rPr>
          <w:b/>
          <w:sz w:val="28"/>
          <w:szCs w:val="28"/>
        </w:rPr>
        <w:t xml:space="preserve">Узагальнені зауваження та пропозиції до </w:t>
      </w:r>
      <w:proofErr w:type="spellStart"/>
      <w:r w:rsidRPr="00296B41">
        <w:rPr>
          <w:b/>
          <w:sz w:val="28"/>
          <w:szCs w:val="28"/>
        </w:rPr>
        <w:t>проєкту</w:t>
      </w:r>
      <w:proofErr w:type="spellEnd"/>
      <w:r w:rsidRPr="00296B41">
        <w:rPr>
          <w:b/>
          <w:sz w:val="28"/>
          <w:szCs w:val="28"/>
        </w:rPr>
        <w:t xml:space="preserve"> постанови НКРЕКП </w:t>
      </w:r>
    </w:p>
    <w:p w:rsidR="00A80CF2" w:rsidRDefault="00767342" w:rsidP="00744F92">
      <w:pPr>
        <w:jc w:val="center"/>
        <w:rPr>
          <w:b/>
          <w:sz w:val="28"/>
          <w:szCs w:val="28"/>
        </w:rPr>
      </w:pPr>
      <w:r w:rsidRPr="008D4842">
        <w:rPr>
          <w:b/>
          <w:sz w:val="28"/>
          <w:szCs w:val="28"/>
        </w:rPr>
        <w:t>«</w:t>
      </w:r>
      <w:r w:rsidR="0007430F" w:rsidRPr="0007430F">
        <w:rPr>
          <w:b/>
          <w:sz w:val="28"/>
          <w:szCs w:val="28"/>
        </w:rPr>
        <w:t>Про внесення змін до Мінімальних стандартів та вимог до якості обслуговування споживачів та постачання природного газу</w:t>
      </w:r>
      <w:r w:rsidR="00AE7172" w:rsidRPr="008D4842">
        <w:rPr>
          <w:b/>
          <w:sz w:val="28"/>
          <w:szCs w:val="28"/>
        </w:rPr>
        <w:t>», що має ознаки регуляторного акта</w:t>
      </w:r>
    </w:p>
    <w:p w:rsidR="00025FE0" w:rsidRPr="00AD46C3" w:rsidRDefault="00025FE0" w:rsidP="00744F92">
      <w:pPr>
        <w:jc w:val="center"/>
      </w:pPr>
    </w:p>
    <w:tbl>
      <w:tblPr>
        <w:tblpPr w:leftFromText="180" w:rightFromText="180" w:vertAnchor="text" w:tblpY="1"/>
        <w:tblOverlap w:val="never"/>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5"/>
        <w:gridCol w:w="5812"/>
        <w:gridCol w:w="3262"/>
      </w:tblGrid>
      <w:tr w:rsidR="00F36F82" w:rsidRPr="001F4781" w:rsidTr="001275E0">
        <w:trPr>
          <w:trHeight w:val="307"/>
        </w:trPr>
        <w:tc>
          <w:tcPr>
            <w:tcW w:w="5665" w:type="dxa"/>
            <w:shd w:val="clear" w:color="auto" w:fill="auto"/>
          </w:tcPr>
          <w:p w:rsidR="00F36F82" w:rsidRPr="001F4781" w:rsidRDefault="00F36F82" w:rsidP="003D177E">
            <w:pPr>
              <w:jc w:val="center"/>
              <w:rPr>
                <w:b/>
              </w:rPr>
            </w:pPr>
            <w:r w:rsidRPr="001F4781">
              <w:rPr>
                <w:b/>
              </w:rPr>
              <w:t xml:space="preserve">Редакція </w:t>
            </w:r>
            <w:proofErr w:type="spellStart"/>
            <w:r w:rsidRPr="001F4781">
              <w:rPr>
                <w:b/>
              </w:rPr>
              <w:t>проєкту</w:t>
            </w:r>
            <w:proofErr w:type="spellEnd"/>
            <w:r w:rsidRPr="001F4781">
              <w:rPr>
                <w:b/>
              </w:rPr>
              <w:t xml:space="preserve"> рішення НКРЕКП</w:t>
            </w:r>
          </w:p>
        </w:tc>
        <w:tc>
          <w:tcPr>
            <w:tcW w:w="5812" w:type="dxa"/>
          </w:tcPr>
          <w:p w:rsidR="00F36F82" w:rsidRPr="001F4781" w:rsidRDefault="00F36F82" w:rsidP="003D177E">
            <w:pPr>
              <w:jc w:val="center"/>
              <w:rPr>
                <w:b/>
              </w:rPr>
            </w:pPr>
            <w:r w:rsidRPr="001F4781">
              <w:rPr>
                <w:b/>
              </w:rPr>
              <w:t xml:space="preserve">Зауваження та пропозиції до </w:t>
            </w:r>
            <w:proofErr w:type="spellStart"/>
            <w:r w:rsidRPr="001F4781">
              <w:rPr>
                <w:b/>
              </w:rPr>
              <w:t>проєкту</w:t>
            </w:r>
            <w:proofErr w:type="spellEnd"/>
            <w:r w:rsidRPr="001F4781">
              <w:rPr>
                <w:b/>
              </w:rPr>
              <w:t xml:space="preserve"> рішення НКРЕКП</w:t>
            </w:r>
          </w:p>
        </w:tc>
        <w:tc>
          <w:tcPr>
            <w:tcW w:w="3262" w:type="dxa"/>
          </w:tcPr>
          <w:p w:rsidR="00F36F82" w:rsidRPr="001F4781" w:rsidRDefault="00F36F82" w:rsidP="003D177E">
            <w:pPr>
              <w:jc w:val="center"/>
              <w:rPr>
                <w:b/>
              </w:rPr>
            </w:pPr>
            <w:r w:rsidRPr="001F4781">
              <w:rPr>
                <w:b/>
              </w:rPr>
              <w:t>Попередня позиція НКРЕКП щодо наданих зауважень та пропозицій з обґрунтуваннями щодо прийняття або відхилення</w:t>
            </w:r>
          </w:p>
        </w:tc>
      </w:tr>
      <w:tr w:rsidR="001F4781" w:rsidRPr="001F4781" w:rsidTr="0007430F">
        <w:trPr>
          <w:trHeight w:val="554"/>
        </w:trPr>
        <w:tc>
          <w:tcPr>
            <w:tcW w:w="14739" w:type="dxa"/>
            <w:gridSpan w:val="3"/>
            <w:shd w:val="clear" w:color="auto" w:fill="auto"/>
          </w:tcPr>
          <w:p w:rsidR="001F4781" w:rsidRPr="007E7184" w:rsidRDefault="0007430F" w:rsidP="003D177E">
            <w:pPr>
              <w:ind w:firstLine="709"/>
              <w:jc w:val="center"/>
              <w:rPr>
                <w:b/>
              </w:rPr>
            </w:pPr>
            <w:r w:rsidRPr="0007430F">
              <w:rPr>
                <w:b/>
              </w:rPr>
              <w:t>Мінімальні стандарти та вимоги до якості обслуговування споживачів природного газу та порядок надання компенсації споживачам за їх недотримання</w:t>
            </w:r>
          </w:p>
        </w:tc>
      </w:tr>
      <w:tr w:rsidR="001F4781" w:rsidRPr="001F4781" w:rsidTr="0007430F">
        <w:tc>
          <w:tcPr>
            <w:tcW w:w="14739" w:type="dxa"/>
            <w:gridSpan w:val="3"/>
            <w:shd w:val="clear" w:color="auto" w:fill="auto"/>
          </w:tcPr>
          <w:p w:rsidR="001F4781" w:rsidRPr="007E7184" w:rsidRDefault="0007430F" w:rsidP="00972F27">
            <w:pPr>
              <w:pStyle w:val="a5"/>
              <w:spacing w:before="0" w:beforeAutospacing="0" w:after="0" w:afterAutospacing="0"/>
              <w:ind w:firstLine="371"/>
              <w:jc w:val="center"/>
              <w:rPr>
                <w:b/>
                <w:color w:val="000000"/>
                <w:lang w:val="uk-UA"/>
              </w:rPr>
            </w:pPr>
            <w:r w:rsidRPr="0007430F">
              <w:rPr>
                <w:b/>
                <w:color w:val="000000"/>
                <w:lang w:val="uk-UA"/>
              </w:rPr>
              <w:t>3.</w:t>
            </w:r>
            <w:r w:rsidRPr="0007430F">
              <w:rPr>
                <w:b/>
                <w:color w:val="000000"/>
                <w:lang w:val="uk-UA"/>
              </w:rPr>
              <w:tab/>
              <w:t>Забезпечення мінімальних стандартів якості послуг постачання природного газу</w:t>
            </w:r>
          </w:p>
        </w:tc>
      </w:tr>
      <w:tr w:rsidR="00F36F82" w:rsidRPr="001F4781" w:rsidTr="001275E0">
        <w:tc>
          <w:tcPr>
            <w:tcW w:w="5665" w:type="dxa"/>
            <w:shd w:val="clear" w:color="auto" w:fill="auto"/>
          </w:tcPr>
          <w:p w:rsidR="00F36F82" w:rsidRPr="00F11EAE" w:rsidRDefault="00F36F82" w:rsidP="00972F27">
            <w:pPr>
              <w:pStyle w:val="a5"/>
              <w:spacing w:before="0" w:beforeAutospacing="0" w:after="0" w:afterAutospacing="0"/>
              <w:ind w:firstLine="371"/>
              <w:jc w:val="both"/>
              <w:rPr>
                <w:b/>
                <w:lang w:val="uk-UA"/>
              </w:rPr>
            </w:pPr>
          </w:p>
        </w:tc>
        <w:tc>
          <w:tcPr>
            <w:tcW w:w="5812" w:type="dxa"/>
            <w:tcBorders>
              <w:bottom w:val="nil"/>
            </w:tcBorders>
          </w:tcPr>
          <w:p w:rsidR="00F36F82" w:rsidRPr="00F11EAE" w:rsidRDefault="0007430F" w:rsidP="00475424">
            <w:pPr>
              <w:ind w:firstLine="317"/>
              <w:jc w:val="center"/>
              <w:rPr>
                <w:rFonts w:eastAsia="Calibri" w:cstheme="minorHAnsi"/>
                <w:b/>
                <w:bCs/>
                <w:color w:val="000000"/>
                <w:lang w:eastAsia="en-US"/>
              </w:rPr>
            </w:pPr>
            <w:r w:rsidRPr="0007430F">
              <w:rPr>
                <w:rFonts w:eastAsia="Calibri" w:cstheme="minorHAnsi"/>
                <w:b/>
                <w:bCs/>
                <w:color w:val="000000"/>
                <w:lang w:eastAsia="en-US"/>
              </w:rPr>
              <w:t>ТОВ «ДНІПРОВСЬКІ ЕНЕРГЕТИЧНІ ПОСЛУГИ»</w:t>
            </w:r>
          </w:p>
        </w:tc>
        <w:tc>
          <w:tcPr>
            <w:tcW w:w="3262" w:type="dxa"/>
          </w:tcPr>
          <w:p w:rsidR="00A3115A" w:rsidRPr="00F11EAE" w:rsidRDefault="00A3115A" w:rsidP="005C4246">
            <w:pPr>
              <w:rPr>
                <w:b/>
              </w:rPr>
            </w:pPr>
          </w:p>
        </w:tc>
      </w:tr>
      <w:tr w:rsidR="00F36F82" w:rsidRPr="001F4781" w:rsidTr="001275E0">
        <w:tc>
          <w:tcPr>
            <w:tcW w:w="5665" w:type="dxa"/>
            <w:shd w:val="clear" w:color="auto" w:fill="auto"/>
          </w:tcPr>
          <w:p w:rsidR="0007430F" w:rsidRPr="00930C3B" w:rsidRDefault="0007430F" w:rsidP="0007430F">
            <w:pPr>
              <w:spacing w:after="120"/>
              <w:jc w:val="both"/>
              <w:rPr>
                <w:sz w:val="22"/>
                <w:szCs w:val="22"/>
              </w:rPr>
            </w:pPr>
            <w:r w:rsidRPr="00C06E91">
              <w:rPr>
                <w:sz w:val="22"/>
                <w:szCs w:val="22"/>
              </w:rPr>
              <w:t xml:space="preserve">3.2. </w:t>
            </w:r>
            <w:bookmarkStart w:id="0" w:name="_Hlk112671251"/>
            <w:r w:rsidRPr="00C06E91">
              <w:rPr>
                <w:sz w:val="22"/>
                <w:szCs w:val="22"/>
              </w:rPr>
              <w:t xml:space="preserve">До мінімальних </w:t>
            </w:r>
            <w:r w:rsidRPr="00930C3B">
              <w:rPr>
                <w:sz w:val="22"/>
                <w:szCs w:val="22"/>
              </w:rPr>
              <w:t>стандартів якості при наданні постачальником послуг постачання природного газу належать</w:t>
            </w:r>
            <w:bookmarkEnd w:id="0"/>
            <w:r w:rsidRPr="00930C3B">
              <w:rPr>
                <w:sz w:val="22"/>
                <w:szCs w:val="22"/>
              </w:rPr>
              <w:t>:</w:t>
            </w:r>
          </w:p>
          <w:p w:rsidR="0007430F" w:rsidRPr="00930C3B" w:rsidRDefault="0007430F" w:rsidP="0007430F">
            <w:pPr>
              <w:spacing w:after="120"/>
              <w:jc w:val="both"/>
              <w:rPr>
                <w:sz w:val="22"/>
                <w:szCs w:val="22"/>
              </w:rPr>
            </w:pPr>
            <w:r w:rsidRPr="00930C3B">
              <w:rPr>
                <w:sz w:val="22"/>
                <w:szCs w:val="22"/>
              </w:rPr>
              <w:t>…</w:t>
            </w:r>
          </w:p>
          <w:p w:rsidR="00F36F82" w:rsidRPr="001F4781" w:rsidRDefault="0007430F" w:rsidP="0007430F">
            <w:pPr>
              <w:pStyle w:val="a5"/>
              <w:spacing w:before="0" w:beforeAutospacing="0" w:after="0" w:afterAutospacing="0"/>
              <w:rPr>
                <w:lang w:val="uk-UA"/>
              </w:rPr>
            </w:pPr>
            <w:r w:rsidRPr="00930C3B">
              <w:rPr>
                <w:sz w:val="22"/>
                <w:szCs w:val="22"/>
              </w:rPr>
              <w:t xml:space="preserve">2) </w:t>
            </w:r>
            <w:bookmarkStart w:id="1" w:name="_Hlk112671283"/>
            <w:proofErr w:type="spellStart"/>
            <w:r w:rsidRPr="00930C3B">
              <w:rPr>
                <w:sz w:val="22"/>
                <w:szCs w:val="22"/>
              </w:rPr>
              <w:t>надання</w:t>
            </w:r>
            <w:proofErr w:type="spellEnd"/>
            <w:r w:rsidRPr="00930C3B">
              <w:rPr>
                <w:sz w:val="22"/>
                <w:szCs w:val="22"/>
              </w:rPr>
              <w:t xml:space="preserve"> </w:t>
            </w:r>
            <w:proofErr w:type="spellStart"/>
            <w:r w:rsidRPr="00930C3B">
              <w:rPr>
                <w:sz w:val="22"/>
                <w:szCs w:val="22"/>
              </w:rPr>
              <w:t>повідомлення</w:t>
            </w:r>
            <w:proofErr w:type="spellEnd"/>
            <w:r w:rsidRPr="00930C3B">
              <w:rPr>
                <w:sz w:val="22"/>
                <w:szCs w:val="22"/>
              </w:rPr>
              <w:t xml:space="preserve"> про </w:t>
            </w:r>
            <w:proofErr w:type="spellStart"/>
            <w:r w:rsidRPr="00930C3B">
              <w:rPr>
                <w:sz w:val="22"/>
                <w:szCs w:val="22"/>
              </w:rPr>
              <w:t>намір</w:t>
            </w:r>
            <w:proofErr w:type="spellEnd"/>
            <w:r w:rsidRPr="00930C3B">
              <w:rPr>
                <w:sz w:val="22"/>
                <w:szCs w:val="22"/>
              </w:rPr>
              <w:t xml:space="preserve"> </w:t>
            </w:r>
            <w:proofErr w:type="spellStart"/>
            <w:r w:rsidRPr="00930C3B">
              <w:rPr>
                <w:sz w:val="22"/>
                <w:szCs w:val="22"/>
              </w:rPr>
              <w:t>змінити</w:t>
            </w:r>
            <w:proofErr w:type="spellEnd"/>
            <w:r w:rsidRPr="00930C3B">
              <w:rPr>
                <w:sz w:val="22"/>
                <w:szCs w:val="22"/>
              </w:rPr>
              <w:t xml:space="preserve"> </w:t>
            </w:r>
            <w:proofErr w:type="spellStart"/>
            <w:r w:rsidRPr="00930C3B">
              <w:rPr>
                <w:sz w:val="22"/>
                <w:szCs w:val="22"/>
              </w:rPr>
              <w:t>умови</w:t>
            </w:r>
            <w:proofErr w:type="spellEnd"/>
            <w:r w:rsidRPr="00930C3B">
              <w:rPr>
                <w:sz w:val="22"/>
                <w:szCs w:val="22"/>
              </w:rPr>
              <w:t xml:space="preserve"> договору </w:t>
            </w:r>
            <w:proofErr w:type="spellStart"/>
            <w:r w:rsidRPr="00930C3B">
              <w:rPr>
                <w:sz w:val="22"/>
                <w:szCs w:val="22"/>
              </w:rPr>
              <w:t>постачання</w:t>
            </w:r>
            <w:proofErr w:type="spellEnd"/>
            <w:r w:rsidRPr="00930C3B">
              <w:rPr>
                <w:sz w:val="22"/>
                <w:szCs w:val="22"/>
              </w:rPr>
              <w:t xml:space="preserve"> природного газу для </w:t>
            </w:r>
            <w:proofErr w:type="spellStart"/>
            <w:r w:rsidRPr="00930C3B">
              <w:rPr>
                <w:sz w:val="22"/>
                <w:szCs w:val="22"/>
              </w:rPr>
              <w:t>непобутових</w:t>
            </w:r>
            <w:proofErr w:type="spellEnd"/>
            <w:r w:rsidRPr="00930C3B">
              <w:rPr>
                <w:sz w:val="22"/>
                <w:szCs w:val="22"/>
              </w:rPr>
              <w:t xml:space="preserve"> </w:t>
            </w:r>
            <w:proofErr w:type="spellStart"/>
            <w:r w:rsidRPr="00930C3B">
              <w:rPr>
                <w:sz w:val="22"/>
                <w:szCs w:val="22"/>
              </w:rPr>
              <w:t>споживачів</w:t>
            </w:r>
            <w:proofErr w:type="spellEnd"/>
            <w:r w:rsidRPr="00930C3B">
              <w:rPr>
                <w:sz w:val="22"/>
                <w:szCs w:val="22"/>
              </w:rPr>
              <w:t xml:space="preserve"> не </w:t>
            </w:r>
            <w:proofErr w:type="spellStart"/>
            <w:r w:rsidRPr="00930C3B">
              <w:rPr>
                <w:sz w:val="22"/>
                <w:szCs w:val="22"/>
              </w:rPr>
              <w:t>пізніше</w:t>
            </w:r>
            <w:proofErr w:type="spellEnd"/>
            <w:r w:rsidRPr="00930C3B">
              <w:rPr>
                <w:sz w:val="22"/>
                <w:szCs w:val="22"/>
              </w:rPr>
              <w:t xml:space="preserve"> </w:t>
            </w:r>
            <w:proofErr w:type="spellStart"/>
            <w:r w:rsidRPr="00930C3B">
              <w:rPr>
                <w:sz w:val="22"/>
                <w:szCs w:val="22"/>
              </w:rPr>
              <w:t>ніж</w:t>
            </w:r>
            <w:proofErr w:type="spellEnd"/>
            <w:r w:rsidRPr="00930C3B">
              <w:rPr>
                <w:sz w:val="22"/>
                <w:szCs w:val="22"/>
              </w:rPr>
              <w:t xml:space="preserve"> за 30 </w:t>
            </w:r>
            <w:proofErr w:type="spellStart"/>
            <w:r w:rsidRPr="00930C3B">
              <w:rPr>
                <w:sz w:val="22"/>
                <w:szCs w:val="22"/>
              </w:rPr>
              <w:t>днів</w:t>
            </w:r>
            <w:proofErr w:type="spellEnd"/>
            <w:r w:rsidRPr="00930C3B">
              <w:rPr>
                <w:sz w:val="22"/>
                <w:szCs w:val="22"/>
              </w:rPr>
              <w:t xml:space="preserve"> до </w:t>
            </w:r>
            <w:proofErr w:type="spellStart"/>
            <w:r w:rsidRPr="00930C3B">
              <w:rPr>
                <w:sz w:val="22"/>
                <w:szCs w:val="22"/>
              </w:rPr>
              <w:t>запланованого</w:t>
            </w:r>
            <w:proofErr w:type="spellEnd"/>
            <w:r w:rsidRPr="00930C3B">
              <w:rPr>
                <w:sz w:val="22"/>
                <w:szCs w:val="22"/>
              </w:rPr>
              <w:t xml:space="preserve"> </w:t>
            </w:r>
            <w:proofErr w:type="spellStart"/>
            <w:r w:rsidRPr="00930C3B">
              <w:rPr>
                <w:sz w:val="22"/>
                <w:szCs w:val="22"/>
              </w:rPr>
              <w:t>набрання</w:t>
            </w:r>
            <w:proofErr w:type="spellEnd"/>
            <w:r w:rsidRPr="00930C3B">
              <w:rPr>
                <w:sz w:val="22"/>
                <w:szCs w:val="22"/>
              </w:rPr>
              <w:t xml:space="preserve"> </w:t>
            </w:r>
            <w:proofErr w:type="spellStart"/>
            <w:r w:rsidRPr="00930C3B">
              <w:rPr>
                <w:sz w:val="22"/>
                <w:szCs w:val="22"/>
              </w:rPr>
              <w:t>чинності</w:t>
            </w:r>
            <w:proofErr w:type="spellEnd"/>
            <w:r w:rsidRPr="00930C3B">
              <w:rPr>
                <w:sz w:val="22"/>
                <w:szCs w:val="22"/>
              </w:rPr>
              <w:t xml:space="preserve"> такими </w:t>
            </w:r>
            <w:proofErr w:type="spellStart"/>
            <w:r w:rsidRPr="00930C3B">
              <w:rPr>
                <w:sz w:val="22"/>
                <w:szCs w:val="22"/>
              </w:rPr>
              <w:t>змінами</w:t>
            </w:r>
            <w:proofErr w:type="spellEnd"/>
            <w:r w:rsidRPr="00930C3B">
              <w:rPr>
                <w:sz w:val="22"/>
                <w:szCs w:val="22"/>
              </w:rPr>
              <w:t xml:space="preserve"> (</w:t>
            </w:r>
            <w:proofErr w:type="spellStart"/>
            <w:r w:rsidRPr="00930C3B">
              <w:rPr>
                <w:sz w:val="22"/>
                <w:szCs w:val="22"/>
              </w:rPr>
              <w:t>крім</w:t>
            </w:r>
            <w:proofErr w:type="spellEnd"/>
            <w:r w:rsidRPr="00930C3B">
              <w:rPr>
                <w:sz w:val="22"/>
                <w:szCs w:val="22"/>
              </w:rPr>
              <w:t xml:space="preserve"> </w:t>
            </w:r>
            <w:proofErr w:type="spellStart"/>
            <w:r w:rsidRPr="00930C3B">
              <w:rPr>
                <w:sz w:val="22"/>
                <w:szCs w:val="22"/>
              </w:rPr>
              <w:t>ціни</w:t>
            </w:r>
            <w:proofErr w:type="spellEnd"/>
            <w:r w:rsidRPr="00930C3B">
              <w:rPr>
                <w:sz w:val="22"/>
                <w:szCs w:val="22"/>
              </w:rPr>
              <w:t xml:space="preserve"> на </w:t>
            </w:r>
            <w:proofErr w:type="spellStart"/>
            <w:r w:rsidRPr="00930C3B">
              <w:rPr>
                <w:sz w:val="22"/>
                <w:szCs w:val="22"/>
              </w:rPr>
              <w:t>природний</w:t>
            </w:r>
            <w:proofErr w:type="spellEnd"/>
            <w:r w:rsidRPr="00930C3B">
              <w:rPr>
                <w:sz w:val="22"/>
                <w:szCs w:val="22"/>
              </w:rPr>
              <w:t xml:space="preserve"> газ,</w:t>
            </w:r>
            <w:r w:rsidRPr="00C06E91">
              <w:rPr>
                <w:sz w:val="22"/>
                <w:szCs w:val="22"/>
              </w:rPr>
              <w:t xml:space="preserve"> </w:t>
            </w:r>
            <w:proofErr w:type="spellStart"/>
            <w:r w:rsidRPr="00C06E91">
              <w:rPr>
                <w:sz w:val="22"/>
                <w:szCs w:val="22"/>
              </w:rPr>
              <w:t>якщо</w:t>
            </w:r>
            <w:proofErr w:type="spellEnd"/>
            <w:r w:rsidRPr="00C06E91">
              <w:rPr>
                <w:sz w:val="22"/>
                <w:szCs w:val="22"/>
              </w:rPr>
              <w:t xml:space="preserve"> вона </w:t>
            </w:r>
            <w:proofErr w:type="spellStart"/>
            <w:r w:rsidRPr="00C06E91">
              <w:rPr>
                <w:sz w:val="22"/>
                <w:szCs w:val="22"/>
              </w:rPr>
              <w:t>встановлюється</w:t>
            </w:r>
            <w:proofErr w:type="spellEnd"/>
            <w:r w:rsidRPr="00C06E91">
              <w:rPr>
                <w:sz w:val="22"/>
                <w:szCs w:val="22"/>
              </w:rPr>
              <w:t xml:space="preserve"> для </w:t>
            </w:r>
            <w:proofErr w:type="spellStart"/>
            <w:r w:rsidRPr="00C06E91">
              <w:rPr>
                <w:sz w:val="22"/>
                <w:szCs w:val="22"/>
              </w:rPr>
              <w:t>постачальника</w:t>
            </w:r>
            <w:proofErr w:type="spellEnd"/>
            <w:r w:rsidRPr="00C06E91">
              <w:rPr>
                <w:sz w:val="22"/>
                <w:szCs w:val="22"/>
              </w:rPr>
              <w:t xml:space="preserve"> </w:t>
            </w:r>
            <w:proofErr w:type="spellStart"/>
            <w:r w:rsidRPr="00C06E91">
              <w:rPr>
                <w:sz w:val="22"/>
                <w:szCs w:val="22"/>
              </w:rPr>
              <w:t>відповідними</w:t>
            </w:r>
            <w:proofErr w:type="spellEnd"/>
            <w:r w:rsidRPr="00C06E91">
              <w:rPr>
                <w:sz w:val="22"/>
                <w:szCs w:val="22"/>
              </w:rPr>
              <w:t xml:space="preserve"> </w:t>
            </w:r>
            <w:proofErr w:type="spellStart"/>
            <w:r w:rsidRPr="00C06E91">
              <w:rPr>
                <w:sz w:val="22"/>
                <w:szCs w:val="22"/>
              </w:rPr>
              <w:t>державними</w:t>
            </w:r>
            <w:proofErr w:type="spellEnd"/>
            <w:r w:rsidRPr="00C06E91">
              <w:rPr>
                <w:sz w:val="22"/>
                <w:szCs w:val="22"/>
              </w:rPr>
              <w:t xml:space="preserve"> органами);</w:t>
            </w:r>
            <w:bookmarkEnd w:id="1"/>
          </w:p>
        </w:tc>
        <w:tc>
          <w:tcPr>
            <w:tcW w:w="5812" w:type="dxa"/>
          </w:tcPr>
          <w:p w:rsidR="0007430F" w:rsidRDefault="0007430F" w:rsidP="00F11EAE">
            <w:pPr>
              <w:rPr>
                <w:sz w:val="22"/>
                <w:szCs w:val="22"/>
              </w:rPr>
            </w:pPr>
            <w:r w:rsidRPr="0007430F">
              <w:rPr>
                <w:rFonts w:eastAsia="Calibri" w:cstheme="minorHAnsi"/>
                <w:b/>
                <w:bCs/>
                <w:color w:val="000000"/>
                <w:lang w:eastAsia="en-US"/>
              </w:rPr>
              <w:t>ТОВ «ДНІПРОВСЬКІ ЕНЕРГЕТИЧНІ ПОСЛУГИ»</w:t>
            </w:r>
          </w:p>
          <w:p w:rsidR="0007430F" w:rsidRDefault="0007430F" w:rsidP="00F11EAE">
            <w:pPr>
              <w:rPr>
                <w:sz w:val="22"/>
                <w:szCs w:val="22"/>
              </w:rPr>
            </w:pPr>
          </w:p>
          <w:p w:rsidR="00F36F82" w:rsidRDefault="0007430F" w:rsidP="00F11EAE">
            <w:pPr>
              <w:rPr>
                <w:sz w:val="22"/>
                <w:szCs w:val="22"/>
              </w:rPr>
            </w:pPr>
            <w:r w:rsidRPr="00C06E91">
              <w:rPr>
                <w:sz w:val="22"/>
                <w:szCs w:val="22"/>
              </w:rPr>
              <w:t xml:space="preserve">2) надання повідомлення про намір змінити умови договору постачання природного газу для непобутових </w:t>
            </w:r>
            <w:r w:rsidRPr="00930C3B">
              <w:rPr>
                <w:sz w:val="22"/>
                <w:szCs w:val="22"/>
              </w:rPr>
              <w:t>споживачів не пізніше ніж за</w:t>
            </w:r>
            <w:r w:rsidRPr="00C06E91">
              <w:rPr>
                <w:sz w:val="22"/>
                <w:szCs w:val="22"/>
              </w:rPr>
              <w:t xml:space="preserve"> 30 днів до запланованого набрання чинності такими змінами (крім ціни на природний газ</w:t>
            </w:r>
            <w:r w:rsidRPr="00930C3B">
              <w:rPr>
                <w:b/>
                <w:strike/>
                <w:sz w:val="22"/>
                <w:szCs w:val="22"/>
              </w:rPr>
              <w:t>, якщо вона встановлюється для постачальника відповідними державними органами)</w:t>
            </w:r>
            <w:r w:rsidRPr="00C06E91">
              <w:rPr>
                <w:sz w:val="22"/>
                <w:szCs w:val="22"/>
              </w:rPr>
              <w:t>;</w:t>
            </w:r>
          </w:p>
          <w:p w:rsidR="0007430F" w:rsidRDefault="0007430F" w:rsidP="00F11EAE">
            <w:pPr>
              <w:rPr>
                <w:b/>
              </w:rPr>
            </w:pPr>
          </w:p>
          <w:p w:rsidR="0007430F" w:rsidRDefault="0007430F" w:rsidP="00F11EAE">
            <w:pPr>
              <w:rPr>
                <w:b/>
                <w:i/>
              </w:rPr>
            </w:pPr>
            <w:proofErr w:type="spellStart"/>
            <w:r w:rsidRPr="0007430F">
              <w:rPr>
                <w:b/>
                <w:i/>
              </w:rPr>
              <w:t>Обгрунтування</w:t>
            </w:r>
            <w:proofErr w:type="spellEnd"/>
            <w:r>
              <w:rPr>
                <w:b/>
                <w:i/>
              </w:rPr>
              <w:t>:</w:t>
            </w:r>
          </w:p>
          <w:p w:rsidR="0007430F" w:rsidRPr="00930C3B" w:rsidRDefault="0007430F" w:rsidP="0007430F">
            <w:pPr>
              <w:spacing w:after="120"/>
              <w:jc w:val="both"/>
              <w:rPr>
                <w:sz w:val="22"/>
                <w:szCs w:val="22"/>
              </w:rPr>
            </w:pPr>
            <w:r w:rsidRPr="00930C3B">
              <w:rPr>
                <w:sz w:val="22"/>
                <w:szCs w:val="22"/>
              </w:rPr>
              <w:t xml:space="preserve">Пунктом 4 розділу І Правил </w:t>
            </w:r>
            <w:r w:rsidRPr="006535D0">
              <w:rPr>
                <w:sz w:val="22"/>
                <w:szCs w:val="22"/>
              </w:rPr>
              <w:t>постачання природного газу</w:t>
            </w:r>
            <w:r w:rsidRPr="00930C3B">
              <w:rPr>
                <w:sz w:val="22"/>
                <w:szCs w:val="22"/>
              </w:rPr>
              <w:t xml:space="preserve"> передбачено, що ціни встановлюються вільно. Практика ринку для непобутових споживачів, побудована на двосторонньому погодженні ціни між Сторонами.</w:t>
            </w:r>
          </w:p>
          <w:p w:rsidR="0007430F" w:rsidRPr="0007430F" w:rsidRDefault="0007430F" w:rsidP="0007430F">
            <w:pPr>
              <w:rPr>
                <w:b/>
                <w:i/>
              </w:rPr>
            </w:pPr>
            <w:r w:rsidRPr="00930C3B">
              <w:rPr>
                <w:sz w:val="22"/>
                <w:szCs w:val="22"/>
              </w:rPr>
              <w:t>Відповідно до п.8 розділу ІІІ Правил, зміна ціни не вважається зміною умов комерційної пропозиції, якщо вона публікується у строки передбачені Правилами. Строки публікації цін для населення передбачені Правилами. З огляду на це пропонується привести у відповідність із діючими практиками.</w:t>
            </w:r>
          </w:p>
        </w:tc>
        <w:tc>
          <w:tcPr>
            <w:tcW w:w="3262" w:type="dxa"/>
          </w:tcPr>
          <w:p w:rsidR="00F11EAE" w:rsidRPr="008A6C5F" w:rsidRDefault="008A6C5F" w:rsidP="00972F27">
            <w:pPr>
              <w:pStyle w:val="ae"/>
              <w:jc w:val="both"/>
              <w:rPr>
                <w:b/>
                <w:sz w:val="22"/>
                <w:szCs w:val="22"/>
                <w:lang w:val="uk-UA"/>
              </w:rPr>
            </w:pPr>
            <w:r>
              <w:rPr>
                <w:b/>
                <w:sz w:val="22"/>
                <w:szCs w:val="22"/>
                <w:lang w:val="uk-UA"/>
              </w:rPr>
              <w:t>Попередньо відхиляється</w:t>
            </w:r>
          </w:p>
          <w:p w:rsidR="0007430F" w:rsidRPr="00DF0088" w:rsidRDefault="0007430F" w:rsidP="00972F27">
            <w:pPr>
              <w:pStyle w:val="ae"/>
              <w:jc w:val="both"/>
              <w:rPr>
                <w:b/>
                <w:sz w:val="22"/>
                <w:szCs w:val="22"/>
                <w:lang w:val="uk-UA"/>
              </w:rPr>
            </w:pPr>
            <w:r w:rsidRPr="00DF0088">
              <w:rPr>
                <w:sz w:val="22"/>
                <w:szCs w:val="22"/>
                <w:lang w:val="uk-UA"/>
              </w:rPr>
              <w:t>Суперечить</w:t>
            </w:r>
            <w:r w:rsidRPr="00DF0088">
              <w:rPr>
                <w:sz w:val="22"/>
                <w:szCs w:val="22"/>
              </w:rPr>
              <w:t xml:space="preserve"> пункт</w:t>
            </w:r>
            <w:r w:rsidRPr="00DF0088">
              <w:rPr>
                <w:sz w:val="22"/>
                <w:szCs w:val="22"/>
                <w:lang w:val="uk-UA"/>
              </w:rPr>
              <w:t>у</w:t>
            </w:r>
            <w:r w:rsidRPr="00DF0088">
              <w:rPr>
                <w:sz w:val="22"/>
                <w:szCs w:val="22"/>
              </w:rPr>
              <w:t xml:space="preserve"> 5 </w:t>
            </w:r>
            <w:proofErr w:type="spellStart"/>
            <w:r w:rsidRPr="00DF0088">
              <w:rPr>
                <w:sz w:val="22"/>
                <w:szCs w:val="22"/>
              </w:rPr>
              <w:t>розділу</w:t>
            </w:r>
            <w:proofErr w:type="spellEnd"/>
            <w:r w:rsidRPr="00DF0088">
              <w:rPr>
                <w:sz w:val="22"/>
                <w:szCs w:val="22"/>
              </w:rPr>
              <w:t xml:space="preserve"> ІІ Правил </w:t>
            </w:r>
            <w:proofErr w:type="spellStart"/>
            <w:r w:rsidRPr="00DF0088">
              <w:rPr>
                <w:sz w:val="22"/>
                <w:szCs w:val="22"/>
              </w:rPr>
              <w:t>постачання</w:t>
            </w:r>
            <w:proofErr w:type="spellEnd"/>
            <w:r w:rsidRPr="00DF0088">
              <w:rPr>
                <w:sz w:val="22"/>
                <w:szCs w:val="22"/>
              </w:rPr>
              <w:t xml:space="preserve"> природного газу</w:t>
            </w:r>
            <w:r w:rsidR="001275E0" w:rsidRPr="00DF0088">
              <w:rPr>
                <w:sz w:val="22"/>
                <w:szCs w:val="22"/>
                <w:lang w:val="uk-UA"/>
              </w:rPr>
              <w:t xml:space="preserve"> (далі – Правила)</w:t>
            </w:r>
          </w:p>
        </w:tc>
      </w:tr>
      <w:tr w:rsidR="0007430F" w:rsidRPr="001F4781" w:rsidTr="001275E0">
        <w:tc>
          <w:tcPr>
            <w:tcW w:w="5665" w:type="dxa"/>
            <w:shd w:val="clear" w:color="auto" w:fill="auto"/>
          </w:tcPr>
          <w:p w:rsidR="0007430F" w:rsidRPr="0015352C" w:rsidRDefault="0007430F" w:rsidP="0007430F">
            <w:pPr>
              <w:spacing w:after="120"/>
              <w:jc w:val="both"/>
              <w:rPr>
                <w:sz w:val="22"/>
                <w:szCs w:val="22"/>
              </w:rPr>
            </w:pPr>
            <w:r w:rsidRPr="0015352C">
              <w:rPr>
                <w:sz w:val="22"/>
                <w:szCs w:val="22"/>
              </w:rPr>
              <w:t xml:space="preserve">3) повернення переплати вартості природного газу на поточний рахунок побутового споживача, у тому числі повернення переплати попередніми постачальниками,– у </w:t>
            </w:r>
            <w:r w:rsidRPr="0015352C">
              <w:rPr>
                <w:sz w:val="22"/>
                <w:szCs w:val="22"/>
              </w:rPr>
              <w:lastRenderedPageBreak/>
              <w:t>строк не більше 5 робочих днів з дня отримання письмової вимоги побутового споживача</w:t>
            </w:r>
          </w:p>
        </w:tc>
        <w:tc>
          <w:tcPr>
            <w:tcW w:w="5812" w:type="dxa"/>
          </w:tcPr>
          <w:p w:rsidR="0007430F" w:rsidRDefault="0007430F" w:rsidP="0007430F">
            <w:pPr>
              <w:rPr>
                <w:sz w:val="22"/>
                <w:szCs w:val="22"/>
              </w:rPr>
            </w:pPr>
            <w:r w:rsidRPr="0007430F">
              <w:rPr>
                <w:rFonts w:eastAsia="Calibri" w:cstheme="minorHAnsi"/>
                <w:b/>
                <w:bCs/>
                <w:color w:val="000000"/>
                <w:lang w:eastAsia="en-US"/>
              </w:rPr>
              <w:lastRenderedPageBreak/>
              <w:t>ТОВ «ДНІПРОВСЬКІ ЕНЕРГЕТИЧНІ ПОСЛУГИ»</w:t>
            </w:r>
          </w:p>
          <w:p w:rsidR="0007430F" w:rsidRDefault="0007430F" w:rsidP="0007430F">
            <w:pPr>
              <w:rPr>
                <w:b/>
                <w:sz w:val="22"/>
                <w:szCs w:val="22"/>
              </w:rPr>
            </w:pPr>
            <w:r w:rsidRPr="0015352C">
              <w:rPr>
                <w:sz w:val="22"/>
                <w:szCs w:val="22"/>
              </w:rPr>
              <w:lastRenderedPageBreak/>
              <w:t xml:space="preserve">3) </w:t>
            </w:r>
            <w:bookmarkStart w:id="2" w:name="_Hlk95719428"/>
            <w:bookmarkStart w:id="3" w:name="_Hlk112671299"/>
            <w:r w:rsidRPr="0015352C">
              <w:rPr>
                <w:sz w:val="22"/>
                <w:szCs w:val="22"/>
              </w:rPr>
              <w:t>повернення переплати вартості природного газу на поточний рахунок побутового споживача, у тому числі повернення переплати попередніми постачальниками,</w:t>
            </w:r>
            <w:bookmarkEnd w:id="2"/>
            <w:r>
              <w:rPr>
                <w:sz w:val="22"/>
                <w:szCs w:val="22"/>
              </w:rPr>
              <w:t xml:space="preserve"> </w:t>
            </w:r>
            <w:r w:rsidRPr="0015352C">
              <w:rPr>
                <w:sz w:val="22"/>
                <w:szCs w:val="22"/>
              </w:rPr>
              <w:t>– у строк не більше 5 робочих днів з дня отримання письмової вимоги побутового споживача</w:t>
            </w:r>
            <w:r w:rsidRPr="0015352C">
              <w:rPr>
                <w:b/>
                <w:sz w:val="22"/>
                <w:szCs w:val="22"/>
              </w:rPr>
              <w:t>,</w:t>
            </w:r>
            <w:r>
              <w:rPr>
                <w:b/>
                <w:sz w:val="22"/>
                <w:szCs w:val="22"/>
                <w:lang w:val="ru-RU"/>
              </w:rPr>
              <w:t xml:space="preserve"> </w:t>
            </w:r>
            <w:r>
              <w:rPr>
                <w:b/>
                <w:sz w:val="22"/>
                <w:szCs w:val="22"/>
              </w:rPr>
              <w:t>в якій зазначені реквізити банківського рахунку для повернення коштів. Попередньому постачальнику така вимога подається після дати припинення дії договору</w:t>
            </w:r>
            <w:r w:rsidRPr="00C06E91">
              <w:rPr>
                <w:b/>
                <w:sz w:val="22"/>
                <w:szCs w:val="22"/>
              </w:rPr>
              <w:t>;</w:t>
            </w:r>
            <w:bookmarkEnd w:id="3"/>
          </w:p>
          <w:p w:rsidR="001275E0" w:rsidRDefault="001275E0" w:rsidP="0007430F">
            <w:pPr>
              <w:rPr>
                <w:rFonts w:eastAsia="Calibri" w:cstheme="minorHAnsi"/>
                <w:b/>
                <w:bCs/>
                <w:color w:val="000000"/>
                <w:lang w:eastAsia="en-US"/>
              </w:rPr>
            </w:pPr>
          </w:p>
          <w:p w:rsidR="001275E0" w:rsidRDefault="001275E0" w:rsidP="001275E0">
            <w:pPr>
              <w:rPr>
                <w:b/>
                <w:i/>
              </w:rPr>
            </w:pPr>
            <w:proofErr w:type="spellStart"/>
            <w:r w:rsidRPr="0007430F">
              <w:rPr>
                <w:b/>
                <w:i/>
              </w:rPr>
              <w:t>Обгрунтування</w:t>
            </w:r>
            <w:proofErr w:type="spellEnd"/>
            <w:r>
              <w:rPr>
                <w:b/>
                <w:i/>
              </w:rPr>
              <w:t>:</w:t>
            </w:r>
          </w:p>
          <w:p w:rsidR="001275E0" w:rsidRPr="0007430F" w:rsidRDefault="001275E0" w:rsidP="0007430F">
            <w:pPr>
              <w:rPr>
                <w:rFonts w:eastAsia="Calibri" w:cstheme="minorHAnsi"/>
                <w:b/>
                <w:bCs/>
                <w:color w:val="000000"/>
                <w:lang w:eastAsia="en-US"/>
              </w:rPr>
            </w:pPr>
            <w:r>
              <w:rPr>
                <w:sz w:val="22"/>
                <w:szCs w:val="22"/>
              </w:rPr>
              <w:t>В заяві обов’язково мають бути вказані банківські реквізити для повернення коштів, інакше повернути кошти неможливо. Крім того, Споживач може ініціювати зміну постачальника, при цьому подати заяву до завершення дії договору, коли остаточний обсяг споживання ще не буде визначений і не буде відоме сальдо розрахунків.</w:t>
            </w:r>
          </w:p>
        </w:tc>
        <w:tc>
          <w:tcPr>
            <w:tcW w:w="3262" w:type="dxa"/>
          </w:tcPr>
          <w:p w:rsidR="0007430F" w:rsidRPr="00275E9E" w:rsidRDefault="00275E9E" w:rsidP="00275E9E">
            <w:pPr>
              <w:rPr>
                <w:b/>
                <w:sz w:val="22"/>
                <w:szCs w:val="22"/>
              </w:rPr>
            </w:pPr>
            <w:r w:rsidRPr="00275E9E">
              <w:rPr>
                <w:b/>
                <w:sz w:val="22"/>
                <w:szCs w:val="22"/>
              </w:rPr>
              <w:lastRenderedPageBreak/>
              <w:t>Потребує обговорення</w:t>
            </w:r>
          </w:p>
        </w:tc>
      </w:tr>
      <w:tr w:rsidR="001275E0" w:rsidRPr="001F4781" w:rsidTr="001275E0">
        <w:tc>
          <w:tcPr>
            <w:tcW w:w="5665" w:type="dxa"/>
            <w:shd w:val="clear" w:color="auto" w:fill="auto"/>
          </w:tcPr>
          <w:p w:rsidR="001275E0" w:rsidRPr="00F432DB" w:rsidRDefault="001275E0" w:rsidP="001275E0">
            <w:pPr>
              <w:spacing w:after="120"/>
              <w:jc w:val="both"/>
              <w:rPr>
                <w:sz w:val="22"/>
                <w:szCs w:val="22"/>
              </w:rPr>
            </w:pPr>
            <w:r w:rsidRPr="00F432DB">
              <w:rPr>
                <w:sz w:val="22"/>
                <w:szCs w:val="22"/>
              </w:rPr>
              <w:t xml:space="preserve">4) </w:t>
            </w:r>
            <w:bookmarkStart w:id="4" w:name="_Hlk95719475"/>
            <w:bookmarkStart w:id="5" w:name="_Hlk112671314"/>
            <w:r w:rsidRPr="00F432DB">
              <w:rPr>
                <w:sz w:val="22"/>
                <w:szCs w:val="22"/>
              </w:rPr>
              <w:t>надання повідомлення побутовому споживачу про коригування персоніфікованих даних споживача, що зазначені у договорі постачання природного газу</w:t>
            </w:r>
            <w:bookmarkEnd w:id="4"/>
            <w:r w:rsidRPr="00F432DB">
              <w:rPr>
                <w:sz w:val="22"/>
                <w:szCs w:val="22"/>
              </w:rPr>
              <w:t>, у строк 10 робочих днів з дня реєстрації відповідної заяви про внесення змін до персоніфікованих даних (дати отримання уточнених даних, отриманих постачальником на письмовий запит щодо уточнення даних);</w:t>
            </w:r>
            <w:bookmarkEnd w:id="5"/>
          </w:p>
        </w:tc>
        <w:tc>
          <w:tcPr>
            <w:tcW w:w="5812" w:type="dxa"/>
          </w:tcPr>
          <w:p w:rsidR="001275E0" w:rsidRDefault="001275E0" w:rsidP="001275E0">
            <w:pPr>
              <w:rPr>
                <w:sz w:val="22"/>
                <w:szCs w:val="22"/>
              </w:rPr>
            </w:pPr>
            <w:r w:rsidRPr="0007430F">
              <w:rPr>
                <w:rFonts w:eastAsia="Calibri" w:cstheme="minorHAnsi"/>
                <w:b/>
                <w:bCs/>
                <w:color w:val="000000"/>
                <w:lang w:eastAsia="en-US"/>
              </w:rPr>
              <w:t>ТОВ «ДНІПРОВСЬКІ ЕНЕРГЕТИЧНІ ПОСЛУГИ»</w:t>
            </w:r>
          </w:p>
          <w:p w:rsidR="001275E0" w:rsidRDefault="001275E0" w:rsidP="001275E0">
            <w:pPr>
              <w:shd w:val="clear" w:color="auto" w:fill="FFFFFF"/>
              <w:spacing w:after="120"/>
              <w:jc w:val="both"/>
              <w:rPr>
                <w:sz w:val="22"/>
                <w:szCs w:val="22"/>
              </w:rPr>
            </w:pPr>
            <w:r w:rsidRPr="00F432DB">
              <w:rPr>
                <w:sz w:val="22"/>
                <w:szCs w:val="22"/>
              </w:rPr>
              <w:t>4) надання повідомлення побутовому споживачу про коригування персоніфікованих даних споживача</w:t>
            </w:r>
            <w:r w:rsidRPr="00F432DB">
              <w:rPr>
                <w:b/>
                <w:strike/>
                <w:sz w:val="22"/>
                <w:szCs w:val="22"/>
              </w:rPr>
              <w:t>, що зазначені у договорі постачання природного газу</w:t>
            </w:r>
            <w:r>
              <w:rPr>
                <w:b/>
                <w:sz w:val="22"/>
                <w:szCs w:val="22"/>
              </w:rPr>
              <w:t xml:space="preserve"> у випадках передбачених Правилами постачання природнього газу</w:t>
            </w:r>
            <w:r w:rsidRPr="00F432DB">
              <w:rPr>
                <w:b/>
                <w:strike/>
                <w:sz w:val="22"/>
                <w:szCs w:val="22"/>
              </w:rPr>
              <w:t>,</w:t>
            </w:r>
            <w:r w:rsidRPr="00F432DB">
              <w:rPr>
                <w:sz w:val="22"/>
                <w:szCs w:val="22"/>
              </w:rPr>
              <w:t xml:space="preserve"> у строк 10 робочих днів з дня реєстрації відповідної заяви про внесення змін до персоніфікованих даних (дати отримання уточнених даних, отриманих постачальником на письмовий запит щодо уточнення даних);</w:t>
            </w:r>
          </w:p>
          <w:p w:rsidR="001275E0" w:rsidRDefault="001275E0" w:rsidP="001275E0">
            <w:pPr>
              <w:rPr>
                <w:b/>
                <w:i/>
              </w:rPr>
            </w:pPr>
            <w:proofErr w:type="spellStart"/>
            <w:r w:rsidRPr="0007430F">
              <w:rPr>
                <w:b/>
                <w:i/>
              </w:rPr>
              <w:t>Обгрунтування</w:t>
            </w:r>
            <w:proofErr w:type="spellEnd"/>
            <w:r>
              <w:rPr>
                <w:b/>
                <w:i/>
              </w:rPr>
              <w:t>:</w:t>
            </w:r>
          </w:p>
          <w:p w:rsidR="001275E0" w:rsidRPr="00F432DB" w:rsidRDefault="001275E0" w:rsidP="001275E0">
            <w:pPr>
              <w:shd w:val="clear" w:color="auto" w:fill="FFFFFF"/>
              <w:spacing w:after="120"/>
              <w:jc w:val="both"/>
              <w:rPr>
                <w:sz w:val="22"/>
                <w:szCs w:val="22"/>
              </w:rPr>
            </w:pPr>
            <w:r>
              <w:rPr>
                <w:sz w:val="22"/>
                <w:szCs w:val="22"/>
              </w:rPr>
              <w:t>Потрібно конкретизувати, що таке повідомлення формується лише у випадку передбаченому Правилами</w:t>
            </w:r>
            <w:r>
              <w:rPr>
                <w:b/>
                <w:sz w:val="22"/>
                <w:szCs w:val="22"/>
              </w:rPr>
              <w:t xml:space="preserve"> </w:t>
            </w:r>
            <w:r w:rsidRPr="00F432DB">
              <w:rPr>
                <w:sz w:val="22"/>
                <w:szCs w:val="22"/>
              </w:rPr>
              <w:t>постачання природнього газу</w:t>
            </w:r>
            <w:r>
              <w:rPr>
                <w:sz w:val="22"/>
                <w:szCs w:val="22"/>
              </w:rPr>
              <w:t>.</w:t>
            </w:r>
          </w:p>
        </w:tc>
        <w:tc>
          <w:tcPr>
            <w:tcW w:w="3262" w:type="dxa"/>
          </w:tcPr>
          <w:p w:rsidR="008A6C5F" w:rsidRPr="008A6C5F" w:rsidRDefault="008A6C5F" w:rsidP="008A6C5F">
            <w:pPr>
              <w:pStyle w:val="ae"/>
              <w:jc w:val="both"/>
              <w:rPr>
                <w:b/>
                <w:sz w:val="22"/>
                <w:szCs w:val="22"/>
                <w:lang w:val="uk-UA"/>
              </w:rPr>
            </w:pPr>
            <w:r>
              <w:rPr>
                <w:b/>
                <w:sz w:val="22"/>
                <w:szCs w:val="22"/>
                <w:lang w:val="uk-UA"/>
              </w:rPr>
              <w:t>Попередньо відхиляється</w:t>
            </w:r>
          </w:p>
          <w:p w:rsidR="001275E0" w:rsidRPr="00DF0088" w:rsidRDefault="001275E0" w:rsidP="001275E0">
            <w:pPr>
              <w:rPr>
                <w:b/>
                <w:color w:val="FF0000"/>
                <w:sz w:val="22"/>
                <w:szCs w:val="22"/>
              </w:rPr>
            </w:pPr>
            <w:r w:rsidRPr="00DF0088">
              <w:rPr>
                <w:sz w:val="22"/>
                <w:szCs w:val="22"/>
              </w:rPr>
              <w:t xml:space="preserve">Правилами передбачено, що </w:t>
            </w:r>
            <w:r w:rsidRPr="00DF0088">
              <w:rPr>
                <w:sz w:val="22"/>
                <w:szCs w:val="22"/>
                <w:shd w:val="clear" w:color="auto" w:fill="FFFFFF"/>
              </w:rPr>
              <w:t xml:space="preserve">побутовий споживач звертається до постачальника природного газу </w:t>
            </w:r>
            <w:r w:rsidRPr="00DF0088">
              <w:rPr>
                <w:sz w:val="22"/>
                <w:szCs w:val="22"/>
              </w:rPr>
              <w:t xml:space="preserve">у випадку зміни персоніфікованих даних (підпункт 9 розділу ІІІ Правил). </w:t>
            </w:r>
          </w:p>
        </w:tc>
      </w:tr>
      <w:tr w:rsidR="001275E0" w:rsidRPr="001F4781" w:rsidTr="001275E0">
        <w:tc>
          <w:tcPr>
            <w:tcW w:w="5665" w:type="dxa"/>
            <w:shd w:val="clear" w:color="auto" w:fill="auto"/>
          </w:tcPr>
          <w:p w:rsidR="001275E0" w:rsidRPr="007907F5" w:rsidRDefault="001275E0" w:rsidP="001275E0">
            <w:pPr>
              <w:spacing w:after="120"/>
              <w:jc w:val="both"/>
              <w:rPr>
                <w:sz w:val="22"/>
                <w:szCs w:val="22"/>
              </w:rPr>
            </w:pPr>
            <w:r w:rsidRPr="00C06E91">
              <w:rPr>
                <w:sz w:val="22"/>
                <w:szCs w:val="22"/>
              </w:rPr>
              <w:t xml:space="preserve">7) </w:t>
            </w:r>
            <w:bookmarkStart w:id="6" w:name="_Hlk95719821"/>
            <w:bookmarkStart w:id="7" w:name="_Hlk112671355"/>
            <w:r w:rsidRPr="00C06E91">
              <w:rPr>
                <w:sz w:val="22"/>
                <w:szCs w:val="22"/>
              </w:rPr>
              <w:t xml:space="preserve">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умов Правил постачання природного газу та договору постачання природного газу </w:t>
            </w:r>
            <w:bookmarkEnd w:id="6"/>
            <w:r w:rsidRPr="00C06E91">
              <w:rPr>
                <w:sz w:val="22"/>
                <w:szCs w:val="22"/>
              </w:rPr>
              <w:t xml:space="preserve">– у строк не більше 5 робочих </w:t>
            </w:r>
            <w:r w:rsidRPr="000A1A34">
              <w:rPr>
                <w:sz w:val="22"/>
                <w:szCs w:val="22"/>
              </w:rPr>
              <w:t xml:space="preserve">днів з </w:t>
            </w:r>
            <w:bookmarkStart w:id="8" w:name="_Hlk95719948"/>
            <w:r w:rsidRPr="000A1A34">
              <w:rPr>
                <w:sz w:val="22"/>
                <w:szCs w:val="22"/>
              </w:rPr>
              <w:t>дня отримання претензії побутового споживача, складеної у довільній формі</w:t>
            </w:r>
            <w:bookmarkEnd w:id="8"/>
            <w:r w:rsidRPr="000A1A34">
              <w:rPr>
                <w:sz w:val="22"/>
                <w:szCs w:val="22"/>
              </w:rPr>
              <w:t>;</w:t>
            </w:r>
            <w:bookmarkEnd w:id="7"/>
          </w:p>
        </w:tc>
        <w:tc>
          <w:tcPr>
            <w:tcW w:w="5812" w:type="dxa"/>
          </w:tcPr>
          <w:p w:rsidR="001275E0" w:rsidRDefault="001275E0" w:rsidP="001275E0">
            <w:pPr>
              <w:rPr>
                <w:sz w:val="22"/>
                <w:szCs w:val="22"/>
              </w:rPr>
            </w:pPr>
            <w:r w:rsidRPr="0007430F">
              <w:rPr>
                <w:rFonts w:eastAsia="Calibri" w:cstheme="minorHAnsi"/>
                <w:b/>
                <w:bCs/>
                <w:color w:val="000000"/>
                <w:lang w:eastAsia="en-US"/>
              </w:rPr>
              <w:t>ТОВ «ДНІПРОВСЬКІ ЕНЕРГЕТИЧНІ ПОСЛУГИ»</w:t>
            </w:r>
          </w:p>
          <w:p w:rsidR="001275E0" w:rsidRDefault="001275E0" w:rsidP="001275E0">
            <w:pPr>
              <w:shd w:val="clear" w:color="auto" w:fill="FFFFFF"/>
              <w:spacing w:after="120"/>
              <w:jc w:val="both"/>
              <w:rPr>
                <w:sz w:val="22"/>
                <w:szCs w:val="22"/>
              </w:rPr>
            </w:pPr>
            <w:r w:rsidRPr="00C06E91">
              <w:rPr>
                <w:sz w:val="22"/>
                <w:szCs w:val="22"/>
              </w:rPr>
              <w:t xml:space="preserve">7) 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w:t>
            </w:r>
            <w:r w:rsidRPr="000A1A34">
              <w:rPr>
                <w:b/>
                <w:strike/>
                <w:sz w:val="22"/>
                <w:szCs w:val="22"/>
              </w:rPr>
              <w:t>умов</w:t>
            </w:r>
            <w:r w:rsidRPr="00C06E91">
              <w:rPr>
                <w:sz w:val="22"/>
                <w:szCs w:val="22"/>
              </w:rPr>
              <w:t xml:space="preserve"> Правил постачання природного газу та </w:t>
            </w:r>
            <w:r w:rsidRPr="000A1A34">
              <w:rPr>
                <w:b/>
                <w:sz w:val="22"/>
                <w:szCs w:val="22"/>
              </w:rPr>
              <w:t xml:space="preserve">умов </w:t>
            </w:r>
            <w:r w:rsidRPr="00C06E91">
              <w:rPr>
                <w:sz w:val="22"/>
                <w:szCs w:val="22"/>
              </w:rPr>
              <w:t xml:space="preserve">договору постачання природного газу – у строк не більше 5 робочих </w:t>
            </w:r>
            <w:r w:rsidRPr="000A1A34">
              <w:rPr>
                <w:sz w:val="22"/>
                <w:szCs w:val="22"/>
              </w:rPr>
              <w:t xml:space="preserve">днів з дня отримання </w:t>
            </w:r>
            <w:r w:rsidRPr="000A1A34">
              <w:rPr>
                <w:sz w:val="22"/>
                <w:szCs w:val="22"/>
              </w:rPr>
              <w:lastRenderedPageBreak/>
              <w:t xml:space="preserve">претензії </w:t>
            </w:r>
            <w:r w:rsidRPr="000A1A34">
              <w:rPr>
                <w:b/>
                <w:sz w:val="22"/>
                <w:szCs w:val="22"/>
              </w:rPr>
              <w:t xml:space="preserve">підписаної </w:t>
            </w:r>
            <w:r w:rsidRPr="000A1A34">
              <w:rPr>
                <w:sz w:val="22"/>
                <w:szCs w:val="22"/>
              </w:rPr>
              <w:t>побутов</w:t>
            </w:r>
            <w:r w:rsidRPr="000A1A34">
              <w:rPr>
                <w:b/>
                <w:sz w:val="22"/>
                <w:szCs w:val="22"/>
              </w:rPr>
              <w:t>им</w:t>
            </w:r>
            <w:r w:rsidRPr="000A1A34">
              <w:rPr>
                <w:sz w:val="22"/>
                <w:szCs w:val="22"/>
              </w:rPr>
              <w:t xml:space="preserve"> споживач</w:t>
            </w:r>
            <w:r w:rsidRPr="000A1A34">
              <w:rPr>
                <w:b/>
                <w:sz w:val="22"/>
                <w:szCs w:val="22"/>
              </w:rPr>
              <w:t>ем</w:t>
            </w:r>
            <w:r w:rsidRPr="000A1A34">
              <w:rPr>
                <w:sz w:val="22"/>
                <w:szCs w:val="22"/>
              </w:rPr>
              <w:t>, складеної у довільній формі;</w:t>
            </w:r>
          </w:p>
          <w:p w:rsidR="001275E0" w:rsidRDefault="001275E0" w:rsidP="001275E0">
            <w:pPr>
              <w:rPr>
                <w:b/>
                <w:i/>
              </w:rPr>
            </w:pPr>
            <w:proofErr w:type="spellStart"/>
            <w:r w:rsidRPr="0007430F">
              <w:rPr>
                <w:b/>
                <w:i/>
              </w:rPr>
              <w:t>Обгрунтування</w:t>
            </w:r>
            <w:proofErr w:type="spellEnd"/>
            <w:r>
              <w:rPr>
                <w:b/>
                <w:i/>
              </w:rPr>
              <w:t>:</w:t>
            </w:r>
          </w:p>
          <w:p w:rsidR="001275E0" w:rsidRPr="007907F5" w:rsidRDefault="001275E0" w:rsidP="001275E0">
            <w:pPr>
              <w:shd w:val="clear" w:color="auto" w:fill="FFFFFF"/>
              <w:spacing w:after="120"/>
              <w:jc w:val="both"/>
              <w:rPr>
                <w:sz w:val="22"/>
                <w:szCs w:val="22"/>
              </w:rPr>
            </w:pPr>
            <w:r>
              <w:rPr>
                <w:sz w:val="22"/>
                <w:szCs w:val="22"/>
              </w:rPr>
              <w:t>Редакційні правки</w:t>
            </w:r>
          </w:p>
        </w:tc>
        <w:tc>
          <w:tcPr>
            <w:tcW w:w="3262" w:type="dxa"/>
          </w:tcPr>
          <w:p w:rsidR="008A6C5F" w:rsidRPr="008A6C5F" w:rsidRDefault="008A6C5F" w:rsidP="008A6C5F">
            <w:pPr>
              <w:pStyle w:val="ae"/>
              <w:jc w:val="both"/>
              <w:rPr>
                <w:b/>
                <w:sz w:val="22"/>
                <w:szCs w:val="22"/>
                <w:lang w:val="uk-UA"/>
              </w:rPr>
            </w:pPr>
            <w:r>
              <w:rPr>
                <w:b/>
                <w:sz w:val="22"/>
                <w:szCs w:val="22"/>
                <w:lang w:val="uk-UA"/>
              </w:rPr>
              <w:lastRenderedPageBreak/>
              <w:t>Попередньо відхиляється</w:t>
            </w:r>
          </w:p>
          <w:p w:rsidR="001275E0" w:rsidRPr="00DF0088" w:rsidRDefault="001275E0" w:rsidP="001275E0">
            <w:pPr>
              <w:rPr>
                <w:b/>
                <w:sz w:val="22"/>
                <w:szCs w:val="22"/>
              </w:rPr>
            </w:pPr>
            <w:r w:rsidRPr="00DF0088">
              <w:rPr>
                <w:sz w:val="22"/>
                <w:szCs w:val="22"/>
              </w:rPr>
              <w:t xml:space="preserve">Редакція стандарту в </w:t>
            </w:r>
            <w:proofErr w:type="spellStart"/>
            <w:r w:rsidRPr="00DF0088">
              <w:rPr>
                <w:sz w:val="22"/>
                <w:szCs w:val="22"/>
              </w:rPr>
              <w:t>Проєкті</w:t>
            </w:r>
            <w:proofErr w:type="spellEnd"/>
            <w:r w:rsidRPr="00DF0088">
              <w:rPr>
                <w:sz w:val="22"/>
                <w:szCs w:val="22"/>
              </w:rPr>
              <w:t xml:space="preserve"> постанови відповідає змісту пункту 38 розділу ІІІ Правил</w:t>
            </w:r>
          </w:p>
        </w:tc>
      </w:tr>
      <w:tr w:rsidR="001275E0" w:rsidRPr="001F4781" w:rsidTr="001275E0">
        <w:tc>
          <w:tcPr>
            <w:tcW w:w="5665" w:type="dxa"/>
            <w:shd w:val="clear" w:color="auto" w:fill="auto"/>
          </w:tcPr>
          <w:p w:rsidR="001275E0" w:rsidRPr="00877CF2" w:rsidRDefault="001275E0" w:rsidP="001275E0">
            <w:pPr>
              <w:spacing w:after="120"/>
              <w:jc w:val="both"/>
              <w:rPr>
                <w:sz w:val="22"/>
                <w:szCs w:val="22"/>
              </w:rPr>
            </w:pPr>
            <w:r w:rsidRPr="00877CF2">
              <w:rPr>
                <w:sz w:val="22"/>
                <w:szCs w:val="22"/>
              </w:rPr>
              <w:t xml:space="preserve">9) </w:t>
            </w:r>
            <w:bookmarkStart w:id="9" w:name="_Hlk112671381"/>
            <w:r w:rsidRPr="00877CF2">
              <w:rPr>
                <w:sz w:val="22"/>
                <w:szCs w:val="22"/>
              </w:rPr>
              <w:t>розгляд письмового звернення споживача (у тому числі електронного звернення побутового споживача) з дня надходження звернення у строк:</w:t>
            </w:r>
          </w:p>
          <w:p w:rsidR="001275E0" w:rsidRPr="00877CF2" w:rsidRDefault="001275E0" w:rsidP="001275E0">
            <w:pPr>
              <w:spacing w:after="120"/>
              <w:jc w:val="both"/>
              <w:rPr>
                <w:sz w:val="22"/>
                <w:szCs w:val="22"/>
              </w:rPr>
            </w:pPr>
            <w:r w:rsidRPr="00877CF2">
              <w:rPr>
                <w:sz w:val="22"/>
                <w:szCs w:val="22"/>
              </w:rPr>
              <w:t xml:space="preserve">до </w:t>
            </w:r>
            <w:r w:rsidRPr="00877CF2">
              <w:rPr>
                <w:strike/>
                <w:sz w:val="22"/>
                <w:szCs w:val="22"/>
              </w:rPr>
              <w:t>одного місяця</w:t>
            </w:r>
            <w:r w:rsidRPr="00877CF2">
              <w:rPr>
                <w:sz w:val="22"/>
                <w:szCs w:val="22"/>
              </w:rPr>
              <w:t xml:space="preserve"> 30 днів;</w:t>
            </w:r>
          </w:p>
          <w:p w:rsidR="001275E0" w:rsidRPr="007907F5" w:rsidRDefault="001275E0" w:rsidP="001275E0">
            <w:pPr>
              <w:spacing w:after="120"/>
              <w:jc w:val="both"/>
              <w:rPr>
                <w:sz w:val="22"/>
                <w:szCs w:val="22"/>
              </w:rPr>
            </w:pPr>
            <w:r w:rsidRPr="00877CF2">
              <w:rPr>
                <w:sz w:val="22"/>
                <w:szCs w:val="22"/>
              </w:rPr>
              <w:t>до 5 робочих днів для звернень щодо правильності рахунку/нарахувань за спожитий природний газ.</w:t>
            </w:r>
            <w:bookmarkEnd w:id="9"/>
          </w:p>
        </w:tc>
        <w:tc>
          <w:tcPr>
            <w:tcW w:w="5812" w:type="dxa"/>
          </w:tcPr>
          <w:p w:rsidR="001275E0" w:rsidRDefault="001275E0" w:rsidP="001275E0">
            <w:pPr>
              <w:rPr>
                <w:sz w:val="22"/>
                <w:szCs w:val="22"/>
              </w:rPr>
            </w:pPr>
            <w:r w:rsidRPr="0007430F">
              <w:rPr>
                <w:rFonts w:eastAsia="Calibri" w:cstheme="minorHAnsi"/>
                <w:b/>
                <w:bCs/>
                <w:color w:val="000000"/>
                <w:lang w:eastAsia="en-US"/>
              </w:rPr>
              <w:t>ТОВ «ДНІПРОВСЬКІ ЕНЕРГЕТИЧНІ ПОСЛУГИ»</w:t>
            </w:r>
          </w:p>
          <w:p w:rsidR="001275E0" w:rsidRPr="00877CF2" w:rsidRDefault="001275E0" w:rsidP="001275E0">
            <w:pPr>
              <w:spacing w:after="120"/>
              <w:jc w:val="both"/>
              <w:rPr>
                <w:sz w:val="22"/>
                <w:szCs w:val="22"/>
              </w:rPr>
            </w:pPr>
            <w:r w:rsidRPr="00877CF2">
              <w:rPr>
                <w:sz w:val="22"/>
                <w:szCs w:val="22"/>
              </w:rPr>
              <w:t>9) розгляд письмового звернення споживача (у тому числі електронного звернення побутового споживача)</w:t>
            </w:r>
            <w:r w:rsidRPr="009A3F77">
              <w:rPr>
                <w:b/>
                <w:sz w:val="22"/>
                <w:szCs w:val="22"/>
              </w:rPr>
              <w:t>, крім передбачених в підпунктах 7 і 8 даного пункту,</w:t>
            </w:r>
            <w:r w:rsidRPr="00877CF2">
              <w:rPr>
                <w:sz w:val="22"/>
                <w:szCs w:val="22"/>
              </w:rPr>
              <w:t xml:space="preserve"> з дня надходження звернення у строк:</w:t>
            </w:r>
          </w:p>
          <w:p w:rsidR="001275E0" w:rsidRPr="00877CF2" w:rsidRDefault="001275E0" w:rsidP="001275E0">
            <w:pPr>
              <w:spacing w:after="120"/>
              <w:jc w:val="both"/>
              <w:rPr>
                <w:sz w:val="22"/>
                <w:szCs w:val="22"/>
              </w:rPr>
            </w:pPr>
            <w:r w:rsidRPr="00877CF2">
              <w:rPr>
                <w:sz w:val="22"/>
                <w:szCs w:val="22"/>
              </w:rPr>
              <w:t>до 30 днів;</w:t>
            </w:r>
          </w:p>
          <w:p w:rsidR="001275E0" w:rsidRDefault="001275E0" w:rsidP="001275E0">
            <w:pPr>
              <w:shd w:val="clear" w:color="auto" w:fill="FFFFFF"/>
              <w:spacing w:after="120"/>
              <w:jc w:val="both"/>
              <w:rPr>
                <w:sz w:val="22"/>
                <w:szCs w:val="22"/>
              </w:rPr>
            </w:pPr>
            <w:r w:rsidRPr="00877CF2">
              <w:rPr>
                <w:sz w:val="22"/>
                <w:szCs w:val="22"/>
              </w:rPr>
              <w:t>до 5 робочих днів для звернень щодо правильності рахунку/нарахувань за спожитий природний газ.</w:t>
            </w:r>
          </w:p>
          <w:p w:rsidR="001275E0" w:rsidRDefault="001275E0" w:rsidP="001275E0">
            <w:pPr>
              <w:rPr>
                <w:b/>
                <w:i/>
              </w:rPr>
            </w:pPr>
            <w:proofErr w:type="spellStart"/>
            <w:r w:rsidRPr="0007430F">
              <w:rPr>
                <w:b/>
                <w:i/>
              </w:rPr>
              <w:t>Обгрунтування</w:t>
            </w:r>
            <w:proofErr w:type="spellEnd"/>
            <w:r>
              <w:rPr>
                <w:b/>
                <w:i/>
              </w:rPr>
              <w:t>:</w:t>
            </w:r>
          </w:p>
          <w:p w:rsidR="001275E0" w:rsidRPr="007907F5" w:rsidRDefault="001275E0" w:rsidP="001275E0">
            <w:pPr>
              <w:shd w:val="clear" w:color="auto" w:fill="FFFFFF"/>
              <w:spacing w:after="120"/>
              <w:jc w:val="both"/>
              <w:rPr>
                <w:sz w:val="22"/>
                <w:szCs w:val="22"/>
              </w:rPr>
            </w:pPr>
            <w:r>
              <w:rPr>
                <w:sz w:val="22"/>
                <w:szCs w:val="22"/>
              </w:rPr>
              <w:t>Уточнення для уникнення подвійного тлумачення, тому як поняття звернення у розумінні ЗУ «Про звернення громадян» є більш широким і включає також й претензії.</w:t>
            </w:r>
          </w:p>
        </w:tc>
        <w:tc>
          <w:tcPr>
            <w:tcW w:w="3262" w:type="dxa"/>
          </w:tcPr>
          <w:p w:rsidR="008A6C5F" w:rsidRPr="008A6C5F" w:rsidRDefault="008A6C5F" w:rsidP="008A6C5F">
            <w:pPr>
              <w:pStyle w:val="ae"/>
              <w:jc w:val="both"/>
              <w:rPr>
                <w:b/>
                <w:sz w:val="22"/>
                <w:szCs w:val="22"/>
                <w:lang w:val="uk-UA"/>
              </w:rPr>
            </w:pPr>
            <w:r>
              <w:rPr>
                <w:b/>
                <w:sz w:val="22"/>
                <w:szCs w:val="22"/>
                <w:lang w:val="uk-UA"/>
              </w:rPr>
              <w:t>Попередньо відхиляється</w:t>
            </w:r>
          </w:p>
          <w:p w:rsidR="001275E0" w:rsidRPr="00DF0088" w:rsidRDefault="001275E0" w:rsidP="001275E0">
            <w:pPr>
              <w:rPr>
                <w:b/>
                <w:sz w:val="22"/>
                <w:szCs w:val="22"/>
              </w:rPr>
            </w:pPr>
            <w:r w:rsidRPr="00DF0088">
              <w:rPr>
                <w:sz w:val="22"/>
                <w:szCs w:val="22"/>
              </w:rPr>
              <w:t xml:space="preserve">Стандарти, передбачені </w:t>
            </w:r>
            <w:proofErr w:type="spellStart"/>
            <w:r w:rsidRPr="00DF0088">
              <w:rPr>
                <w:sz w:val="22"/>
                <w:szCs w:val="22"/>
              </w:rPr>
              <w:t>пп</w:t>
            </w:r>
            <w:proofErr w:type="spellEnd"/>
            <w:r w:rsidRPr="00DF0088">
              <w:rPr>
                <w:sz w:val="22"/>
                <w:szCs w:val="22"/>
              </w:rPr>
              <w:t xml:space="preserve">. 7 і 8 пункту 3.2 відмінні від даного стандарту, і визначені відповідно до Правил. </w:t>
            </w:r>
          </w:p>
        </w:tc>
      </w:tr>
      <w:tr w:rsidR="00275E9E" w:rsidRPr="001F4781" w:rsidTr="001275E0">
        <w:tc>
          <w:tcPr>
            <w:tcW w:w="5665" w:type="dxa"/>
            <w:shd w:val="clear" w:color="auto" w:fill="auto"/>
          </w:tcPr>
          <w:p w:rsidR="00275E9E" w:rsidRPr="007907F5" w:rsidRDefault="00275E9E" w:rsidP="00275E9E">
            <w:pPr>
              <w:spacing w:after="120"/>
              <w:jc w:val="both"/>
              <w:rPr>
                <w:sz w:val="22"/>
                <w:szCs w:val="22"/>
              </w:rPr>
            </w:pPr>
            <w:r w:rsidRPr="007907F5">
              <w:rPr>
                <w:sz w:val="22"/>
                <w:szCs w:val="22"/>
              </w:rPr>
              <w:t xml:space="preserve">3.13. </w:t>
            </w:r>
            <w:bookmarkStart w:id="10" w:name="_Hlk112671793"/>
            <w:r w:rsidRPr="007907F5">
              <w:rPr>
                <w:sz w:val="22"/>
                <w:szCs w:val="22"/>
              </w:rPr>
              <w:t>Надання компенсації за недотримання мінімальних стандартів якості послуг постачання природного газу не позбавляє споживача права вимагати від постачальника відшкодування збитків (витрат), завданих унаслідок недотримання постачальником мінімальних стандартів якості.</w:t>
            </w:r>
            <w:bookmarkEnd w:id="10"/>
          </w:p>
        </w:tc>
        <w:tc>
          <w:tcPr>
            <w:tcW w:w="5812" w:type="dxa"/>
          </w:tcPr>
          <w:p w:rsidR="00275E9E" w:rsidRDefault="00275E9E" w:rsidP="00275E9E">
            <w:pPr>
              <w:rPr>
                <w:sz w:val="22"/>
                <w:szCs w:val="22"/>
              </w:rPr>
            </w:pPr>
            <w:r w:rsidRPr="0007430F">
              <w:rPr>
                <w:rFonts w:eastAsia="Calibri" w:cstheme="minorHAnsi"/>
                <w:b/>
                <w:bCs/>
                <w:color w:val="000000"/>
                <w:lang w:eastAsia="en-US"/>
              </w:rPr>
              <w:t>ТОВ «ДНІПРОВСЬКІ ЕНЕРГЕТИЧНІ ПОСЛУГИ»</w:t>
            </w:r>
          </w:p>
          <w:p w:rsidR="00275E9E" w:rsidRDefault="00275E9E" w:rsidP="00275E9E">
            <w:pPr>
              <w:shd w:val="clear" w:color="auto" w:fill="FFFFFF"/>
              <w:spacing w:after="120"/>
              <w:jc w:val="both"/>
              <w:rPr>
                <w:sz w:val="22"/>
                <w:szCs w:val="22"/>
              </w:rPr>
            </w:pPr>
            <w:r w:rsidRPr="007907F5">
              <w:rPr>
                <w:sz w:val="22"/>
                <w:szCs w:val="22"/>
              </w:rPr>
              <w:t xml:space="preserve">3.13. Надання компенсації за недотримання мінімальних стандартів якості послуг постачання природного газу не позбавляє споживача права </w:t>
            </w:r>
            <w:r w:rsidRPr="007907F5">
              <w:rPr>
                <w:b/>
                <w:sz w:val="22"/>
                <w:szCs w:val="22"/>
              </w:rPr>
              <w:t>в судовому порядку</w:t>
            </w:r>
            <w:r w:rsidRPr="007907F5">
              <w:rPr>
                <w:sz w:val="22"/>
                <w:szCs w:val="22"/>
              </w:rPr>
              <w:t xml:space="preserve"> вимагати від постачальника відшкодування збитків (витрат), завданих унаслідок недотримання постачальником мінімальних стандартів якості.</w:t>
            </w:r>
          </w:p>
          <w:p w:rsidR="00275E9E" w:rsidRDefault="00275E9E" w:rsidP="00275E9E">
            <w:pPr>
              <w:shd w:val="clear" w:color="auto" w:fill="FFFFFF"/>
              <w:spacing w:after="120"/>
              <w:jc w:val="both"/>
              <w:rPr>
                <w:b/>
                <w:i/>
                <w:sz w:val="22"/>
                <w:szCs w:val="22"/>
              </w:rPr>
            </w:pPr>
            <w:proofErr w:type="spellStart"/>
            <w:r w:rsidRPr="00DF0088">
              <w:rPr>
                <w:b/>
                <w:i/>
                <w:sz w:val="22"/>
                <w:szCs w:val="22"/>
              </w:rPr>
              <w:t>Обгрунтування</w:t>
            </w:r>
            <w:proofErr w:type="spellEnd"/>
            <w:r w:rsidRPr="00DF0088">
              <w:rPr>
                <w:b/>
                <w:i/>
                <w:sz w:val="22"/>
                <w:szCs w:val="22"/>
              </w:rPr>
              <w:t>:</w:t>
            </w:r>
          </w:p>
          <w:p w:rsidR="00275E9E" w:rsidRPr="00DF0088" w:rsidRDefault="00275E9E" w:rsidP="00275E9E">
            <w:pPr>
              <w:shd w:val="clear" w:color="auto" w:fill="FFFFFF"/>
              <w:spacing w:after="120"/>
              <w:jc w:val="both"/>
              <w:rPr>
                <w:b/>
                <w:i/>
                <w:sz w:val="22"/>
                <w:szCs w:val="22"/>
              </w:rPr>
            </w:pPr>
            <w:r>
              <w:rPr>
                <w:sz w:val="22"/>
                <w:szCs w:val="22"/>
              </w:rPr>
              <w:t>Уточнення</w:t>
            </w:r>
            <w:r w:rsidRPr="007907F5">
              <w:rPr>
                <w:sz w:val="22"/>
                <w:szCs w:val="22"/>
              </w:rPr>
              <w:t>, що споживач має право вимагати відшкодування збитків в судовому порядку, оскільки прочитавши цей пункт кожен споживач може посилатися на завдані збитки.</w:t>
            </w:r>
          </w:p>
        </w:tc>
        <w:tc>
          <w:tcPr>
            <w:tcW w:w="3262" w:type="dxa"/>
          </w:tcPr>
          <w:p w:rsidR="00275E9E" w:rsidRPr="00275E9E" w:rsidRDefault="00275E9E" w:rsidP="00275E9E">
            <w:pPr>
              <w:rPr>
                <w:b/>
                <w:sz w:val="22"/>
                <w:szCs w:val="22"/>
              </w:rPr>
            </w:pPr>
            <w:r w:rsidRPr="00275E9E">
              <w:rPr>
                <w:b/>
                <w:sz w:val="22"/>
                <w:szCs w:val="22"/>
              </w:rPr>
              <w:t>Потребує обговорення</w:t>
            </w:r>
          </w:p>
        </w:tc>
      </w:tr>
      <w:tr w:rsidR="00275E9E" w:rsidRPr="001F4781" w:rsidTr="00FF74CC">
        <w:tc>
          <w:tcPr>
            <w:tcW w:w="14739" w:type="dxa"/>
            <w:gridSpan w:val="3"/>
            <w:shd w:val="clear" w:color="auto" w:fill="auto"/>
          </w:tcPr>
          <w:p w:rsidR="00275E9E" w:rsidRPr="007907F5" w:rsidRDefault="00275E9E" w:rsidP="00275E9E">
            <w:pPr>
              <w:spacing w:after="120"/>
              <w:jc w:val="both"/>
              <w:rPr>
                <w:sz w:val="22"/>
                <w:szCs w:val="22"/>
              </w:rPr>
            </w:pPr>
            <w:r w:rsidRPr="00C06E91">
              <w:rPr>
                <w:b/>
                <w:sz w:val="22"/>
                <w:szCs w:val="22"/>
              </w:rPr>
              <w:t xml:space="preserve">4. </w:t>
            </w:r>
            <w:bookmarkStart w:id="11" w:name="_Hlk112671961"/>
            <w:r w:rsidRPr="00C06E91">
              <w:rPr>
                <w:b/>
                <w:sz w:val="22"/>
                <w:szCs w:val="22"/>
              </w:rPr>
              <w:t>Інформування споживачів щодо дотримання мінімальних стандартів та вимог до якості обслуговування споживачів природного газу</w:t>
            </w:r>
            <w:bookmarkEnd w:id="11"/>
          </w:p>
        </w:tc>
      </w:tr>
      <w:tr w:rsidR="00275E9E" w:rsidRPr="001F4781" w:rsidTr="001275E0">
        <w:tc>
          <w:tcPr>
            <w:tcW w:w="5665" w:type="dxa"/>
            <w:shd w:val="clear" w:color="auto" w:fill="auto"/>
          </w:tcPr>
          <w:p w:rsidR="00275E9E" w:rsidRPr="007907F5" w:rsidRDefault="00275E9E" w:rsidP="00275E9E">
            <w:pPr>
              <w:shd w:val="clear" w:color="auto" w:fill="FFFFFF"/>
              <w:spacing w:after="120"/>
              <w:jc w:val="both"/>
              <w:rPr>
                <w:sz w:val="22"/>
                <w:szCs w:val="22"/>
              </w:rPr>
            </w:pPr>
            <w:r w:rsidRPr="00C06E91">
              <w:rPr>
                <w:sz w:val="22"/>
                <w:szCs w:val="22"/>
              </w:rPr>
              <w:t xml:space="preserve">4.2. Оператор ГРМ </w:t>
            </w:r>
            <w:r w:rsidRPr="00B60F42">
              <w:rPr>
                <w:sz w:val="22"/>
                <w:szCs w:val="22"/>
              </w:rPr>
              <w:t>або постачальник щороку до 20 лютого</w:t>
            </w:r>
            <w:r w:rsidRPr="00C06E91">
              <w:rPr>
                <w:sz w:val="22"/>
                <w:szCs w:val="22"/>
              </w:rPr>
              <w:t xml:space="preserve"> року, наступного за звітним, </w:t>
            </w:r>
            <w:r w:rsidRPr="001275E0">
              <w:rPr>
                <w:sz w:val="22"/>
                <w:szCs w:val="22"/>
              </w:rPr>
              <w:t>та</w:t>
            </w:r>
            <w:r>
              <w:rPr>
                <w:sz w:val="22"/>
                <w:szCs w:val="22"/>
              </w:rPr>
              <w:t xml:space="preserve"> </w:t>
            </w:r>
            <w:r w:rsidRPr="00C06E91">
              <w:rPr>
                <w:sz w:val="22"/>
                <w:szCs w:val="22"/>
              </w:rPr>
              <w:t xml:space="preserve">оприлюднює на своєму офіційному сайті інформацію щодо дотримання мінімальних стандартів та вимог до якості </w:t>
            </w:r>
            <w:r w:rsidRPr="00C06E91">
              <w:rPr>
                <w:sz w:val="22"/>
                <w:szCs w:val="22"/>
              </w:rPr>
              <w:lastRenderedPageBreak/>
              <w:t xml:space="preserve">обслуговування споживачів при наданні послуг розподілу/постачання природного газу та сум </w:t>
            </w:r>
            <w:r w:rsidRPr="00B60F42">
              <w:rPr>
                <w:sz w:val="22"/>
                <w:szCs w:val="22"/>
              </w:rPr>
              <w:t>виплачених компенсацій за недотримання мінімальних стандартів якості</w:t>
            </w:r>
            <w:r>
              <w:rPr>
                <w:sz w:val="22"/>
                <w:szCs w:val="22"/>
              </w:rPr>
              <w:t xml:space="preserve">, </w:t>
            </w:r>
            <w:r w:rsidRPr="00B60F42">
              <w:rPr>
                <w:sz w:val="22"/>
                <w:szCs w:val="22"/>
              </w:rPr>
              <w:t>за формами, затвердженими постановою НКРЕКП від _____ № ______</w:t>
            </w:r>
          </w:p>
        </w:tc>
        <w:tc>
          <w:tcPr>
            <w:tcW w:w="5812" w:type="dxa"/>
          </w:tcPr>
          <w:p w:rsidR="00275E9E" w:rsidRDefault="00275E9E" w:rsidP="00275E9E">
            <w:pPr>
              <w:rPr>
                <w:sz w:val="22"/>
                <w:szCs w:val="22"/>
              </w:rPr>
            </w:pPr>
            <w:r w:rsidRPr="0007430F">
              <w:rPr>
                <w:rFonts w:eastAsia="Calibri" w:cstheme="minorHAnsi"/>
                <w:b/>
                <w:bCs/>
                <w:color w:val="000000"/>
                <w:lang w:eastAsia="en-US"/>
              </w:rPr>
              <w:lastRenderedPageBreak/>
              <w:t>ТОВ «ДНІПРОВСЬКІ ЕНЕРГЕТИЧНІ ПОСЛУГИ»</w:t>
            </w:r>
          </w:p>
          <w:p w:rsidR="00275E9E" w:rsidRDefault="00275E9E" w:rsidP="00275E9E">
            <w:pPr>
              <w:shd w:val="clear" w:color="auto" w:fill="FFFFFF"/>
              <w:spacing w:after="120"/>
              <w:jc w:val="both"/>
              <w:rPr>
                <w:sz w:val="22"/>
                <w:szCs w:val="22"/>
              </w:rPr>
            </w:pPr>
            <w:r w:rsidRPr="00C06E91">
              <w:rPr>
                <w:sz w:val="22"/>
                <w:szCs w:val="22"/>
              </w:rPr>
              <w:t xml:space="preserve">4.2. Оператор ГРМ </w:t>
            </w:r>
            <w:r w:rsidRPr="00B60F42">
              <w:rPr>
                <w:sz w:val="22"/>
                <w:szCs w:val="22"/>
              </w:rPr>
              <w:t>або постачальник щороку до 20 лютого</w:t>
            </w:r>
            <w:r w:rsidRPr="00C06E91">
              <w:rPr>
                <w:sz w:val="22"/>
                <w:szCs w:val="22"/>
              </w:rPr>
              <w:t xml:space="preserve"> року, наступного за звітним, </w:t>
            </w:r>
            <w:r w:rsidRPr="00B60F42">
              <w:rPr>
                <w:b/>
                <w:strike/>
                <w:sz w:val="22"/>
                <w:szCs w:val="22"/>
              </w:rPr>
              <w:t>та</w:t>
            </w:r>
            <w:r>
              <w:rPr>
                <w:sz w:val="22"/>
                <w:szCs w:val="22"/>
              </w:rPr>
              <w:t xml:space="preserve"> </w:t>
            </w:r>
            <w:r w:rsidRPr="00C06E91">
              <w:rPr>
                <w:sz w:val="22"/>
                <w:szCs w:val="22"/>
              </w:rPr>
              <w:t xml:space="preserve">оприлюднює на своєму </w:t>
            </w:r>
            <w:r w:rsidRPr="00C06E91">
              <w:rPr>
                <w:sz w:val="22"/>
                <w:szCs w:val="22"/>
              </w:rPr>
              <w:lastRenderedPageBreak/>
              <w:t xml:space="preserve">офіційному сайті інформацію щодо дотримання мінімальних стандартів та вимог до якості обслуговування споживачів при наданні послуг розподілу/постачання природного газу та сум </w:t>
            </w:r>
            <w:r w:rsidRPr="00B60F42">
              <w:rPr>
                <w:sz w:val="22"/>
                <w:szCs w:val="22"/>
              </w:rPr>
              <w:t>виплачених компенсацій за недотримання мінімальних стандартів якості</w:t>
            </w:r>
            <w:r>
              <w:rPr>
                <w:sz w:val="22"/>
                <w:szCs w:val="22"/>
              </w:rPr>
              <w:t xml:space="preserve">, </w:t>
            </w:r>
            <w:r w:rsidRPr="00B60F42">
              <w:rPr>
                <w:sz w:val="22"/>
                <w:szCs w:val="22"/>
              </w:rPr>
              <w:t>за формами, затвердженими постановою НКРЕКП від _____ № ______</w:t>
            </w:r>
          </w:p>
          <w:p w:rsidR="00275E9E" w:rsidRDefault="00275E9E" w:rsidP="00275E9E">
            <w:pPr>
              <w:shd w:val="clear" w:color="auto" w:fill="FFFFFF"/>
              <w:spacing w:after="120"/>
              <w:jc w:val="both"/>
              <w:rPr>
                <w:sz w:val="22"/>
                <w:szCs w:val="22"/>
              </w:rPr>
            </w:pPr>
          </w:p>
          <w:p w:rsidR="00275E9E" w:rsidRDefault="00275E9E" w:rsidP="00275E9E">
            <w:pPr>
              <w:rPr>
                <w:b/>
                <w:i/>
              </w:rPr>
            </w:pPr>
            <w:proofErr w:type="spellStart"/>
            <w:r w:rsidRPr="0007430F">
              <w:rPr>
                <w:b/>
                <w:i/>
              </w:rPr>
              <w:t>Обгрунтування</w:t>
            </w:r>
            <w:proofErr w:type="spellEnd"/>
            <w:r>
              <w:rPr>
                <w:b/>
                <w:i/>
              </w:rPr>
              <w:t>:</w:t>
            </w:r>
          </w:p>
          <w:p w:rsidR="00275E9E" w:rsidRPr="007907F5" w:rsidRDefault="00275E9E" w:rsidP="00275E9E">
            <w:pPr>
              <w:shd w:val="clear" w:color="auto" w:fill="FFFFFF"/>
              <w:spacing w:after="120"/>
              <w:jc w:val="both"/>
              <w:rPr>
                <w:sz w:val="22"/>
                <w:szCs w:val="22"/>
              </w:rPr>
            </w:pPr>
            <w:r>
              <w:rPr>
                <w:sz w:val="22"/>
                <w:szCs w:val="22"/>
              </w:rPr>
              <w:t>Технічна правка.</w:t>
            </w:r>
          </w:p>
        </w:tc>
        <w:tc>
          <w:tcPr>
            <w:tcW w:w="3262" w:type="dxa"/>
          </w:tcPr>
          <w:p w:rsidR="00275E9E" w:rsidRPr="001275E0" w:rsidRDefault="00275E9E" w:rsidP="00275E9E">
            <w:pPr>
              <w:rPr>
                <w:b/>
              </w:rPr>
            </w:pPr>
            <w:r>
              <w:rPr>
                <w:b/>
              </w:rPr>
              <w:lastRenderedPageBreak/>
              <w:t>Враховано</w:t>
            </w:r>
          </w:p>
        </w:tc>
      </w:tr>
      <w:tr w:rsidR="00275E9E" w:rsidRPr="001F4781" w:rsidTr="00492220">
        <w:tc>
          <w:tcPr>
            <w:tcW w:w="14739" w:type="dxa"/>
            <w:gridSpan w:val="3"/>
            <w:shd w:val="clear" w:color="auto" w:fill="auto"/>
          </w:tcPr>
          <w:p w:rsidR="00275E9E" w:rsidRDefault="00275E9E" w:rsidP="00275E9E">
            <w:pPr>
              <w:jc w:val="center"/>
              <w:rPr>
                <w:b/>
              </w:rPr>
            </w:pPr>
            <w:r w:rsidRPr="00B60F42">
              <w:rPr>
                <w:b/>
                <w:sz w:val="22"/>
              </w:rPr>
              <w:t xml:space="preserve">Додаток </w:t>
            </w:r>
            <w:r>
              <w:rPr>
                <w:b/>
                <w:sz w:val="22"/>
              </w:rPr>
              <w:t xml:space="preserve">1 </w:t>
            </w:r>
            <w:r w:rsidRPr="00B60F42">
              <w:rPr>
                <w:b/>
                <w:sz w:val="22"/>
              </w:rPr>
              <w:t xml:space="preserve">до Мінімальних стандартів та вимог до якості обслуговування споживачів природного газу </w:t>
            </w:r>
            <w:r w:rsidRPr="00B60F42">
              <w:rPr>
                <w:b/>
                <w:sz w:val="22"/>
              </w:rPr>
              <w:br/>
              <w:t>та порядку надання компенсації споживачам за їх недотримання</w:t>
            </w:r>
          </w:p>
        </w:tc>
      </w:tr>
      <w:tr w:rsidR="00275E9E" w:rsidRPr="001F4781" w:rsidTr="001275E0">
        <w:tc>
          <w:tcPr>
            <w:tcW w:w="5665" w:type="dxa"/>
            <w:shd w:val="clear" w:color="auto" w:fill="auto"/>
          </w:tcPr>
          <w:p w:rsidR="00275E9E" w:rsidRPr="00C06E91" w:rsidRDefault="00275E9E" w:rsidP="00275E9E">
            <w:pPr>
              <w:shd w:val="clear" w:color="auto" w:fill="FFFFFF"/>
              <w:spacing w:after="120"/>
              <w:jc w:val="both"/>
              <w:rPr>
                <w:sz w:val="22"/>
                <w:szCs w:val="22"/>
              </w:rPr>
            </w:pPr>
            <w:r w:rsidRPr="004F7AB4">
              <w:rPr>
                <w:sz w:val="22"/>
                <w:szCs w:val="22"/>
              </w:rPr>
              <w:t>Розмір компенсації</w:t>
            </w:r>
            <w:r>
              <w:rPr>
                <w:sz w:val="22"/>
                <w:szCs w:val="22"/>
              </w:rPr>
              <w:t xml:space="preserve"> -  600 грн (для стандарту з </w:t>
            </w:r>
            <w:r>
              <w:t xml:space="preserve"> </w:t>
            </w:r>
            <w:r>
              <w:rPr>
                <w:sz w:val="22"/>
                <w:szCs w:val="22"/>
              </w:rPr>
              <w:t>н</w:t>
            </w:r>
            <w:r w:rsidRPr="004F7AB4">
              <w:rPr>
                <w:sz w:val="22"/>
                <w:szCs w:val="22"/>
              </w:rPr>
              <w:t>адання послуги з приєднання до газорозподільної системи</w:t>
            </w:r>
            <w:r>
              <w:rPr>
                <w:sz w:val="22"/>
                <w:szCs w:val="22"/>
              </w:rPr>
              <w:t xml:space="preserve"> - </w:t>
            </w:r>
            <w:r>
              <w:t xml:space="preserve"> </w:t>
            </w:r>
            <w:r w:rsidRPr="004F7AB4">
              <w:rPr>
                <w:sz w:val="22"/>
                <w:szCs w:val="22"/>
              </w:rPr>
              <w:t>0,01 % вартості послуги приєднання за кожен день прострочення, але не більше 100 % вартості приєднання</w:t>
            </w:r>
            <w:r>
              <w:rPr>
                <w:sz w:val="22"/>
                <w:szCs w:val="22"/>
              </w:rPr>
              <w:t>)</w:t>
            </w:r>
          </w:p>
        </w:tc>
        <w:tc>
          <w:tcPr>
            <w:tcW w:w="5812" w:type="dxa"/>
          </w:tcPr>
          <w:p w:rsidR="00275E9E" w:rsidRPr="004F7AB4" w:rsidRDefault="00275E9E" w:rsidP="00275E9E">
            <w:pPr>
              <w:shd w:val="clear" w:color="auto" w:fill="FFFFFF"/>
              <w:spacing w:after="120"/>
              <w:jc w:val="both"/>
              <w:rPr>
                <w:b/>
                <w:sz w:val="22"/>
                <w:szCs w:val="22"/>
              </w:rPr>
            </w:pPr>
            <w:proofErr w:type="spellStart"/>
            <w:r w:rsidRPr="004F7AB4">
              <w:rPr>
                <w:b/>
                <w:sz w:val="22"/>
                <w:szCs w:val="22"/>
              </w:rPr>
              <w:t>Бакулін</w:t>
            </w:r>
            <w:proofErr w:type="spellEnd"/>
            <w:r w:rsidRPr="004F7AB4">
              <w:rPr>
                <w:b/>
                <w:sz w:val="22"/>
                <w:szCs w:val="22"/>
              </w:rPr>
              <w:t xml:space="preserve"> О.</w:t>
            </w:r>
          </w:p>
          <w:p w:rsidR="00275E9E" w:rsidRDefault="00275E9E" w:rsidP="00275E9E">
            <w:pPr>
              <w:shd w:val="clear" w:color="auto" w:fill="FFFFFF"/>
              <w:spacing w:after="120"/>
              <w:jc w:val="both"/>
              <w:rPr>
                <w:sz w:val="22"/>
                <w:szCs w:val="22"/>
              </w:rPr>
            </w:pPr>
            <w:r w:rsidRPr="004F7AB4">
              <w:rPr>
                <w:sz w:val="22"/>
                <w:szCs w:val="22"/>
              </w:rPr>
              <w:t>Розмір компенсації</w:t>
            </w:r>
            <w:r>
              <w:rPr>
                <w:sz w:val="22"/>
                <w:szCs w:val="22"/>
              </w:rPr>
              <w:t xml:space="preserve"> -  </w:t>
            </w:r>
            <w:r w:rsidRPr="004F7AB4">
              <w:rPr>
                <w:sz w:val="22"/>
                <w:szCs w:val="22"/>
              </w:rPr>
              <w:t xml:space="preserve">10 прожиткових мінімумів для працездатних осіб на день вчинення порушення </w:t>
            </w:r>
            <w:r>
              <w:rPr>
                <w:sz w:val="22"/>
                <w:szCs w:val="22"/>
              </w:rPr>
              <w:t xml:space="preserve">(для стандарту з </w:t>
            </w:r>
            <w:r>
              <w:t xml:space="preserve"> </w:t>
            </w:r>
            <w:r>
              <w:rPr>
                <w:sz w:val="22"/>
                <w:szCs w:val="22"/>
              </w:rPr>
              <w:t>н</w:t>
            </w:r>
            <w:r w:rsidRPr="004F7AB4">
              <w:rPr>
                <w:sz w:val="22"/>
                <w:szCs w:val="22"/>
              </w:rPr>
              <w:t>адання послуги з приєднання до газорозподільної системи</w:t>
            </w:r>
            <w:r>
              <w:rPr>
                <w:sz w:val="22"/>
                <w:szCs w:val="22"/>
              </w:rPr>
              <w:t xml:space="preserve"> - </w:t>
            </w:r>
            <w:r>
              <w:t xml:space="preserve"> </w:t>
            </w:r>
            <w:r w:rsidRPr="004F7AB4">
              <w:rPr>
                <w:sz w:val="22"/>
                <w:szCs w:val="22"/>
              </w:rPr>
              <w:t>200 % вартості приєднання</w:t>
            </w:r>
            <w:r>
              <w:rPr>
                <w:sz w:val="22"/>
                <w:szCs w:val="22"/>
              </w:rPr>
              <w:t>)</w:t>
            </w:r>
          </w:p>
          <w:p w:rsidR="00275E9E" w:rsidRDefault="00275E9E" w:rsidP="00275E9E">
            <w:pPr>
              <w:rPr>
                <w:b/>
                <w:i/>
              </w:rPr>
            </w:pPr>
            <w:proofErr w:type="spellStart"/>
            <w:r w:rsidRPr="0007430F">
              <w:rPr>
                <w:b/>
                <w:i/>
              </w:rPr>
              <w:t>Обгрунтування</w:t>
            </w:r>
            <w:proofErr w:type="spellEnd"/>
            <w:r>
              <w:rPr>
                <w:b/>
                <w:i/>
              </w:rPr>
              <w:t>:</w:t>
            </w:r>
          </w:p>
          <w:p w:rsidR="00275E9E" w:rsidRDefault="00275E9E" w:rsidP="00275E9E">
            <w:pPr>
              <w:shd w:val="clear" w:color="auto" w:fill="FFFFFF"/>
              <w:spacing w:after="120"/>
              <w:jc w:val="both"/>
              <w:rPr>
                <w:sz w:val="22"/>
                <w:szCs w:val="22"/>
              </w:rPr>
            </w:pPr>
            <w:r w:rsidRPr="004F7AB4">
              <w:rPr>
                <w:sz w:val="22"/>
                <w:szCs w:val="22"/>
              </w:rPr>
              <w:t>Слід вітати спроби Регулятора повернутися обличчям до споживачів природного газу, чого не відмічалося багато останніх років.   Загально відомою є інформація, що в результаті запровадження НКРЕКП для споживачів так званої абонентської плати за міфічну потужність, що визначається за результатами використання природного газу споживачем за результатами  газового року, що передував</w:t>
            </w:r>
            <w:r>
              <w:rPr>
                <w:sz w:val="22"/>
                <w:szCs w:val="22"/>
              </w:rPr>
              <w:t xml:space="preserve"> </w:t>
            </w:r>
            <w:r>
              <w:t xml:space="preserve"> </w:t>
            </w:r>
            <w:r w:rsidRPr="004F7AB4">
              <w:rPr>
                <w:sz w:val="22"/>
                <w:szCs w:val="22"/>
              </w:rPr>
              <w:t xml:space="preserve">розрахунковому календарному року. В результаті невдалого регулювання НКРЕКП  оператори газорозподільних систем заздалегідь знають розмір своїх гарантованих грошових надходжень, тому не зацікавлені у приєднанні нових споживачів. Більш того, оператори газорозподільних систем  безпідставно нараховують обсяги природного газу існуючим споживачам та за надуманими підставними припиняють їм розподіл природного газу. Складається парадоксальна ситуація, коли перевізник, який має за своєю сутті боротися за збільшення обсягів перевезеного товару, нічого в цьому напрямку не здійснює, а діє навпаки – зменшує кількість існуючих клієнтів (споживачів). Доречним буде послатися на досвід інших перевізників,  наприклад автомобільним транспортом, де </w:t>
            </w:r>
            <w:r w:rsidRPr="004F7AB4">
              <w:rPr>
                <w:sz w:val="22"/>
                <w:szCs w:val="22"/>
              </w:rPr>
              <w:lastRenderedPageBreak/>
              <w:t>відсутня природна монополія, а діє конкурентне середовище. Сподіваюся, що посадові особи НКРЕКП користуються послугами таксі</w:t>
            </w:r>
            <w:r>
              <w:rPr>
                <w:sz w:val="22"/>
                <w:szCs w:val="22"/>
              </w:rPr>
              <w:t>.</w:t>
            </w:r>
          </w:p>
          <w:p w:rsidR="00275E9E" w:rsidRPr="00C06E91" w:rsidRDefault="00275E9E" w:rsidP="00275E9E">
            <w:pPr>
              <w:shd w:val="clear" w:color="auto" w:fill="FFFFFF"/>
              <w:spacing w:after="120"/>
              <w:jc w:val="both"/>
              <w:rPr>
                <w:sz w:val="22"/>
                <w:szCs w:val="22"/>
              </w:rPr>
            </w:pPr>
            <w:r w:rsidRPr="004F7AB4">
              <w:rPr>
                <w:sz w:val="22"/>
                <w:szCs w:val="22"/>
              </w:rPr>
              <w:t>Тому, якщо Регулятор вже надав</w:t>
            </w:r>
            <w:r>
              <w:rPr>
                <w:sz w:val="22"/>
                <w:szCs w:val="22"/>
              </w:rPr>
              <w:t xml:space="preserve"> </w:t>
            </w:r>
            <w:r>
              <w:t xml:space="preserve"> </w:t>
            </w:r>
            <w:r w:rsidRPr="004F7AB4">
              <w:rPr>
                <w:sz w:val="22"/>
                <w:szCs w:val="22"/>
              </w:rPr>
              <w:t>операторам газорозподільних системи «</w:t>
            </w:r>
            <w:proofErr w:type="spellStart"/>
            <w:r w:rsidRPr="004F7AB4">
              <w:rPr>
                <w:sz w:val="22"/>
                <w:szCs w:val="22"/>
              </w:rPr>
              <w:t>плюшку</w:t>
            </w:r>
            <w:proofErr w:type="spellEnd"/>
            <w:r w:rsidRPr="004F7AB4">
              <w:rPr>
                <w:sz w:val="22"/>
                <w:szCs w:val="22"/>
              </w:rPr>
              <w:t>» у вигляді абонентської плати, то треба  заставити операторів цю «</w:t>
            </w:r>
            <w:proofErr w:type="spellStart"/>
            <w:r w:rsidRPr="004F7AB4">
              <w:rPr>
                <w:sz w:val="22"/>
                <w:szCs w:val="22"/>
              </w:rPr>
              <w:t>плюшку</w:t>
            </w:r>
            <w:proofErr w:type="spellEnd"/>
            <w:r w:rsidRPr="004F7AB4">
              <w:rPr>
                <w:sz w:val="22"/>
                <w:szCs w:val="22"/>
              </w:rPr>
              <w:t>» відпрацювати.  Нічого так не стимулює до такого відпрацювання, як відповідальність у вигляді  збільшення компенсації, що має бути виплачена споживачам за порушення їх прав операторами  газорозподільних систем</w:t>
            </w:r>
          </w:p>
        </w:tc>
        <w:tc>
          <w:tcPr>
            <w:tcW w:w="3262" w:type="dxa"/>
          </w:tcPr>
          <w:p w:rsidR="00275E9E" w:rsidRPr="00275E9E" w:rsidRDefault="00275E9E" w:rsidP="00275E9E">
            <w:pPr>
              <w:rPr>
                <w:b/>
                <w:sz w:val="22"/>
                <w:szCs w:val="22"/>
              </w:rPr>
            </w:pPr>
            <w:r w:rsidRPr="00275E9E">
              <w:rPr>
                <w:b/>
                <w:sz w:val="22"/>
                <w:szCs w:val="22"/>
              </w:rPr>
              <w:lastRenderedPageBreak/>
              <w:t>Потребує обговорення</w:t>
            </w:r>
          </w:p>
        </w:tc>
      </w:tr>
      <w:tr w:rsidR="00275E9E" w:rsidRPr="001F4781" w:rsidTr="003D3141">
        <w:tc>
          <w:tcPr>
            <w:tcW w:w="14739" w:type="dxa"/>
            <w:gridSpan w:val="3"/>
            <w:shd w:val="clear" w:color="auto" w:fill="auto"/>
            <w:vAlign w:val="center"/>
          </w:tcPr>
          <w:p w:rsidR="00275E9E" w:rsidRPr="00B60F42" w:rsidRDefault="00275E9E" w:rsidP="00275E9E">
            <w:pPr>
              <w:jc w:val="center"/>
              <w:rPr>
                <w:b/>
                <w:sz w:val="22"/>
                <w:szCs w:val="22"/>
              </w:rPr>
            </w:pPr>
            <w:r w:rsidRPr="00B60F42">
              <w:rPr>
                <w:b/>
                <w:sz w:val="22"/>
              </w:rPr>
              <w:t xml:space="preserve">Додаток 3 до Мінімальних стандартів та вимог до якості обслуговування споживачів природного газу </w:t>
            </w:r>
            <w:r w:rsidRPr="00B60F42">
              <w:rPr>
                <w:b/>
                <w:sz w:val="22"/>
              </w:rPr>
              <w:br/>
              <w:t>та порядку надання компенсації споживачам за їх недотримання</w:t>
            </w:r>
          </w:p>
        </w:tc>
      </w:tr>
      <w:tr w:rsidR="00275E9E" w:rsidRPr="001F4781" w:rsidTr="001275E0">
        <w:tc>
          <w:tcPr>
            <w:tcW w:w="5665" w:type="dxa"/>
            <w:shd w:val="clear" w:color="auto" w:fill="auto"/>
          </w:tcPr>
          <w:tbl>
            <w:tblPr>
              <w:tblW w:w="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7"/>
              <w:gridCol w:w="2693"/>
              <w:gridCol w:w="851"/>
              <w:gridCol w:w="567"/>
            </w:tblGrid>
            <w:tr w:rsidR="00275E9E" w:rsidRPr="009743E6" w:rsidTr="00921229">
              <w:trPr>
                <w:trHeight w:val="859"/>
              </w:trPr>
              <w:tc>
                <w:tcPr>
                  <w:tcW w:w="767" w:type="dxa"/>
                  <w:vAlign w:val="center"/>
                </w:tcPr>
                <w:p w:rsidR="00275E9E" w:rsidRPr="009743E6" w:rsidRDefault="00275E9E" w:rsidP="00275E9E">
                  <w:pPr>
                    <w:framePr w:hSpace="180" w:wrap="around" w:vAnchor="text" w:hAnchor="text" w:y="1"/>
                    <w:ind w:left="-50" w:right="-108"/>
                    <w:suppressOverlap/>
                    <w:jc w:val="center"/>
                    <w:rPr>
                      <w:sz w:val="18"/>
                      <w:szCs w:val="18"/>
                    </w:rPr>
                  </w:pPr>
                  <w:r w:rsidRPr="009743E6">
                    <w:rPr>
                      <w:sz w:val="18"/>
                      <w:szCs w:val="18"/>
                    </w:rPr>
                    <w:t>Підпункт Стандартів та вимог</w:t>
                  </w:r>
                </w:p>
              </w:tc>
              <w:tc>
                <w:tcPr>
                  <w:tcW w:w="3544" w:type="dxa"/>
                  <w:gridSpan w:val="2"/>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Мінімальний стандарт</w:t>
                  </w:r>
                </w:p>
              </w:tc>
              <w:tc>
                <w:tcPr>
                  <w:tcW w:w="567" w:type="dxa"/>
                  <w:vAlign w:val="center"/>
                </w:tcPr>
                <w:p w:rsidR="00275E9E" w:rsidRPr="009743E6" w:rsidRDefault="00275E9E" w:rsidP="00275E9E">
                  <w:pPr>
                    <w:framePr w:hSpace="180" w:wrap="around" w:vAnchor="text" w:hAnchor="text" w:y="1"/>
                    <w:ind w:left="-108" w:right="-108"/>
                    <w:suppressOverlap/>
                    <w:jc w:val="center"/>
                    <w:rPr>
                      <w:sz w:val="18"/>
                      <w:szCs w:val="18"/>
                    </w:rPr>
                  </w:pPr>
                  <w:r w:rsidRPr="009743E6">
                    <w:rPr>
                      <w:sz w:val="18"/>
                      <w:szCs w:val="18"/>
                    </w:rPr>
                    <w:t xml:space="preserve">Розмір компенсації, грн </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1  пункту 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письмової форми договору постачання природного газу, підписаного уповноваженою особою постачальника, на вимогу побутового споживача</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10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2  пункту 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повідомлення про намір змінити умови договору постачання природного газу для непобутових споживачів</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не пізніше ніж за 30 днів до дати змін</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3  пункту 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Повернення переплати вартості природного газу на поточний рахунок побутового споживача, у тому числі повернення переплати попередніми постачальниками</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5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4  пункту 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повідомлення побутовому споживачу про коригування персоніфікованих даних споживача, що зазначені у договорі постачання природного газу</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10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 xml:space="preserve">Підпункт 5  пункту </w:t>
                  </w:r>
                  <w:r w:rsidRPr="009743E6">
                    <w:rPr>
                      <w:sz w:val="18"/>
                      <w:szCs w:val="18"/>
                    </w:rPr>
                    <w:lastRenderedPageBreak/>
                    <w:t>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lastRenderedPageBreak/>
                    <w:t xml:space="preserve">Надання на вимогу побутового споживача даних, які підтверджують згоду споживача змінити умови </w:t>
                  </w:r>
                  <w:r w:rsidRPr="009743E6">
                    <w:rPr>
                      <w:sz w:val="18"/>
                      <w:szCs w:val="18"/>
                    </w:rPr>
                    <w:lastRenderedPageBreak/>
                    <w:t>постачання за договором постачання природного газу шляхом обрання іншої комерційної пропозиції постачальника</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lastRenderedPageBreak/>
                    <w:t>15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6  пункту 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повідомлення побутовому споживачу про відмову в наданні іншої комерційної пропозиції</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10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7  пункту 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умов Правил постачання природного газу та договору постачання природного газу</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5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8  пункту 3.2 глави 3</w:t>
                  </w: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 xml:space="preserve">Розгляд </w:t>
                  </w:r>
                  <w:proofErr w:type="spellStart"/>
                  <w:r w:rsidRPr="009743E6">
                    <w:rPr>
                      <w:sz w:val="18"/>
                      <w:szCs w:val="18"/>
                    </w:rPr>
                    <w:t>акта</w:t>
                  </w:r>
                  <w:proofErr w:type="spellEnd"/>
                  <w:r w:rsidRPr="009743E6">
                    <w:rPr>
                      <w:sz w:val="18"/>
                      <w:szCs w:val="18"/>
                    </w:rPr>
                    <w:t>-претензії споживача про відшкодування збитків</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20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Merge w:val="restart"/>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9  пункту 3.2 глави 3</w:t>
                  </w:r>
                </w:p>
              </w:tc>
              <w:tc>
                <w:tcPr>
                  <w:tcW w:w="3544" w:type="dxa"/>
                  <w:gridSpan w:val="2"/>
                  <w:vAlign w:val="center"/>
                </w:tcPr>
                <w:p w:rsidR="00275E9E" w:rsidRPr="009743E6" w:rsidRDefault="00275E9E" w:rsidP="00275E9E">
                  <w:pPr>
                    <w:framePr w:hSpace="180" w:wrap="around" w:vAnchor="text" w:hAnchor="text" w:y="1"/>
                    <w:suppressOverlap/>
                    <w:rPr>
                      <w:sz w:val="18"/>
                      <w:szCs w:val="18"/>
                    </w:rPr>
                  </w:pPr>
                  <w:r w:rsidRPr="009743E6">
                    <w:rPr>
                      <w:sz w:val="18"/>
                      <w:szCs w:val="18"/>
                    </w:rPr>
                    <w:t>Розгляд письмового звернення споживача (у тому числі електронного звернення побутового споживача)</w:t>
                  </w:r>
                </w:p>
              </w:tc>
              <w:tc>
                <w:tcPr>
                  <w:tcW w:w="567" w:type="dxa"/>
                  <w:tcBorders>
                    <w:tl2br w:val="single" w:sz="4" w:space="0" w:color="auto"/>
                    <w:tr2bl w:val="single" w:sz="4" w:space="0" w:color="auto"/>
                  </w:tcBorders>
                  <w:vAlign w:val="center"/>
                </w:tcPr>
                <w:p w:rsidR="00275E9E" w:rsidRPr="009743E6" w:rsidRDefault="00275E9E" w:rsidP="00275E9E">
                  <w:pPr>
                    <w:framePr w:hSpace="180" w:wrap="around" w:vAnchor="text" w:hAnchor="text" w:y="1"/>
                    <w:suppressOverlap/>
                    <w:jc w:val="center"/>
                    <w:rPr>
                      <w:sz w:val="18"/>
                      <w:szCs w:val="18"/>
                    </w:rPr>
                  </w:pPr>
                </w:p>
              </w:tc>
            </w:tr>
            <w:tr w:rsidR="00275E9E" w:rsidRPr="009743E6" w:rsidTr="00921229">
              <w:tc>
                <w:tcPr>
                  <w:tcW w:w="767" w:type="dxa"/>
                  <w:vMerge/>
                  <w:vAlign w:val="center"/>
                </w:tcPr>
                <w:p w:rsidR="00275E9E" w:rsidRPr="009743E6" w:rsidRDefault="00275E9E" w:rsidP="00275E9E">
                  <w:pPr>
                    <w:framePr w:hSpace="180" w:wrap="around" w:vAnchor="text" w:hAnchor="text" w:y="1"/>
                    <w:suppressOverlap/>
                    <w:jc w:val="both"/>
                    <w:rPr>
                      <w:sz w:val="18"/>
                      <w:szCs w:val="18"/>
                    </w:rPr>
                  </w:pP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окрім звернень щодо правильності рахунка/нарахувань за спожитий природний газ</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30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67" w:type="dxa"/>
                  <w:vMerge/>
                  <w:vAlign w:val="center"/>
                </w:tcPr>
                <w:p w:rsidR="00275E9E" w:rsidRPr="009743E6" w:rsidRDefault="00275E9E" w:rsidP="00275E9E">
                  <w:pPr>
                    <w:framePr w:hSpace="180" w:wrap="around" w:vAnchor="text" w:hAnchor="text" w:y="1"/>
                    <w:suppressOverlap/>
                    <w:jc w:val="both"/>
                    <w:rPr>
                      <w:sz w:val="18"/>
                      <w:szCs w:val="18"/>
                    </w:rPr>
                  </w:pPr>
                </w:p>
              </w:tc>
              <w:tc>
                <w:tcPr>
                  <w:tcW w:w="2693"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для звернень щодо правильності рахунка/нарахувань за спожитий природний газ</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5 роб. днів</w:t>
                  </w:r>
                </w:p>
              </w:tc>
              <w:tc>
                <w:tcPr>
                  <w:tcW w:w="567" w:type="dxa"/>
                  <w:tcBorders>
                    <w:bottom w:val="single" w:sz="4" w:space="0" w:color="auto"/>
                  </w:tcBorders>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bl>
          <w:p w:rsidR="00275E9E" w:rsidRPr="007907F5" w:rsidRDefault="00275E9E" w:rsidP="00275E9E">
            <w:pPr>
              <w:spacing w:after="120"/>
              <w:jc w:val="both"/>
              <w:rPr>
                <w:sz w:val="22"/>
                <w:szCs w:val="22"/>
              </w:rPr>
            </w:pPr>
          </w:p>
        </w:tc>
        <w:tc>
          <w:tcPr>
            <w:tcW w:w="5812" w:type="dxa"/>
          </w:tcPr>
          <w:p w:rsidR="00275E9E" w:rsidRDefault="00275E9E" w:rsidP="00275E9E">
            <w:pPr>
              <w:rPr>
                <w:sz w:val="22"/>
                <w:szCs w:val="22"/>
              </w:rPr>
            </w:pPr>
            <w:r w:rsidRPr="0007430F">
              <w:rPr>
                <w:rFonts w:eastAsia="Calibri" w:cstheme="minorHAnsi"/>
                <w:b/>
                <w:bCs/>
                <w:color w:val="000000"/>
                <w:lang w:eastAsia="en-US"/>
              </w:rPr>
              <w:lastRenderedPageBreak/>
              <w:t>ТОВ «ДНІПРОВСЬКІ ЕНЕРГЕТИЧНІ ПОСЛУГИ»</w:t>
            </w:r>
          </w:p>
          <w:tbl>
            <w:tblPr>
              <w:tblW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2806"/>
              <w:gridCol w:w="851"/>
              <w:gridCol w:w="567"/>
            </w:tblGrid>
            <w:tr w:rsidR="00275E9E" w:rsidRPr="009743E6" w:rsidTr="00921229">
              <w:trPr>
                <w:trHeight w:val="859"/>
              </w:trPr>
              <w:tc>
                <w:tcPr>
                  <w:tcW w:w="738" w:type="dxa"/>
                  <w:vAlign w:val="center"/>
                </w:tcPr>
                <w:p w:rsidR="00275E9E" w:rsidRPr="009743E6" w:rsidRDefault="00275E9E" w:rsidP="00275E9E">
                  <w:pPr>
                    <w:framePr w:hSpace="180" w:wrap="around" w:vAnchor="text" w:hAnchor="text" w:y="1"/>
                    <w:ind w:left="-50" w:right="-108"/>
                    <w:suppressOverlap/>
                    <w:jc w:val="center"/>
                    <w:rPr>
                      <w:sz w:val="18"/>
                      <w:szCs w:val="18"/>
                    </w:rPr>
                  </w:pPr>
                  <w:r w:rsidRPr="009743E6">
                    <w:rPr>
                      <w:sz w:val="18"/>
                      <w:szCs w:val="18"/>
                    </w:rPr>
                    <w:t>Підпункт Стандартів та вимог</w:t>
                  </w:r>
                </w:p>
              </w:tc>
              <w:tc>
                <w:tcPr>
                  <w:tcW w:w="3657" w:type="dxa"/>
                  <w:gridSpan w:val="2"/>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Мінімальний стандарт</w:t>
                  </w:r>
                </w:p>
              </w:tc>
              <w:tc>
                <w:tcPr>
                  <w:tcW w:w="567" w:type="dxa"/>
                  <w:vAlign w:val="center"/>
                </w:tcPr>
                <w:p w:rsidR="00275E9E" w:rsidRPr="009743E6" w:rsidRDefault="00275E9E" w:rsidP="00275E9E">
                  <w:pPr>
                    <w:framePr w:hSpace="180" w:wrap="around" w:vAnchor="text" w:hAnchor="text" w:y="1"/>
                    <w:ind w:left="-108" w:right="-108"/>
                    <w:suppressOverlap/>
                    <w:jc w:val="center"/>
                    <w:rPr>
                      <w:sz w:val="18"/>
                      <w:szCs w:val="18"/>
                    </w:rPr>
                  </w:pPr>
                  <w:r w:rsidRPr="009743E6">
                    <w:rPr>
                      <w:sz w:val="18"/>
                      <w:szCs w:val="18"/>
                    </w:rPr>
                    <w:t xml:space="preserve">Розмір компенсації, грн </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1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письмової форми договору постачання природного газу, підписаного уповноваженою особою постачальника, на вимогу побутового споживача</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10 роб. днів</w:t>
                  </w:r>
                </w:p>
              </w:tc>
              <w:tc>
                <w:tcPr>
                  <w:tcW w:w="567" w:type="dxa"/>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2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повідомлення про намір змінити умови договору постачання природного газу для непобутових споживачів</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не пізніше ніж за 30 днів до дати змін</w:t>
                  </w:r>
                </w:p>
              </w:tc>
              <w:tc>
                <w:tcPr>
                  <w:tcW w:w="567" w:type="dxa"/>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3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Повернення переплати вартості природного газу на поточний рахунок побутового споживача, у тому числі повернення переплати попередніми постачальниками</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5 роб. днів</w:t>
                  </w:r>
                </w:p>
              </w:tc>
              <w:tc>
                <w:tcPr>
                  <w:tcW w:w="567" w:type="dxa"/>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4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повідомлення побутовому споживачу про коригування персоніфікованих даних споживача, що зазначені у договорі постачання природного газу</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10 роб. днів</w:t>
                  </w:r>
                </w:p>
              </w:tc>
              <w:tc>
                <w:tcPr>
                  <w:tcW w:w="567" w:type="dxa"/>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lastRenderedPageBreak/>
                    <w:t>Підпункт 5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на вимогу побутового споживача даних, які підтверджують згоду споживача змінити умови постачання за договором постачання природного газу шляхом обрання іншої комерційної пропозиції постачальника</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15 днів</w:t>
                  </w:r>
                </w:p>
              </w:tc>
              <w:tc>
                <w:tcPr>
                  <w:tcW w:w="567" w:type="dxa"/>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6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Надання повідомлення побутовому споживачу про відмову в наданні іншої комерційної пропозиції</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10 роб. днів</w:t>
                  </w:r>
                </w:p>
              </w:tc>
              <w:tc>
                <w:tcPr>
                  <w:tcW w:w="567" w:type="dxa"/>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7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умов Правил постачання природного газу та договору постачання природного газу</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5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38"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8  пункту 3.2 глави 3</w:t>
                  </w: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 xml:space="preserve">Розгляд </w:t>
                  </w:r>
                  <w:proofErr w:type="spellStart"/>
                  <w:r w:rsidRPr="009743E6">
                    <w:rPr>
                      <w:sz w:val="18"/>
                      <w:szCs w:val="18"/>
                    </w:rPr>
                    <w:t>акта</w:t>
                  </w:r>
                  <w:proofErr w:type="spellEnd"/>
                  <w:r w:rsidRPr="009743E6">
                    <w:rPr>
                      <w:sz w:val="18"/>
                      <w:szCs w:val="18"/>
                    </w:rPr>
                    <w:t>-претензії споживача про відшкодування збитків</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20 роб. днів</w:t>
                  </w:r>
                </w:p>
              </w:tc>
              <w:tc>
                <w:tcPr>
                  <w:tcW w:w="567"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600</w:t>
                  </w:r>
                </w:p>
              </w:tc>
            </w:tr>
            <w:tr w:rsidR="00275E9E" w:rsidRPr="009743E6" w:rsidTr="00921229">
              <w:tc>
                <w:tcPr>
                  <w:tcW w:w="738" w:type="dxa"/>
                  <w:vMerge w:val="restart"/>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Підпункт 9  пункту 3.2 глави 3</w:t>
                  </w:r>
                </w:p>
              </w:tc>
              <w:tc>
                <w:tcPr>
                  <w:tcW w:w="3657" w:type="dxa"/>
                  <w:gridSpan w:val="2"/>
                  <w:vAlign w:val="center"/>
                </w:tcPr>
                <w:p w:rsidR="00275E9E" w:rsidRPr="009743E6" w:rsidRDefault="00275E9E" w:rsidP="00275E9E">
                  <w:pPr>
                    <w:framePr w:hSpace="180" w:wrap="around" w:vAnchor="text" w:hAnchor="text" w:y="1"/>
                    <w:suppressOverlap/>
                    <w:rPr>
                      <w:sz w:val="18"/>
                      <w:szCs w:val="18"/>
                    </w:rPr>
                  </w:pPr>
                  <w:r w:rsidRPr="009743E6">
                    <w:rPr>
                      <w:sz w:val="18"/>
                      <w:szCs w:val="18"/>
                    </w:rPr>
                    <w:t>Розгляд письмового звернення споживача (у тому числі електронного звернення побутового споживача)</w:t>
                  </w:r>
                </w:p>
              </w:tc>
              <w:tc>
                <w:tcPr>
                  <w:tcW w:w="567" w:type="dxa"/>
                  <w:tcBorders>
                    <w:tl2br w:val="single" w:sz="4" w:space="0" w:color="auto"/>
                    <w:tr2bl w:val="single" w:sz="4" w:space="0" w:color="auto"/>
                  </w:tcBorders>
                  <w:vAlign w:val="center"/>
                </w:tcPr>
                <w:p w:rsidR="00275E9E" w:rsidRPr="009743E6" w:rsidRDefault="00275E9E" w:rsidP="00275E9E">
                  <w:pPr>
                    <w:framePr w:hSpace="180" w:wrap="around" w:vAnchor="text" w:hAnchor="text" w:y="1"/>
                    <w:suppressOverlap/>
                    <w:jc w:val="center"/>
                    <w:rPr>
                      <w:sz w:val="18"/>
                      <w:szCs w:val="18"/>
                    </w:rPr>
                  </w:pPr>
                </w:p>
              </w:tc>
            </w:tr>
            <w:tr w:rsidR="00275E9E" w:rsidRPr="009743E6" w:rsidTr="00921229">
              <w:tc>
                <w:tcPr>
                  <w:tcW w:w="738" w:type="dxa"/>
                  <w:vMerge/>
                  <w:vAlign w:val="center"/>
                </w:tcPr>
                <w:p w:rsidR="00275E9E" w:rsidRPr="009743E6" w:rsidRDefault="00275E9E" w:rsidP="00275E9E">
                  <w:pPr>
                    <w:framePr w:hSpace="180" w:wrap="around" w:vAnchor="text" w:hAnchor="text" w:y="1"/>
                    <w:suppressOverlap/>
                    <w:jc w:val="both"/>
                    <w:rPr>
                      <w:sz w:val="18"/>
                      <w:szCs w:val="18"/>
                    </w:rPr>
                  </w:pP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окрім звернень щодо правильності рахунка/нарахувань за спожитий природний газ</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30 днів</w:t>
                  </w:r>
                </w:p>
              </w:tc>
              <w:tc>
                <w:tcPr>
                  <w:tcW w:w="567" w:type="dxa"/>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r w:rsidR="00275E9E" w:rsidRPr="009743E6" w:rsidTr="00921229">
              <w:tc>
                <w:tcPr>
                  <w:tcW w:w="738" w:type="dxa"/>
                  <w:vMerge/>
                  <w:vAlign w:val="center"/>
                </w:tcPr>
                <w:p w:rsidR="00275E9E" w:rsidRPr="009743E6" w:rsidRDefault="00275E9E" w:rsidP="00275E9E">
                  <w:pPr>
                    <w:framePr w:hSpace="180" w:wrap="around" w:vAnchor="text" w:hAnchor="text" w:y="1"/>
                    <w:suppressOverlap/>
                    <w:jc w:val="both"/>
                    <w:rPr>
                      <w:sz w:val="18"/>
                      <w:szCs w:val="18"/>
                    </w:rPr>
                  </w:pPr>
                </w:p>
              </w:tc>
              <w:tc>
                <w:tcPr>
                  <w:tcW w:w="2806" w:type="dxa"/>
                  <w:vAlign w:val="center"/>
                </w:tcPr>
                <w:p w:rsidR="00275E9E" w:rsidRPr="009743E6" w:rsidRDefault="00275E9E" w:rsidP="00275E9E">
                  <w:pPr>
                    <w:framePr w:hSpace="180" w:wrap="around" w:vAnchor="text" w:hAnchor="text" w:y="1"/>
                    <w:suppressOverlap/>
                    <w:jc w:val="both"/>
                    <w:rPr>
                      <w:sz w:val="18"/>
                      <w:szCs w:val="18"/>
                    </w:rPr>
                  </w:pPr>
                  <w:r w:rsidRPr="009743E6">
                    <w:rPr>
                      <w:sz w:val="18"/>
                      <w:szCs w:val="18"/>
                    </w:rPr>
                    <w:t>для звернень щодо правильності рахунка/нарахувань за спожитий природний газ</w:t>
                  </w:r>
                </w:p>
              </w:tc>
              <w:tc>
                <w:tcPr>
                  <w:tcW w:w="851" w:type="dxa"/>
                  <w:vAlign w:val="center"/>
                </w:tcPr>
                <w:p w:rsidR="00275E9E" w:rsidRPr="009743E6" w:rsidRDefault="00275E9E" w:rsidP="00275E9E">
                  <w:pPr>
                    <w:framePr w:hSpace="180" w:wrap="around" w:vAnchor="text" w:hAnchor="text" w:y="1"/>
                    <w:suppressOverlap/>
                    <w:jc w:val="center"/>
                    <w:rPr>
                      <w:sz w:val="18"/>
                      <w:szCs w:val="18"/>
                    </w:rPr>
                  </w:pPr>
                  <w:r w:rsidRPr="009743E6">
                    <w:rPr>
                      <w:sz w:val="18"/>
                      <w:szCs w:val="18"/>
                    </w:rPr>
                    <w:t>5 роб. днів</w:t>
                  </w:r>
                </w:p>
              </w:tc>
              <w:tc>
                <w:tcPr>
                  <w:tcW w:w="567" w:type="dxa"/>
                  <w:tcBorders>
                    <w:bottom w:val="single" w:sz="4" w:space="0" w:color="auto"/>
                  </w:tcBorders>
                  <w:vAlign w:val="center"/>
                </w:tcPr>
                <w:p w:rsidR="00275E9E" w:rsidRPr="007C61DB" w:rsidRDefault="00275E9E" w:rsidP="00275E9E">
                  <w:pPr>
                    <w:framePr w:hSpace="180" w:wrap="around" w:vAnchor="text" w:hAnchor="text" w:y="1"/>
                    <w:suppressOverlap/>
                    <w:jc w:val="center"/>
                    <w:rPr>
                      <w:b/>
                      <w:sz w:val="18"/>
                      <w:szCs w:val="18"/>
                    </w:rPr>
                  </w:pPr>
                  <w:r w:rsidRPr="007C61DB">
                    <w:rPr>
                      <w:b/>
                      <w:sz w:val="18"/>
                      <w:szCs w:val="18"/>
                    </w:rPr>
                    <w:t>400</w:t>
                  </w:r>
                </w:p>
              </w:tc>
            </w:tr>
          </w:tbl>
          <w:p w:rsidR="00275E9E" w:rsidRDefault="00275E9E" w:rsidP="00275E9E">
            <w:pPr>
              <w:shd w:val="clear" w:color="auto" w:fill="FFFFFF"/>
              <w:spacing w:after="120"/>
              <w:jc w:val="both"/>
              <w:rPr>
                <w:sz w:val="22"/>
                <w:szCs w:val="22"/>
              </w:rPr>
            </w:pPr>
          </w:p>
          <w:p w:rsidR="00275E9E" w:rsidRDefault="00275E9E" w:rsidP="00275E9E">
            <w:pPr>
              <w:rPr>
                <w:b/>
                <w:i/>
              </w:rPr>
            </w:pPr>
            <w:proofErr w:type="spellStart"/>
            <w:r w:rsidRPr="0007430F">
              <w:rPr>
                <w:b/>
                <w:i/>
              </w:rPr>
              <w:t>Обгрунтування</w:t>
            </w:r>
            <w:proofErr w:type="spellEnd"/>
            <w:r>
              <w:rPr>
                <w:b/>
                <w:i/>
              </w:rPr>
              <w:t>:</w:t>
            </w:r>
          </w:p>
          <w:p w:rsidR="00275E9E" w:rsidRPr="00E734E0" w:rsidRDefault="00275E9E" w:rsidP="00275E9E">
            <w:pPr>
              <w:spacing w:after="120"/>
              <w:jc w:val="both"/>
              <w:rPr>
                <w:sz w:val="22"/>
                <w:szCs w:val="22"/>
              </w:rPr>
            </w:pPr>
            <w:r w:rsidRPr="00E734E0">
              <w:rPr>
                <w:sz w:val="22"/>
                <w:szCs w:val="22"/>
              </w:rPr>
              <w:t xml:space="preserve">У зв’язку зі складною ситуацією в країні, спричиненою військовим вторгненням Росії на територію нашої держави, більшість суб’єктів господарювання зазнали значних фінансових втрат, зокрема, й </w:t>
            </w:r>
            <w:r>
              <w:rPr>
                <w:sz w:val="22"/>
                <w:szCs w:val="22"/>
              </w:rPr>
              <w:t>постачальники</w:t>
            </w:r>
            <w:r w:rsidRPr="00E734E0">
              <w:rPr>
                <w:sz w:val="22"/>
                <w:szCs w:val="22"/>
              </w:rPr>
              <w:t xml:space="preserve">. </w:t>
            </w:r>
          </w:p>
          <w:p w:rsidR="00275E9E" w:rsidRPr="00E734E0" w:rsidRDefault="00275E9E" w:rsidP="00275E9E">
            <w:pPr>
              <w:spacing w:after="120"/>
              <w:jc w:val="both"/>
              <w:rPr>
                <w:sz w:val="22"/>
                <w:szCs w:val="22"/>
              </w:rPr>
            </w:pPr>
            <w:r w:rsidRPr="00E734E0">
              <w:rPr>
                <w:sz w:val="22"/>
                <w:szCs w:val="22"/>
              </w:rPr>
              <w:lastRenderedPageBreak/>
              <w:t>З початку війни спостерігає</w:t>
            </w:r>
            <w:r>
              <w:rPr>
                <w:sz w:val="22"/>
                <w:szCs w:val="22"/>
              </w:rPr>
              <w:t>ться</w:t>
            </w:r>
            <w:r w:rsidRPr="00E734E0">
              <w:rPr>
                <w:sz w:val="22"/>
                <w:szCs w:val="22"/>
              </w:rPr>
              <w:t xml:space="preserve"> масове невиконання споживачами зобов’язань з оплати за спожиті комунальні послуги.</w:t>
            </w:r>
          </w:p>
          <w:p w:rsidR="00275E9E" w:rsidRPr="00E734E0" w:rsidRDefault="00275E9E" w:rsidP="00275E9E">
            <w:pPr>
              <w:spacing w:after="120"/>
              <w:jc w:val="both"/>
              <w:rPr>
                <w:sz w:val="22"/>
                <w:szCs w:val="22"/>
              </w:rPr>
            </w:pPr>
            <w:r>
              <w:rPr>
                <w:sz w:val="22"/>
                <w:szCs w:val="22"/>
              </w:rPr>
              <w:t>Водночас</w:t>
            </w:r>
            <w:r w:rsidRPr="00E734E0">
              <w:rPr>
                <w:sz w:val="22"/>
                <w:szCs w:val="22"/>
              </w:rPr>
              <w:t xml:space="preserve">, наразі законодавчо заборонено здійснювати припинення/зупинення надання житлово-комунальних послуг споживачам та нарахування штрафних санкцій за порушення термінів оплати, що позбавляє </w:t>
            </w:r>
            <w:r>
              <w:rPr>
                <w:sz w:val="22"/>
                <w:szCs w:val="22"/>
              </w:rPr>
              <w:t>постачальників</w:t>
            </w:r>
            <w:r w:rsidRPr="00E734E0">
              <w:rPr>
                <w:sz w:val="22"/>
                <w:szCs w:val="22"/>
              </w:rPr>
              <w:t xml:space="preserve"> важелів впливу на споживачів, які продовжують споживати послуги</w:t>
            </w:r>
            <w:r>
              <w:rPr>
                <w:sz w:val="22"/>
                <w:szCs w:val="22"/>
              </w:rPr>
              <w:t>, не</w:t>
            </w:r>
            <w:r w:rsidRPr="00E734E0">
              <w:rPr>
                <w:sz w:val="22"/>
                <w:szCs w:val="22"/>
              </w:rPr>
              <w:t xml:space="preserve"> сплачуючи грошові кошти. </w:t>
            </w:r>
          </w:p>
          <w:p w:rsidR="00275E9E" w:rsidRPr="007907F5" w:rsidRDefault="00275E9E" w:rsidP="00275E9E">
            <w:pPr>
              <w:shd w:val="clear" w:color="auto" w:fill="FFFFFF"/>
              <w:spacing w:after="120"/>
              <w:jc w:val="both"/>
              <w:rPr>
                <w:sz w:val="22"/>
                <w:szCs w:val="22"/>
              </w:rPr>
            </w:pPr>
            <w:r>
              <w:rPr>
                <w:sz w:val="22"/>
                <w:szCs w:val="22"/>
              </w:rPr>
              <w:t>Тож</w:t>
            </w:r>
            <w:r w:rsidRPr="00E734E0">
              <w:rPr>
                <w:sz w:val="22"/>
                <w:szCs w:val="22"/>
              </w:rPr>
              <w:t xml:space="preserve">, різке підвищення розміру компенсації у такий складний для нашої держави час матиме негативний вплив на фінансовий стан </w:t>
            </w:r>
            <w:r>
              <w:rPr>
                <w:sz w:val="22"/>
                <w:szCs w:val="22"/>
              </w:rPr>
              <w:t>постачальників</w:t>
            </w:r>
            <w:r w:rsidRPr="00E734E0">
              <w:rPr>
                <w:sz w:val="22"/>
                <w:szCs w:val="22"/>
              </w:rPr>
              <w:t>.</w:t>
            </w:r>
          </w:p>
        </w:tc>
        <w:tc>
          <w:tcPr>
            <w:tcW w:w="3262" w:type="dxa"/>
          </w:tcPr>
          <w:p w:rsidR="00275E9E" w:rsidRPr="00275E9E" w:rsidRDefault="00275E9E" w:rsidP="00275E9E">
            <w:pPr>
              <w:rPr>
                <w:b/>
                <w:sz w:val="22"/>
                <w:szCs w:val="22"/>
              </w:rPr>
            </w:pPr>
            <w:r w:rsidRPr="00275E9E">
              <w:rPr>
                <w:b/>
                <w:sz w:val="22"/>
                <w:szCs w:val="22"/>
              </w:rPr>
              <w:lastRenderedPageBreak/>
              <w:t>Потребує обговорення</w:t>
            </w:r>
          </w:p>
        </w:tc>
      </w:tr>
    </w:tbl>
    <w:p w:rsidR="00641955" w:rsidRDefault="00641955"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C15AA5">
      <w:pPr>
        <w:rPr>
          <w:b/>
        </w:rPr>
      </w:pPr>
    </w:p>
    <w:p w:rsidR="00DC483B" w:rsidRDefault="00DC483B" w:rsidP="00DC483B">
      <w:pPr>
        <w:jc w:val="both"/>
        <w:rPr>
          <w:sz w:val="28"/>
          <w:szCs w:val="28"/>
        </w:rPr>
      </w:pPr>
      <w:r>
        <w:rPr>
          <w:sz w:val="28"/>
          <w:szCs w:val="28"/>
        </w:rPr>
        <w:t xml:space="preserve">Директор Департаменту із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 Рябуха</w:t>
      </w:r>
    </w:p>
    <w:p w:rsidR="00DC483B" w:rsidRDefault="00DC483B" w:rsidP="00DC483B">
      <w:pPr>
        <w:jc w:val="both"/>
        <w:rPr>
          <w:sz w:val="28"/>
          <w:szCs w:val="28"/>
        </w:rPr>
      </w:pPr>
      <w:r>
        <w:rPr>
          <w:sz w:val="28"/>
          <w:szCs w:val="28"/>
        </w:rPr>
        <w:t xml:space="preserve">регулювання відносин у нафтогазовій сфері </w:t>
      </w:r>
    </w:p>
    <w:p w:rsidR="00DC483B" w:rsidRDefault="00DC483B" w:rsidP="00DC483B">
      <w:pPr>
        <w:rPr>
          <w:rFonts w:asciiTheme="minorHAnsi" w:hAnsiTheme="minorHAnsi" w:cstheme="minorBidi"/>
          <w:lang w:val="ru-RU"/>
        </w:rPr>
      </w:pPr>
    </w:p>
    <w:p w:rsidR="00DC483B" w:rsidRPr="00DC483B" w:rsidRDefault="00DC483B" w:rsidP="00C15AA5">
      <w:pPr>
        <w:rPr>
          <w:b/>
          <w:lang w:val="ru-RU"/>
        </w:rPr>
      </w:pPr>
      <w:bookmarkStart w:id="12" w:name="_GoBack"/>
      <w:bookmarkEnd w:id="12"/>
    </w:p>
    <w:sectPr w:rsidR="00DC483B" w:rsidRPr="00DC483B" w:rsidSect="00AD46C3">
      <w:footerReference w:type="default" r:id="rId8"/>
      <w:pgSz w:w="16838" w:h="11906" w:orient="landscape" w:code="9"/>
      <w:pgMar w:top="851" w:right="567" w:bottom="567" w:left="567" w:header="709"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54B" w:rsidRDefault="0026654B" w:rsidP="00F470FE">
      <w:r>
        <w:separator/>
      </w:r>
    </w:p>
  </w:endnote>
  <w:endnote w:type="continuationSeparator" w:id="0">
    <w:p w:rsidR="0026654B" w:rsidRDefault="0026654B" w:rsidP="00F47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348" w:rsidRDefault="00800348">
    <w:pPr>
      <w:pStyle w:val="ab"/>
      <w:jc w:val="right"/>
    </w:pPr>
    <w:r>
      <w:fldChar w:fldCharType="begin"/>
    </w:r>
    <w:r>
      <w:instrText>PAGE   \* MERGEFORMAT</w:instrText>
    </w:r>
    <w:r>
      <w:fldChar w:fldCharType="separate"/>
    </w:r>
    <w:r>
      <w:rPr>
        <w:noProof/>
      </w:rPr>
      <w:t>1</w:t>
    </w:r>
    <w:r>
      <w:fldChar w:fldCharType="end"/>
    </w:r>
  </w:p>
  <w:p w:rsidR="00800348" w:rsidRDefault="0080034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54B" w:rsidRDefault="0026654B" w:rsidP="00F470FE">
      <w:r>
        <w:separator/>
      </w:r>
    </w:p>
  </w:footnote>
  <w:footnote w:type="continuationSeparator" w:id="0">
    <w:p w:rsidR="0026654B" w:rsidRDefault="0026654B" w:rsidP="00F47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1009A"/>
    <w:multiLevelType w:val="hybridMultilevel"/>
    <w:tmpl w:val="DCD45EAE"/>
    <w:lvl w:ilvl="0" w:tplc="0D6E9B5E">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5186608"/>
    <w:multiLevelType w:val="hybridMultilevel"/>
    <w:tmpl w:val="4F0ACAF6"/>
    <w:lvl w:ilvl="0" w:tplc="E7CACD5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AC11F0C"/>
    <w:multiLevelType w:val="hybridMultilevel"/>
    <w:tmpl w:val="37CE2CF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76321"/>
    <w:multiLevelType w:val="hybridMultilevel"/>
    <w:tmpl w:val="4D9845E0"/>
    <w:lvl w:ilvl="0" w:tplc="955C767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24797FA5"/>
    <w:multiLevelType w:val="hybridMultilevel"/>
    <w:tmpl w:val="A0520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EE27B1"/>
    <w:multiLevelType w:val="hybridMultilevel"/>
    <w:tmpl w:val="B530A64C"/>
    <w:lvl w:ilvl="0" w:tplc="AB16FD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DA672B1"/>
    <w:multiLevelType w:val="hybridMultilevel"/>
    <w:tmpl w:val="38326302"/>
    <w:lvl w:ilvl="0" w:tplc="548CFDC6">
      <w:start w:val="2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CF2"/>
    <w:rsid w:val="000013DF"/>
    <w:rsid w:val="00005F71"/>
    <w:rsid w:val="00006225"/>
    <w:rsid w:val="00007202"/>
    <w:rsid w:val="00011394"/>
    <w:rsid w:val="000126CF"/>
    <w:rsid w:val="000148A1"/>
    <w:rsid w:val="0001762A"/>
    <w:rsid w:val="000228D0"/>
    <w:rsid w:val="00022FFD"/>
    <w:rsid w:val="00023E7A"/>
    <w:rsid w:val="00025FE0"/>
    <w:rsid w:val="0002666D"/>
    <w:rsid w:val="00026AD4"/>
    <w:rsid w:val="000332E3"/>
    <w:rsid w:val="00034E36"/>
    <w:rsid w:val="00044A02"/>
    <w:rsid w:val="00045C44"/>
    <w:rsid w:val="00046942"/>
    <w:rsid w:val="00067604"/>
    <w:rsid w:val="00072814"/>
    <w:rsid w:val="0007430F"/>
    <w:rsid w:val="000807EC"/>
    <w:rsid w:val="000A7399"/>
    <w:rsid w:val="000B39FD"/>
    <w:rsid w:val="000B52F0"/>
    <w:rsid w:val="000B74AD"/>
    <w:rsid w:val="000C6210"/>
    <w:rsid w:val="000D2807"/>
    <w:rsid w:val="000E1F30"/>
    <w:rsid w:val="000E5125"/>
    <w:rsid w:val="00101680"/>
    <w:rsid w:val="0011116B"/>
    <w:rsid w:val="00116915"/>
    <w:rsid w:val="00120C6B"/>
    <w:rsid w:val="00121C93"/>
    <w:rsid w:val="0012232A"/>
    <w:rsid w:val="00124CDF"/>
    <w:rsid w:val="00124FC4"/>
    <w:rsid w:val="00125182"/>
    <w:rsid w:val="001262E1"/>
    <w:rsid w:val="001275E0"/>
    <w:rsid w:val="00127650"/>
    <w:rsid w:val="00153F66"/>
    <w:rsid w:val="0015530B"/>
    <w:rsid w:val="0016182D"/>
    <w:rsid w:val="001618CA"/>
    <w:rsid w:val="00165F96"/>
    <w:rsid w:val="00171E4E"/>
    <w:rsid w:val="00177057"/>
    <w:rsid w:val="001773C0"/>
    <w:rsid w:val="001776EB"/>
    <w:rsid w:val="00177ADC"/>
    <w:rsid w:val="00183AD7"/>
    <w:rsid w:val="00186819"/>
    <w:rsid w:val="001950D2"/>
    <w:rsid w:val="001A7A33"/>
    <w:rsid w:val="001B4911"/>
    <w:rsid w:val="001B5700"/>
    <w:rsid w:val="001B644B"/>
    <w:rsid w:val="001C25CB"/>
    <w:rsid w:val="001C732F"/>
    <w:rsid w:val="001D4338"/>
    <w:rsid w:val="001D574D"/>
    <w:rsid w:val="001F1E9C"/>
    <w:rsid w:val="001F4781"/>
    <w:rsid w:val="00202396"/>
    <w:rsid w:val="002072BF"/>
    <w:rsid w:val="0021139E"/>
    <w:rsid w:val="00217DFE"/>
    <w:rsid w:val="00225BDB"/>
    <w:rsid w:val="00227662"/>
    <w:rsid w:val="00237314"/>
    <w:rsid w:val="002468F0"/>
    <w:rsid w:val="002509FC"/>
    <w:rsid w:val="00256416"/>
    <w:rsid w:val="002614E1"/>
    <w:rsid w:val="002645B7"/>
    <w:rsid w:val="0026585D"/>
    <w:rsid w:val="0026654B"/>
    <w:rsid w:val="002677EF"/>
    <w:rsid w:val="00271624"/>
    <w:rsid w:val="00275E9E"/>
    <w:rsid w:val="002801C4"/>
    <w:rsid w:val="00281625"/>
    <w:rsid w:val="00294C21"/>
    <w:rsid w:val="00296B41"/>
    <w:rsid w:val="00296F0D"/>
    <w:rsid w:val="002A242D"/>
    <w:rsid w:val="002B5F9F"/>
    <w:rsid w:val="002C25E9"/>
    <w:rsid w:val="002C3C49"/>
    <w:rsid w:val="002D06E0"/>
    <w:rsid w:val="002D0E5A"/>
    <w:rsid w:val="002D38D7"/>
    <w:rsid w:val="002E0A37"/>
    <w:rsid w:val="002E74E5"/>
    <w:rsid w:val="002F7FFB"/>
    <w:rsid w:val="00305484"/>
    <w:rsid w:val="003057E0"/>
    <w:rsid w:val="00314170"/>
    <w:rsid w:val="003154AE"/>
    <w:rsid w:val="00316100"/>
    <w:rsid w:val="003214EA"/>
    <w:rsid w:val="00325666"/>
    <w:rsid w:val="0032799D"/>
    <w:rsid w:val="00337693"/>
    <w:rsid w:val="00341254"/>
    <w:rsid w:val="003608B3"/>
    <w:rsid w:val="003608FE"/>
    <w:rsid w:val="003623B7"/>
    <w:rsid w:val="00377DBF"/>
    <w:rsid w:val="00381003"/>
    <w:rsid w:val="00384683"/>
    <w:rsid w:val="00393DCE"/>
    <w:rsid w:val="003978DB"/>
    <w:rsid w:val="003A025A"/>
    <w:rsid w:val="003A7894"/>
    <w:rsid w:val="003A7A21"/>
    <w:rsid w:val="003A7E09"/>
    <w:rsid w:val="003A7E44"/>
    <w:rsid w:val="003B2E18"/>
    <w:rsid w:val="003B592B"/>
    <w:rsid w:val="003B5AEC"/>
    <w:rsid w:val="003B6019"/>
    <w:rsid w:val="003D0226"/>
    <w:rsid w:val="003D0864"/>
    <w:rsid w:val="003D1550"/>
    <w:rsid w:val="003D177E"/>
    <w:rsid w:val="003D3C22"/>
    <w:rsid w:val="003D49D7"/>
    <w:rsid w:val="003D4A7E"/>
    <w:rsid w:val="003D6233"/>
    <w:rsid w:val="003D627E"/>
    <w:rsid w:val="003F151B"/>
    <w:rsid w:val="003F6B6A"/>
    <w:rsid w:val="00404F77"/>
    <w:rsid w:val="00407AC2"/>
    <w:rsid w:val="004212DE"/>
    <w:rsid w:val="004279B2"/>
    <w:rsid w:val="004307BE"/>
    <w:rsid w:val="004324A8"/>
    <w:rsid w:val="00437A16"/>
    <w:rsid w:val="004457B9"/>
    <w:rsid w:val="00445B7E"/>
    <w:rsid w:val="00453DC2"/>
    <w:rsid w:val="004579FA"/>
    <w:rsid w:val="00460194"/>
    <w:rsid w:val="004635F6"/>
    <w:rsid w:val="00475424"/>
    <w:rsid w:val="00480E49"/>
    <w:rsid w:val="00490D6F"/>
    <w:rsid w:val="004A765A"/>
    <w:rsid w:val="004B42EC"/>
    <w:rsid w:val="004C55B3"/>
    <w:rsid w:val="004C5737"/>
    <w:rsid w:val="004D24DB"/>
    <w:rsid w:val="004E7522"/>
    <w:rsid w:val="004F2A1B"/>
    <w:rsid w:val="004F5694"/>
    <w:rsid w:val="004F5CA3"/>
    <w:rsid w:val="004F78AE"/>
    <w:rsid w:val="004F7AB4"/>
    <w:rsid w:val="00503EB4"/>
    <w:rsid w:val="0051280C"/>
    <w:rsid w:val="005140B5"/>
    <w:rsid w:val="00522493"/>
    <w:rsid w:val="00525EC8"/>
    <w:rsid w:val="00534CBF"/>
    <w:rsid w:val="00535FDE"/>
    <w:rsid w:val="00545FBC"/>
    <w:rsid w:val="00551BE9"/>
    <w:rsid w:val="0055488C"/>
    <w:rsid w:val="00565E5F"/>
    <w:rsid w:val="00570A9A"/>
    <w:rsid w:val="0057155E"/>
    <w:rsid w:val="00577231"/>
    <w:rsid w:val="005850C9"/>
    <w:rsid w:val="005858A7"/>
    <w:rsid w:val="005863F0"/>
    <w:rsid w:val="00590C30"/>
    <w:rsid w:val="005A0D75"/>
    <w:rsid w:val="005A0F8E"/>
    <w:rsid w:val="005B6F4D"/>
    <w:rsid w:val="005C4246"/>
    <w:rsid w:val="005C4B43"/>
    <w:rsid w:val="005C6EDE"/>
    <w:rsid w:val="005C7F99"/>
    <w:rsid w:val="005D018D"/>
    <w:rsid w:val="005D76ED"/>
    <w:rsid w:val="005D7A4C"/>
    <w:rsid w:val="005E259F"/>
    <w:rsid w:val="005E3269"/>
    <w:rsid w:val="005E66C3"/>
    <w:rsid w:val="005E7219"/>
    <w:rsid w:val="005F05C4"/>
    <w:rsid w:val="005F11B7"/>
    <w:rsid w:val="00600338"/>
    <w:rsid w:val="006053FC"/>
    <w:rsid w:val="00611813"/>
    <w:rsid w:val="00615B3A"/>
    <w:rsid w:val="00615C02"/>
    <w:rsid w:val="00623776"/>
    <w:rsid w:val="0063038E"/>
    <w:rsid w:val="00630B08"/>
    <w:rsid w:val="00641955"/>
    <w:rsid w:val="00653383"/>
    <w:rsid w:val="00654BD8"/>
    <w:rsid w:val="006568D5"/>
    <w:rsid w:val="00661FBB"/>
    <w:rsid w:val="006638F7"/>
    <w:rsid w:val="00665395"/>
    <w:rsid w:val="00666C00"/>
    <w:rsid w:val="00675914"/>
    <w:rsid w:val="00676367"/>
    <w:rsid w:val="00682186"/>
    <w:rsid w:val="00685828"/>
    <w:rsid w:val="00690347"/>
    <w:rsid w:val="006A4C04"/>
    <w:rsid w:val="006B30A7"/>
    <w:rsid w:val="006C704B"/>
    <w:rsid w:val="006D0999"/>
    <w:rsid w:val="006D1D7C"/>
    <w:rsid w:val="006D4DED"/>
    <w:rsid w:val="006E01CC"/>
    <w:rsid w:val="006E29F9"/>
    <w:rsid w:val="006E5180"/>
    <w:rsid w:val="006F1E4F"/>
    <w:rsid w:val="006F1F4E"/>
    <w:rsid w:val="007111C8"/>
    <w:rsid w:val="00714D22"/>
    <w:rsid w:val="0071617D"/>
    <w:rsid w:val="00720253"/>
    <w:rsid w:val="00720784"/>
    <w:rsid w:val="00726243"/>
    <w:rsid w:val="007305EB"/>
    <w:rsid w:val="00740308"/>
    <w:rsid w:val="00744F92"/>
    <w:rsid w:val="0075067E"/>
    <w:rsid w:val="00765AEF"/>
    <w:rsid w:val="00767342"/>
    <w:rsid w:val="007739D9"/>
    <w:rsid w:val="007740F1"/>
    <w:rsid w:val="00782A5E"/>
    <w:rsid w:val="00785FD9"/>
    <w:rsid w:val="00796496"/>
    <w:rsid w:val="0079734A"/>
    <w:rsid w:val="007A7F3F"/>
    <w:rsid w:val="007B26BE"/>
    <w:rsid w:val="007B291F"/>
    <w:rsid w:val="007B7145"/>
    <w:rsid w:val="007C0F7F"/>
    <w:rsid w:val="007C7F34"/>
    <w:rsid w:val="007D5B8A"/>
    <w:rsid w:val="007E4154"/>
    <w:rsid w:val="007E67C1"/>
    <w:rsid w:val="007E7184"/>
    <w:rsid w:val="007E778A"/>
    <w:rsid w:val="007F0CC0"/>
    <w:rsid w:val="007F1061"/>
    <w:rsid w:val="00800348"/>
    <w:rsid w:val="00800DB8"/>
    <w:rsid w:val="00807C41"/>
    <w:rsid w:val="00811D18"/>
    <w:rsid w:val="00811D2F"/>
    <w:rsid w:val="00814AFD"/>
    <w:rsid w:val="0082234F"/>
    <w:rsid w:val="00823FF8"/>
    <w:rsid w:val="00825A64"/>
    <w:rsid w:val="00830186"/>
    <w:rsid w:val="00833AC5"/>
    <w:rsid w:val="00846B25"/>
    <w:rsid w:val="0085117C"/>
    <w:rsid w:val="008519AC"/>
    <w:rsid w:val="00852003"/>
    <w:rsid w:val="0086215D"/>
    <w:rsid w:val="008638C1"/>
    <w:rsid w:val="00864568"/>
    <w:rsid w:val="00877D7C"/>
    <w:rsid w:val="00883917"/>
    <w:rsid w:val="00887907"/>
    <w:rsid w:val="00890F82"/>
    <w:rsid w:val="00894530"/>
    <w:rsid w:val="008A07FE"/>
    <w:rsid w:val="008A242A"/>
    <w:rsid w:val="008A6C5F"/>
    <w:rsid w:val="008B3E95"/>
    <w:rsid w:val="008B63FE"/>
    <w:rsid w:val="008D4842"/>
    <w:rsid w:val="008F14C1"/>
    <w:rsid w:val="008F5FCA"/>
    <w:rsid w:val="008F72C1"/>
    <w:rsid w:val="00902075"/>
    <w:rsid w:val="00904BFB"/>
    <w:rsid w:val="0090625C"/>
    <w:rsid w:val="009178C9"/>
    <w:rsid w:val="009209F7"/>
    <w:rsid w:val="00920B32"/>
    <w:rsid w:val="00931AFC"/>
    <w:rsid w:val="009360E1"/>
    <w:rsid w:val="0094058B"/>
    <w:rsid w:val="009448FA"/>
    <w:rsid w:val="00953E1D"/>
    <w:rsid w:val="00957624"/>
    <w:rsid w:val="0096545E"/>
    <w:rsid w:val="00972F27"/>
    <w:rsid w:val="0097362A"/>
    <w:rsid w:val="00975E41"/>
    <w:rsid w:val="00976CD3"/>
    <w:rsid w:val="00977F60"/>
    <w:rsid w:val="0098798F"/>
    <w:rsid w:val="00991EB1"/>
    <w:rsid w:val="00992E16"/>
    <w:rsid w:val="009959B1"/>
    <w:rsid w:val="009A1B2E"/>
    <w:rsid w:val="009A1F1B"/>
    <w:rsid w:val="009A6207"/>
    <w:rsid w:val="009B4138"/>
    <w:rsid w:val="009B5996"/>
    <w:rsid w:val="009C18D7"/>
    <w:rsid w:val="009C28A7"/>
    <w:rsid w:val="009C661F"/>
    <w:rsid w:val="009D1086"/>
    <w:rsid w:val="009E377F"/>
    <w:rsid w:val="009E68E9"/>
    <w:rsid w:val="009E6BDE"/>
    <w:rsid w:val="009F2E3C"/>
    <w:rsid w:val="009F4B2F"/>
    <w:rsid w:val="00A03408"/>
    <w:rsid w:val="00A1389B"/>
    <w:rsid w:val="00A17952"/>
    <w:rsid w:val="00A22026"/>
    <w:rsid w:val="00A3115A"/>
    <w:rsid w:val="00A32289"/>
    <w:rsid w:val="00A3440C"/>
    <w:rsid w:val="00A35F87"/>
    <w:rsid w:val="00A405C6"/>
    <w:rsid w:val="00A41C0D"/>
    <w:rsid w:val="00A44A5D"/>
    <w:rsid w:val="00A46632"/>
    <w:rsid w:val="00A5180F"/>
    <w:rsid w:val="00A54B6F"/>
    <w:rsid w:val="00A5522C"/>
    <w:rsid w:val="00A60EF8"/>
    <w:rsid w:val="00A72367"/>
    <w:rsid w:val="00A72BA7"/>
    <w:rsid w:val="00A7678F"/>
    <w:rsid w:val="00A80CF2"/>
    <w:rsid w:val="00A818B0"/>
    <w:rsid w:val="00A81DFB"/>
    <w:rsid w:val="00A827BA"/>
    <w:rsid w:val="00A83AB4"/>
    <w:rsid w:val="00A84A78"/>
    <w:rsid w:val="00A86B81"/>
    <w:rsid w:val="00A92407"/>
    <w:rsid w:val="00A928FE"/>
    <w:rsid w:val="00A94D5E"/>
    <w:rsid w:val="00A97408"/>
    <w:rsid w:val="00AA1CEF"/>
    <w:rsid w:val="00AA226C"/>
    <w:rsid w:val="00AA45C1"/>
    <w:rsid w:val="00AA4653"/>
    <w:rsid w:val="00AA5122"/>
    <w:rsid w:val="00AA7CF5"/>
    <w:rsid w:val="00AB1047"/>
    <w:rsid w:val="00AB180F"/>
    <w:rsid w:val="00AC76AF"/>
    <w:rsid w:val="00AC7C05"/>
    <w:rsid w:val="00AD220C"/>
    <w:rsid w:val="00AD46C3"/>
    <w:rsid w:val="00AD6C16"/>
    <w:rsid w:val="00AD7F62"/>
    <w:rsid w:val="00AE09FE"/>
    <w:rsid w:val="00AE5431"/>
    <w:rsid w:val="00AE7172"/>
    <w:rsid w:val="00AE728F"/>
    <w:rsid w:val="00AF00CA"/>
    <w:rsid w:val="00AF540E"/>
    <w:rsid w:val="00AF5435"/>
    <w:rsid w:val="00AF66EE"/>
    <w:rsid w:val="00AF6DCB"/>
    <w:rsid w:val="00B00FE8"/>
    <w:rsid w:val="00B06E8D"/>
    <w:rsid w:val="00B1289B"/>
    <w:rsid w:val="00B14A58"/>
    <w:rsid w:val="00B1644D"/>
    <w:rsid w:val="00B23DBF"/>
    <w:rsid w:val="00B322C4"/>
    <w:rsid w:val="00B34D9F"/>
    <w:rsid w:val="00B42F69"/>
    <w:rsid w:val="00B45467"/>
    <w:rsid w:val="00B4588F"/>
    <w:rsid w:val="00B508C6"/>
    <w:rsid w:val="00B5305D"/>
    <w:rsid w:val="00B5707C"/>
    <w:rsid w:val="00B64D44"/>
    <w:rsid w:val="00B65C72"/>
    <w:rsid w:val="00B92E3A"/>
    <w:rsid w:val="00B9772C"/>
    <w:rsid w:val="00BA159F"/>
    <w:rsid w:val="00BA2EC1"/>
    <w:rsid w:val="00BA45D1"/>
    <w:rsid w:val="00BA58D6"/>
    <w:rsid w:val="00BB6134"/>
    <w:rsid w:val="00BC213A"/>
    <w:rsid w:val="00BC43DA"/>
    <w:rsid w:val="00BC5537"/>
    <w:rsid w:val="00BD12C5"/>
    <w:rsid w:val="00BD6EAD"/>
    <w:rsid w:val="00BE07A2"/>
    <w:rsid w:val="00BE5DB9"/>
    <w:rsid w:val="00BF1F9D"/>
    <w:rsid w:val="00BF4B38"/>
    <w:rsid w:val="00C03A26"/>
    <w:rsid w:val="00C03B73"/>
    <w:rsid w:val="00C10DAB"/>
    <w:rsid w:val="00C10F6B"/>
    <w:rsid w:val="00C15A07"/>
    <w:rsid w:val="00C15AA5"/>
    <w:rsid w:val="00C165E9"/>
    <w:rsid w:val="00C20EAE"/>
    <w:rsid w:val="00C215C8"/>
    <w:rsid w:val="00C25EDB"/>
    <w:rsid w:val="00C33369"/>
    <w:rsid w:val="00C43C61"/>
    <w:rsid w:val="00C44A5A"/>
    <w:rsid w:val="00C44B94"/>
    <w:rsid w:val="00C50985"/>
    <w:rsid w:val="00C52891"/>
    <w:rsid w:val="00C60264"/>
    <w:rsid w:val="00C64721"/>
    <w:rsid w:val="00C654AE"/>
    <w:rsid w:val="00C66936"/>
    <w:rsid w:val="00C67B8F"/>
    <w:rsid w:val="00C700FE"/>
    <w:rsid w:val="00C75E59"/>
    <w:rsid w:val="00C7793E"/>
    <w:rsid w:val="00C84205"/>
    <w:rsid w:val="00C84869"/>
    <w:rsid w:val="00C84CEF"/>
    <w:rsid w:val="00C91A12"/>
    <w:rsid w:val="00C92108"/>
    <w:rsid w:val="00CA0E24"/>
    <w:rsid w:val="00CA2274"/>
    <w:rsid w:val="00CA5FCA"/>
    <w:rsid w:val="00CB58BF"/>
    <w:rsid w:val="00CC4FAC"/>
    <w:rsid w:val="00CC602D"/>
    <w:rsid w:val="00CD05DE"/>
    <w:rsid w:val="00CD148C"/>
    <w:rsid w:val="00CD447F"/>
    <w:rsid w:val="00CD589D"/>
    <w:rsid w:val="00CD6004"/>
    <w:rsid w:val="00CE2850"/>
    <w:rsid w:val="00CF28A1"/>
    <w:rsid w:val="00CF5297"/>
    <w:rsid w:val="00CF5CA0"/>
    <w:rsid w:val="00D20641"/>
    <w:rsid w:val="00D47E62"/>
    <w:rsid w:val="00D51A73"/>
    <w:rsid w:val="00D51DBC"/>
    <w:rsid w:val="00D758AE"/>
    <w:rsid w:val="00D76049"/>
    <w:rsid w:val="00D812A3"/>
    <w:rsid w:val="00D87C76"/>
    <w:rsid w:val="00D87F4F"/>
    <w:rsid w:val="00D90967"/>
    <w:rsid w:val="00D9171C"/>
    <w:rsid w:val="00D942DA"/>
    <w:rsid w:val="00DA2965"/>
    <w:rsid w:val="00DA316B"/>
    <w:rsid w:val="00DA4E31"/>
    <w:rsid w:val="00DB7049"/>
    <w:rsid w:val="00DC483B"/>
    <w:rsid w:val="00DC56CD"/>
    <w:rsid w:val="00DD05FB"/>
    <w:rsid w:val="00DE45BF"/>
    <w:rsid w:val="00DE7D5D"/>
    <w:rsid w:val="00DF0088"/>
    <w:rsid w:val="00DF098F"/>
    <w:rsid w:val="00DF3B30"/>
    <w:rsid w:val="00DF529E"/>
    <w:rsid w:val="00DF5EBB"/>
    <w:rsid w:val="00DF7F39"/>
    <w:rsid w:val="00E124D1"/>
    <w:rsid w:val="00E1314D"/>
    <w:rsid w:val="00E1502B"/>
    <w:rsid w:val="00E15E26"/>
    <w:rsid w:val="00E20603"/>
    <w:rsid w:val="00E23D9E"/>
    <w:rsid w:val="00E30846"/>
    <w:rsid w:val="00E32092"/>
    <w:rsid w:val="00E323CC"/>
    <w:rsid w:val="00E34ACA"/>
    <w:rsid w:val="00E3524B"/>
    <w:rsid w:val="00E3736D"/>
    <w:rsid w:val="00E37BF5"/>
    <w:rsid w:val="00E54D43"/>
    <w:rsid w:val="00E550F8"/>
    <w:rsid w:val="00E66B46"/>
    <w:rsid w:val="00E72B66"/>
    <w:rsid w:val="00E741C0"/>
    <w:rsid w:val="00E74CFC"/>
    <w:rsid w:val="00E77450"/>
    <w:rsid w:val="00E83702"/>
    <w:rsid w:val="00E92CD9"/>
    <w:rsid w:val="00EA3120"/>
    <w:rsid w:val="00EA51D9"/>
    <w:rsid w:val="00EB2146"/>
    <w:rsid w:val="00EC2B83"/>
    <w:rsid w:val="00EC2BA3"/>
    <w:rsid w:val="00EC393D"/>
    <w:rsid w:val="00EC646B"/>
    <w:rsid w:val="00EC6AB7"/>
    <w:rsid w:val="00EC745B"/>
    <w:rsid w:val="00ED4410"/>
    <w:rsid w:val="00ED6D09"/>
    <w:rsid w:val="00EE0826"/>
    <w:rsid w:val="00EE2BCD"/>
    <w:rsid w:val="00EE7311"/>
    <w:rsid w:val="00EF4129"/>
    <w:rsid w:val="00EF5630"/>
    <w:rsid w:val="00F05D7C"/>
    <w:rsid w:val="00F11E87"/>
    <w:rsid w:val="00F11EAE"/>
    <w:rsid w:val="00F15685"/>
    <w:rsid w:val="00F16D33"/>
    <w:rsid w:val="00F17B14"/>
    <w:rsid w:val="00F20F54"/>
    <w:rsid w:val="00F330C5"/>
    <w:rsid w:val="00F33EC3"/>
    <w:rsid w:val="00F36F82"/>
    <w:rsid w:val="00F372A3"/>
    <w:rsid w:val="00F470FE"/>
    <w:rsid w:val="00F62314"/>
    <w:rsid w:val="00F62CB0"/>
    <w:rsid w:val="00F63476"/>
    <w:rsid w:val="00F65944"/>
    <w:rsid w:val="00F67B38"/>
    <w:rsid w:val="00F72E18"/>
    <w:rsid w:val="00F85834"/>
    <w:rsid w:val="00F90ABE"/>
    <w:rsid w:val="00F9652B"/>
    <w:rsid w:val="00FB2D3D"/>
    <w:rsid w:val="00FB62DC"/>
    <w:rsid w:val="00FD25F1"/>
    <w:rsid w:val="00FE1B71"/>
    <w:rsid w:val="00FE7789"/>
    <w:rsid w:val="00FF073F"/>
    <w:rsid w:val="00FF1E06"/>
    <w:rsid w:val="00FF79D5"/>
    <w:rsid w:val="00FF7F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F5D77"/>
  <w15:chartTrackingRefBased/>
  <w15:docId w15:val="{E79757DF-101D-443E-B466-274E2BDB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2">
    <w:name w:val="heading 2"/>
    <w:basedOn w:val="a"/>
    <w:next w:val="a"/>
    <w:qFormat/>
    <w:rsid w:val="00EB2146"/>
    <w:pPr>
      <w:keepNext/>
      <w:spacing w:before="240" w:after="60"/>
      <w:outlineLvl w:val="1"/>
    </w:pPr>
    <w:rPr>
      <w:rFonts w:ascii="Arial" w:hAnsi="Arial" w:cs="Arial"/>
      <w:b/>
      <w:bCs/>
      <w:i/>
      <w:iCs/>
      <w:sz w:val="28"/>
      <w:szCs w:val="28"/>
    </w:rPr>
  </w:style>
  <w:style w:type="paragraph" w:styleId="3">
    <w:name w:val="heading 3"/>
    <w:basedOn w:val="a"/>
    <w:qFormat/>
    <w:rsid w:val="004635F6"/>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table" w:styleId="a4">
    <w:name w:val="Table Grid"/>
    <w:basedOn w:val="a1"/>
    <w:rsid w:val="00A80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4635F6"/>
    <w:rPr>
      <w:rFonts w:cs="Times New Roman"/>
    </w:rPr>
  </w:style>
  <w:style w:type="paragraph" w:customStyle="1" w:styleId="rvps2">
    <w:name w:val="rvps2"/>
    <w:basedOn w:val="a"/>
    <w:rsid w:val="00FD25F1"/>
    <w:pPr>
      <w:spacing w:before="100" w:beforeAutospacing="1" w:after="100" w:afterAutospacing="1"/>
    </w:pPr>
    <w:rPr>
      <w:rFonts w:eastAsia="Calibri"/>
    </w:rPr>
  </w:style>
  <w:style w:type="paragraph" w:styleId="a5">
    <w:name w:val="Normal (Web)"/>
    <w:basedOn w:val="a"/>
    <w:uiPriority w:val="99"/>
    <w:rsid w:val="00C91A12"/>
    <w:pPr>
      <w:spacing w:before="100" w:beforeAutospacing="1" w:after="100" w:afterAutospacing="1"/>
    </w:pPr>
    <w:rPr>
      <w:lang w:val="ru-RU" w:eastAsia="ru-RU"/>
    </w:rPr>
  </w:style>
  <w:style w:type="paragraph" w:styleId="a6">
    <w:name w:val="Balloon Text"/>
    <w:basedOn w:val="a"/>
    <w:link w:val="a7"/>
    <w:uiPriority w:val="99"/>
    <w:semiHidden/>
    <w:rsid w:val="00726243"/>
    <w:rPr>
      <w:rFonts w:ascii="Tahoma" w:hAnsi="Tahoma" w:cs="Tahoma"/>
      <w:sz w:val="16"/>
      <w:szCs w:val="16"/>
    </w:rPr>
  </w:style>
  <w:style w:type="paragraph" w:customStyle="1" w:styleId="ListParagraph1">
    <w:name w:val="List Paragraph1"/>
    <w:basedOn w:val="a"/>
    <w:rsid w:val="00AE728F"/>
    <w:pPr>
      <w:ind w:left="720"/>
    </w:pPr>
    <w:rPr>
      <w:rFonts w:eastAsia="Calibri"/>
      <w:lang w:val="ru-RU" w:eastAsia="ru-RU"/>
    </w:rPr>
  </w:style>
  <w:style w:type="character" w:styleId="a8">
    <w:name w:val="Hyperlink"/>
    <w:rsid w:val="000807EC"/>
    <w:rPr>
      <w:color w:val="0000FF"/>
      <w:u w:val="single"/>
    </w:rPr>
  </w:style>
  <w:style w:type="paragraph" w:customStyle="1" w:styleId="1">
    <w:name w:val="1"/>
    <w:basedOn w:val="a"/>
    <w:rsid w:val="003608FE"/>
    <w:rPr>
      <w:rFonts w:ascii="Verdana" w:hAnsi="Verdana" w:cs="Verdana"/>
      <w:sz w:val="20"/>
      <w:szCs w:val="20"/>
      <w:lang w:val="en-US" w:eastAsia="en-US"/>
    </w:rPr>
  </w:style>
  <w:style w:type="paragraph" w:styleId="a9">
    <w:name w:val="header"/>
    <w:basedOn w:val="a"/>
    <w:link w:val="aa"/>
    <w:uiPriority w:val="99"/>
    <w:rsid w:val="00977F60"/>
    <w:pPr>
      <w:tabs>
        <w:tab w:val="center" w:pos="4677"/>
        <w:tab w:val="right" w:pos="9355"/>
      </w:tabs>
    </w:pPr>
    <w:rPr>
      <w:rFonts w:eastAsia="Calibri"/>
      <w:lang w:val="en-US" w:eastAsia="ru-RU"/>
    </w:rPr>
  </w:style>
  <w:style w:type="character" w:customStyle="1" w:styleId="aa">
    <w:name w:val="Верхній колонтитул Знак"/>
    <w:link w:val="a9"/>
    <w:uiPriority w:val="99"/>
    <w:rsid w:val="00977F60"/>
    <w:rPr>
      <w:rFonts w:eastAsia="Calibri"/>
      <w:sz w:val="24"/>
      <w:szCs w:val="24"/>
      <w:lang w:val="en-US" w:eastAsia="ru-RU"/>
    </w:rPr>
  </w:style>
  <w:style w:type="paragraph" w:styleId="ab">
    <w:name w:val="footer"/>
    <w:basedOn w:val="a"/>
    <w:link w:val="ac"/>
    <w:uiPriority w:val="99"/>
    <w:rsid w:val="00F470FE"/>
    <w:pPr>
      <w:tabs>
        <w:tab w:val="center" w:pos="4819"/>
        <w:tab w:val="right" w:pos="9639"/>
      </w:tabs>
    </w:pPr>
  </w:style>
  <w:style w:type="character" w:customStyle="1" w:styleId="ac">
    <w:name w:val="Нижній колонтитул Знак"/>
    <w:link w:val="ab"/>
    <w:uiPriority w:val="99"/>
    <w:rsid w:val="00F470FE"/>
    <w:rPr>
      <w:sz w:val="24"/>
      <w:szCs w:val="24"/>
    </w:rPr>
  </w:style>
  <w:style w:type="paragraph" w:styleId="ad">
    <w:name w:val="List Paragraph"/>
    <w:basedOn w:val="a"/>
    <w:uiPriority w:val="34"/>
    <w:qFormat/>
    <w:rsid w:val="00A60EF8"/>
    <w:pPr>
      <w:ind w:left="720"/>
      <w:contextualSpacing/>
    </w:pPr>
    <w:rPr>
      <w:lang w:val="ru-RU" w:eastAsia="ru-RU"/>
    </w:rPr>
  </w:style>
  <w:style w:type="character" w:customStyle="1" w:styleId="a7">
    <w:name w:val="Текст у виносці Знак"/>
    <w:link w:val="a6"/>
    <w:uiPriority w:val="99"/>
    <w:semiHidden/>
    <w:rsid w:val="00BF4B38"/>
    <w:rPr>
      <w:rFonts w:ascii="Tahoma" w:hAnsi="Tahoma" w:cs="Tahoma"/>
      <w:sz w:val="16"/>
      <w:szCs w:val="16"/>
    </w:rPr>
  </w:style>
  <w:style w:type="paragraph" w:customStyle="1" w:styleId="rvps12">
    <w:name w:val="rvps12"/>
    <w:basedOn w:val="a"/>
    <w:rsid w:val="0085117C"/>
    <w:pPr>
      <w:spacing w:before="100" w:beforeAutospacing="1" w:after="100" w:afterAutospacing="1"/>
    </w:pPr>
    <w:rPr>
      <w:lang w:val="ru-RU" w:eastAsia="ru-RU"/>
    </w:rPr>
  </w:style>
  <w:style w:type="character" w:customStyle="1" w:styleId="apple-converted-space">
    <w:name w:val="apple-converted-space"/>
    <w:rsid w:val="0085117C"/>
  </w:style>
  <w:style w:type="character" w:customStyle="1" w:styleId="rvts37">
    <w:name w:val="rvts37"/>
    <w:rsid w:val="0085117C"/>
  </w:style>
  <w:style w:type="paragraph" w:styleId="ae">
    <w:name w:val="No Spacing"/>
    <w:uiPriority w:val="1"/>
    <w:qFormat/>
    <w:rsid w:val="00535FDE"/>
    <w:rPr>
      <w:rFonts w:eastAsia="Calibri"/>
      <w:sz w:val="24"/>
      <w:szCs w:val="24"/>
      <w:lang w:val="ru-RU" w:eastAsia="ru-RU"/>
    </w:rPr>
  </w:style>
  <w:style w:type="character" w:customStyle="1" w:styleId="rvts23">
    <w:name w:val="rvts23"/>
    <w:rsid w:val="008B63FE"/>
  </w:style>
  <w:style w:type="character" w:styleId="af">
    <w:name w:val="Unresolved Mention"/>
    <w:uiPriority w:val="99"/>
    <w:semiHidden/>
    <w:unhideWhenUsed/>
    <w:rsid w:val="00975E41"/>
    <w:rPr>
      <w:color w:val="605E5C"/>
      <w:shd w:val="clear" w:color="auto" w:fill="E1DFDD"/>
    </w:rPr>
  </w:style>
  <w:style w:type="paragraph" w:styleId="af0">
    <w:name w:val="Body Text"/>
    <w:basedOn w:val="a"/>
    <w:link w:val="af1"/>
    <w:uiPriority w:val="1"/>
    <w:qFormat/>
    <w:rsid w:val="00F11EAE"/>
    <w:pPr>
      <w:widowControl w:val="0"/>
      <w:autoSpaceDE w:val="0"/>
      <w:autoSpaceDN w:val="0"/>
    </w:pPr>
    <w:rPr>
      <w:sz w:val="28"/>
      <w:szCs w:val="28"/>
      <w:lang w:eastAsia="en-US"/>
    </w:rPr>
  </w:style>
  <w:style w:type="character" w:customStyle="1" w:styleId="af1">
    <w:name w:val="Основний текст Знак"/>
    <w:basedOn w:val="a0"/>
    <w:link w:val="af0"/>
    <w:uiPriority w:val="1"/>
    <w:rsid w:val="00F11EAE"/>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444">
      <w:bodyDiv w:val="1"/>
      <w:marLeft w:val="0"/>
      <w:marRight w:val="0"/>
      <w:marTop w:val="0"/>
      <w:marBottom w:val="0"/>
      <w:divBdr>
        <w:top w:val="none" w:sz="0" w:space="0" w:color="auto"/>
        <w:left w:val="none" w:sz="0" w:space="0" w:color="auto"/>
        <w:bottom w:val="none" w:sz="0" w:space="0" w:color="auto"/>
        <w:right w:val="none" w:sz="0" w:space="0" w:color="auto"/>
      </w:divBdr>
    </w:div>
    <w:div w:id="56441005">
      <w:bodyDiv w:val="1"/>
      <w:marLeft w:val="0"/>
      <w:marRight w:val="0"/>
      <w:marTop w:val="0"/>
      <w:marBottom w:val="0"/>
      <w:divBdr>
        <w:top w:val="none" w:sz="0" w:space="0" w:color="auto"/>
        <w:left w:val="none" w:sz="0" w:space="0" w:color="auto"/>
        <w:bottom w:val="none" w:sz="0" w:space="0" w:color="auto"/>
        <w:right w:val="none" w:sz="0" w:space="0" w:color="auto"/>
      </w:divBdr>
    </w:div>
    <w:div w:id="76442711">
      <w:bodyDiv w:val="1"/>
      <w:marLeft w:val="0"/>
      <w:marRight w:val="0"/>
      <w:marTop w:val="0"/>
      <w:marBottom w:val="0"/>
      <w:divBdr>
        <w:top w:val="none" w:sz="0" w:space="0" w:color="auto"/>
        <w:left w:val="none" w:sz="0" w:space="0" w:color="auto"/>
        <w:bottom w:val="none" w:sz="0" w:space="0" w:color="auto"/>
        <w:right w:val="none" w:sz="0" w:space="0" w:color="auto"/>
      </w:divBdr>
    </w:div>
    <w:div w:id="128326024">
      <w:bodyDiv w:val="1"/>
      <w:marLeft w:val="0"/>
      <w:marRight w:val="0"/>
      <w:marTop w:val="0"/>
      <w:marBottom w:val="0"/>
      <w:divBdr>
        <w:top w:val="none" w:sz="0" w:space="0" w:color="auto"/>
        <w:left w:val="none" w:sz="0" w:space="0" w:color="auto"/>
        <w:bottom w:val="none" w:sz="0" w:space="0" w:color="auto"/>
        <w:right w:val="none" w:sz="0" w:space="0" w:color="auto"/>
      </w:divBdr>
    </w:div>
    <w:div w:id="129791718">
      <w:bodyDiv w:val="1"/>
      <w:marLeft w:val="0"/>
      <w:marRight w:val="0"/>
      <w:marTop w:val="0"/>
      <w:marBottom w:val="0"/>
      <w:divBdr>
        <w:top w:val="none" w:sz="0" w:space="0" w:color="auto"/>
        <w:left w:val="none" w:sz="0" w:space="0" w:color="auto"/>
        <w:bottom w:val="none" w:sz="0" w:space="0" w:color="auto"/>
        <w:right w:val="none" w:sz="0" w:space="0" w:color="auto"/>
      </w:divBdr>
    </w:div>
    <w:div w:id="154033839">
      <w:bodyDiv w:val="1"/>
      <w:marLeft w:val="0"/>
      <w:marRight w:val="0"/>
      <w:marTop w:val="0"/>
      <w:marBottom w:val="0"/>
      <w:divBdr>
        <w:top w:val="none" w:sz="0" w:space="0" w:color="auto"/>
        <w:left w:val="none" w:sz="0" w:space="0" w:color="auto"/>
        <w:bottom w:val="none" w:sz="0" w:space="0" w:color="auto"/>
        <w:right w:val="none" w:sz="0" w:space="0" w:color="auto"/>
      </w:divBdr>
    </w:div>
    <w:div w:id="157576695">
      <w:bodyDiv w:val="1"/>
      <w:marLeft w:val="0"/>
      <w:marRight w:val="0"/>
      <w:marTop w:val="0"/>
      <w:marBottom w:val="0"/>
      <w:divBdr>
        <w:top w:val="none" w:sz="0" w:space="0" w:color="auto"/>
        <w:left w:val="none" w:sz="0" w:space="0" w:color="auto"/>
        <w:bottom w:val="none" w:sz="0" w:space="0" w:color="auto"/>
        <w:right w:val="none" w:sz="0" w:space="0" w:color="auto"/>
      </w:divBdr>
    </w:div>
    <w:div w:id="216016482">
      <w:bodyDiv w:val="1"/>
      <w:marLeft w:val="0"/>
      <w:marRight w:val="0"/>
      <w:marTop w:val="0"/>
      <w:marBottom w:val="0"/>
      <w:divBdr>
        <w:top w:val="none" w:sz="0" w:space="0" w:color="auto"/>
        <w:left w:val="none" w:sz="0" w:space="0" w:color="auto"/>
        <w:bottom w:val="none" w:sz="0" w:space="0" w:color="auto"/>
        <w:right w:val="none" w:sz="0" w:space="0" w:color="auto"/>
      </w:divBdr>
    </w:div>
    <w:div w:id="217128410">
      <w:bodyDiv w:val="1"/>
      <w:marLeft w:val="0"/>
      <w:marRight w:val="0"/>
      <w:marTop w:val="0"/>
      <w:marBottom w:val="0"/>
      <w:divBdr>
        <w:top w:val="none" w:sz="0" w:space="0" w:color="auto"/>
        <w:left w:val="none" w:sz="0" w:space="0" w:color="auto"/>
        <w:bottom w:val="none" w:sz="0" w:space="0" w:color="auto"/>
        <w:right w:val="none" w:sz="0" w:space="0" w:color="auto"/>
      </w:divBdr>
    </w:div>
    <w:div w:id="225839869">
      <w:bodyDiv w:val="1"/>
      <w:marLeft w:val="0"/>
      <w:marRight w:val="0"/>
      <w:marTop w:val="0"/>
      <w:marBottom w:val="0"/>
      <w:divBdr>
        <w:top w:val="none" w:sz="0" w:space="0" w:color="auto"/>
        <w:left w:val="none" w:sz="0" w:space="0" w:color="auto"/>
        <w:bottom w:val="none" w:sz="0" w:space="0" w:color="auto"/>
        <w:right w:val="none" w:sz="0" w:space="0" w:color="auto"/>
      </w:divBdr>
    </w:div>
    <w:div w:id="236398782">
      <w:bodyDiv w:val="1"/>
      <w:marLeft w:val="0"/>
      <w:marRight w:val="0"/>
      <w:marTop w:val="0"/>
      <w:marBottom w:val="0"/>
      <w:divBdr>
        <w:top w:val="none" w:sz="0" w:space="0" w:color="auto"/>
        <w:left w:val="none" w:sz="0" w:space="0" w:color="auto"/>
        <w:bottom w:val="none" w:sz="0" w:space="0" w:color="auto"/>
        <w:right w:val="none" w:sz="0" w:space="0" w:color="auto"/>
      </w:divBdr>
    </w:div>
    <w:div w:id="263417846">
      <w:bodyDiv w:val="1"/>
      <w:marLeft w:val="0"/>
      <w:marRight w:val="0"/>
      <w:marTop w:val="0"/>
      <w:marBottom w:val="0"/>
      <w:divBdr>
        <w:top w:val="none" w:sz="0" w:space="0" w:color="auto"/>
        <w:left w:val="none" w:sz="0" w:space="0" w:color="auto"/>
        <w:bottom w:val="none" w:sz="0" w:space="0" w:color="auto"/>
        <w:right w:val="none" w:sz="0" w:space="0" w:color="auto"/>
      </w:divBdr>
    </w:div>
    <w:div w:id="316420994">
      <w:bodyDiv w:val="1"/>
      <w:marLeft w:val="0"/>
      <w:marRight w:val="0"/>
      <w:marTop w:val="0"/>
      <w:marBottom w:val="0"/>
      <w:divBdr>
        <w:top w:val="none" w:sz="0" w:space="0" w:color="auto"/>
        <w:left w:val="none" w:sz="0" w:space="0" w:color="auto"/>
        <w:bottom w:val="none" w:sz="0" w:space="0" w:color="auto"/>
        <w:right w:val="none" w:sz="0" w:space="0" w:color="auto"/>
      </w:divBdr>
    </w:div>
    <w:div w:id="335159815">
      <w:bodyDiv w:val="1"/>
      <w:marLeft w:val="0"/>
      <w:marRight w:val="0"/>
      <w:marTop w:val="0"/>
      <w:marBottom w:val="0"/>
      <w:divBdr>
        <w:top w:val="none" w:sz="0" w:space="0" w:color="auto"/>
        <w:left w:val="none" w:sz="0" w:space="0" w:color="auto"/>
        <w:bottom w:val="none" w:sz="0" w:space="0" w:color="auto"/>
        <w:right w:val="none" w:sz="0" w:space="0" w:color="auto"/>
      </w:divBdr>
    </w:div>
    <w:div w:id="365908630">
      <w:bodyDiv w:val="1"/>
      <w:marLeft w:val="0"/>
      <w:marRight w:val="0"/>
      <w:marTop w:val="0"/>
      <w:marBottom w:val="0"/>
      <w:divBdr>
        <w:top w:val="none" w:sz="0" w:space="0" w:color="auto"/>
        <w:left w:val="none" w:sz="0" w:space="0" w:color="auto"/>
        <w:bottom w:val="none" w:sz="0" w:space="0" w:color="auto"/>
        <w:right w:val="none" w:sz="0" w:space="0" w:color="auto"/>
      </w:divBdr>
    </w:div>
    <w:div w:id="392628135">
      <w:bodyDiv w:val="1"/>
      <w:marLeft w:val="0"/>
      <w:marRight w:val="0"/>
      <w:marTop w:val="0"/>
      <w:marBottom w:val="0"/>
      <w:divBdr>
        <w:top w:val="none" w:sz="0" w:space="0" w:color="auto"/>
        <w:left w:val="none" w:sz="0" w:space="0" w:color="auto"/>
        <w:bottom w:val="none" w:sz="0" w:space="0" w:color="auto"/>
        <w:right w:val="none" w:sz="0" w:space="0" w:color="auto"/>
      </w:divBdr>
    </w:div>
    <w:div w:id="480587068">
      <w:bodyDiv w:val="1"/>
      <w:marLeft w:val="0"/>
      <w:marRight w:val="0"/>
      <w:marTop w:val="0"/>
      <w:marBottom w:val="0"/>
      <w:divBdr>
        <w:top w:val="none" w:sz="0" w:space="0" w:color="auto"/>
        <w:left w:val="none" w:sz="0" w:space="0" w:color="auto"/>
        <w:bottom w:val="none" w:sz="0" w:space="0" w:color="auto"/>
        <w:right w:val="none" w:sz="0" w:space="0" w:color="auto"/>
      </w:divBdr>
    </w:div>
    <w:div w:id="486093771">
      <w:bodyDiv w:val="1"/>
      <w:marLeft w:val="0"/>
      <w:marRight w:val="0"/>
      <w:marTop w:val="0"/>
      <w:marBottom w:val="0"/>
      <w:divBdr>
        <w:top w:val="none" w:sz="0" w:space="0" w:color="auto"/>
        <w:left w:val="none" w:sz="0" w:space="0" w:color="auto"/>
        <w:bottom w:val="none" w:sz="0" w:space="0" w:color="auto"/>
        <w:right w:val="none" w:sz="0" w:space="0" w:color="auto"/>
      </w:divBdr>
    </w:div>
    <w:div w:id="504246779">
      <w:bodyDiv w:val="1"/>
      <w:marLeft w:val="0"/>
      <w:marRight w:val="0"/>
      <w:marTop w:val="0"/>
      <w:marBottom w:val="0"/>
      <w:divBdr>
        <w:top w:val="none" w:sz="0" w:space="0" w:color="auto"/>
        <w:left w:val="none" w:sz="0" w:space="0" w:color="auto"/>
        <w:bottom w:val="none" w:sz="0" w:space="0" w:color="auto"/>
        <w:right w:val="none" w:sz="0" w:space="0" w:color="auto"/>
      </w:divBdr>
    </w:div>
    <w:div w:id="510416878">
      <w:bodyDiv w:val="1"/>
      <w:marLeft w:val="0"/>
      <w:marRight w:val="0"/>
      <w:marTop w:val="0"/>
      <w:marBottom w:val="0"/>
      <w:divBdr>
        <w:top w:val="none" w:sz="0" w:space="0" w:color="auto"/>
        <w:left w:val="none" w:sz="0" w:space="0" w:color="auto"/>
        <w:bottom w:val="none" w:sz="0" w:space="0" w:color="auto"/>
        <w:right w:val="none" w:sz="0" w:space="0" w:color="auto"/>
      </w:divBdr>
    </w:div>
    <w:div w:id="513494708">
      <w:bodyDiv w:val="1"/>
      <w:marLeft w:val="0"/>
      <w:marRight w:val="0"/>
      <w:marTop w:val="0"/>
      <w:marBottom w:val="0"/>
      <w:divBdr>
        <w:top w:val="none" w:sz="0" w:space="0" w:color="auto"/>
        <w:left w:val="none" w:sz="0" w:space="0" w:color="auto"/>
        <w:bottom w:val="none" w:sz="0" w:space="0" w:color="auto"/>
        <w:right w:val="none" w:sz="0" w:space="0" w:color="auto"/>
      </w:divBdr>
    </w:div>
    <w:div w:id="520320739">
      <w:bodyDiv w:val="1"/>
      <w:marLeft w:val="0"/>
      <w:marRight w:val="0"/>
      <w:marTop w:val="0"/>
      <w:marBottom w:val="0"/>
      <w:divBdr>
        <w:top w:val="none" w:sz="0" w:space="0" w:color="auto"/>
        <w:left w:val="none" w:sz="0" w:space="0" w:color="auto"/>
        <w:bottom w:val="none" w:sz="0" w:space="0" w:color="auto"/>
        <w:right w:val="none" w:sz="0" w:space="0" w:color="auto"/>
      </w:divBdr>
    </w:div>
    <w:div w:id="528880593">
      <w:bodyDiv w:val="1"/>
      <w:marLeft w:val="0"/>
      <w:marRight w:val="0"/>
      <w:marTop w:val="0"/>
      <w:marBottom w:val="0"/>
      <w:divBdr>
        <w:top w:val="none" w:sz="0" w:space="0" w:color="auto"/>
        <w:left w:val="none" w:sz="0" w:space="0" w:color="auto"/>
        <w:bottom w:val="none" w:sz="0" w:space="0" w:color="auto"/>
        <w:right w:val="none" w:sz="0" w:space="0" w:color="auto"/>
      </w:divBdr>
    </w:div>
    <w:div w:id="544676763">
      <w:bodyDiv w:val="1"/>
      <w:marLeft w:val="0"/>
      <w:marRight w:val="0"/>
      <w:marTop w:val="0"/>
      <w:marBottom w:val="0"/>
      <w:divBdr>
        <w:top w:val="none" w:sz="0" w:space="0" w:color="auto"/>
        <w:left w:val="none" w:sz="0" w:space="0" w:color="auto"/>
        <w:bottom w:val="none" w:sz="0" w:space="0" w:color="auto"/>
        <w:right w:val="none" w:sz="0" w:space="0" w:color="auto"/>
      </w:divBdr>
    </w:div>
    <w:div w:id="603534746">
      <w:bodyDiv w:val="1"/>
      <w:marLeft w:val="0"/>
      <w:marRight w:val="0"/>
      <w:marTop w:val="0"/>
      <w:marBottom w:val="0"/>
      <w:divBdr>
        <w:top w:val="none" w:sz="0" w:space="0" w:color="auto"/>
        <w:left w:val="none" w:sz="0" w:space="0" w:color="auto"/>
        <w:bottom w:val="none" w:sz="0" w:space="0" w:color="auto"/>
        <w:right w:val="none" w:sz="0" w:space="0" w:color="auto"/>
      </w:divBdr>
    </w:div>
    <w:div w:id="634943662">
      <w:bodyDiv w:val="1"/>
      <w:marLeft w:val="0"/>
      <w:marRight w:val="0"/>
      <w:marTop w:val="0"/>
      <w:marBottom w:val="0"/>
      <w:divBdr>
        <w:top w:val="none" w:sz="0" w:space="0" w:color="auto"/>
        <w:left w:val="none" w:sz="0" w:space="0" w:color="auto"/>
        <w:bottom w:val="none" w:sz="0" w:space="0" w:color="auto"/>
        <w:right w:val="none" w:sz="0" w:space="0" w:color="auto"/>
      </w:divBdr>
    </w:div>
    <w:div w:id="639044771">
      <w:bodyDiv w:val="1"/>
      <w:marLeft w:val="0"/>
      <w:marRight w:val="0"/>
      <w:marTop w:val="0"/>
      <w:marBottom w:val="0"/>
      <w:divBdr>
        <w:top w:val="none" w:sz="0" w:space="0" w:color="auto"/>
        <w:left w:val="none" w:sz="0" w:space="0" w:color="auto"/>
        <w:bottom w:val="none" w:sz="0" w:space="0" w:color="auto"/>
        <w:right w:val="none" w:sz="0" w:space="0" w:color="auto"/>
      </w:divBdr>
    </w:div>
    <w:div w:id="660424222">
      <w:bodyDiv w:val="1"/>
      <w:marLeft w:val="0"/>
      <w:marRight w:val="0"/>
      <w:marTop w:val="0"/>
      <w:marBottom w:val="0"/>
      <w:divBdr>
        <w:top w:val="none" w:sz="0" w:space="0" w:color="auto"/>
        <w:left w:val="none" w:sz="0" w:space="0" w:color="auto"/>
        <w:bottom w:val="none" w:sz="0" w:space="0" w:color="auto"/>
        <w:right w:val="none" w:sz="0" w:space="0" w:color="auto"/>
      </w:divBdr>
    </w:div>
    <w:div w:id="662899156">
      <w:bodyDiv w:val="1"/>
      <w:marLeft w:val="0"/>
      <w:marRight w:val="0"/>
      <w:marTop w:val="0"/>
      <w:marBottom w:val="0"/>
      <w:divBdr>
        <w:top w:val="none" w:sz="0" w:space="0" w:color="auto"/>
        <w:left w:val="none" w:sz="0" w:space="0" w:color="auto"/>
        <w:bottom w:val="none" w:sz="0" w:space="0" w:color="auto"/>
        <w:right w:val="none" w:sz="0" w:space="0" w:color="auto"/>
      </w:divBdr>
    </w:div>
    <w:div w:id="709838627">
      <w:bodyDiv w:val="1"/>
      <w:marLeft w:val="0"/>
      <w:marRight w:val="0"/>
      <w:marTop w:val="0"/>
      <w:marBottom w:val="0"/>
      <w:divBdr>
        <w:top w:val="none" w:sz="0" w:space="0" w:color="auto"/>
        <w:left w:val="none" w:sz="0" w:space="0" w:color="auto"/>
        <w:bottom w:val="none" w:sz="0" w:space="0" w:color="auto"/>
        <w:right w:val="none" w:sz="0" w:space="0" w:color="auto"/>
      </w:divBdr>
    </w:div>
    <w:div w:id="746802270">
      <w:bodyDiv w:val="1"/>
      <w:marLeft w:val="0"/>
      <w:marRight w:val="0"/>
      <w:marTop w:val="0"/>
      <w:marBottom w:val="0"/>
      <w:divBdr>
        <w:top w:val="none" w:sz="0" w:space="0" w:color="auto"/>
        <w:left w:val="none" w:sz="0" w:space="0" w:color="auto"/>
        <w:bottom w:val="none" w:sz="0" w:space="0" w:color="auto"/>
        <w:right w:val="none" w:sz="0" w:space="0" w:color="auto"/>
      </w:divBdr>
    </w:div>
    <w:div w:id="763113210">
      <w:bodyDiv w:val="1"/>
      <w:marLeft w:val="0"/>
      <w:marRight w:val="0"/>
      <w:marTop w:val="0"/>
      <w:marBottom w:val="0"/>
      <w:divBdr>
        <w:top w:val="none" w:sz="0" w:space="0" w:color="auto"/>
        <w:left w:val="none" w:sz="0" w:space="0" w:color="auto"/>
        <w:bottom w:val="none" w:sz="0" w:space="0" w:color="auto"/>
        <w:right w:val="none" w:sz="0" w:space="0" w:color="auto"/>
      </w:divBdr>
    </w:div>
    <w:div w:id="764619357">
      <w:bodyDiv w:val="1"/>
      <w:marLeft w:val="0"/>
      <w:marRight w:val="0"/>
      <w:marTop w:val="0"/>
      <w:marBottom w:val="0"/>
      <w:divBdr>
        <w:top w:val="none" w:sz="0" w:space="0" w:color="auto"/>
        <w:left w:val="none" w:sz="0" w:space="0" w:color="auto"/>
        <w:bottom w:val="none" w:sz="0" w:space="0" w:color="auto"/>
        <w:right w:val="none" w:sz="0" w:space="0" w:color="auto"/>
      </w:divBdr>
    </w:div>
    <w:div w:id="874394124">
      <w:bodyDiv w:val="1"/>
      <w:marLeft w:val="0"/>
      <w:marRight w:val="0"/>
      <w:marTop w:val="0"/>
      <w:marBottom w:val="0"/>
      <w:divBdr>
        <w:top w:val="none" w:sz="0" w:space="0" w:color="auto"/>
        <w:left w:val="none" w:sz="0" w:space="0" w:color="auto"/>
        <w:bottom w:val="none" w:sz="0" w:space="0" w:color="auto"/>
        <w:right w:val="none" w:sz="0" w:space="0" w:color="auto"/>
      </w:divBdr>
    </w:div>
    <w:div w:id="917011136">
      <w:bodyDiv w:val="1"/>
      <w:marLeft w:val="0"/>
      <w:marRight w:val="0"/>
      <w:marTop w:val="0"/>
      <w:marBottom w:val="0"/>
      <w:divBdr>
        <w:top w:val="none" w:sz="0" w:space="0" w:color="auto"/>
        <w:left w:val="none" w:sz="0" w:space="0" w:color="auto"/>
        <w:bottom w:val="none" w:sz="0" w:space="0" w:color="auto"/>
        <w:right w:val="none" w:sz="0" w:space="0" w:color="auto"/>
      </w:divBdr>
    </w:div>
    <w:div w:id="966861147">
      <w:bodyDiv w:val="1"/>
      <w:marLeft w:val="0"/>
      <w:marRight w:val="0"/>
      <w:marTop w:val="0"/>
      <w:marBottom w:val="0"/>
      <w:divBdr>
        <w:top w:val="none" w:sz="0" w:space="0" w:color="auto"/>
        <w:left w:val="none" w:sz="0" w:space="0" w:color="auto"/>
        <w:bottom w:val="none" w:sz="0" w:space="0" w:color="auto"/>
        <w:right w:val="none" w:sz="0" w:space="0" w:color="auto"/>
      </w:divBdr>
    </w:div>
    <w:div w:id="984702473">
      <w:bodyDiv w:val="1"/>
      <w:marLeft w:val="0"/>
      <w:marRight w:val="0"/>
      <w:marTop w:val="0"/>
      <w:marBottom w:val="0"/>
      <w:divBdr>
        <w:top w:val="none" w:sz="0" w:space="0" w:color="auto"/>
        <w:left w:val="none" w:sz="0" w:space="0" w:color="auto"/>
        <w:bottom w:val="none" w:sz="0" w:space="0" w:color="auto"/>
        <w:right w:val="none" w:sz="0" w:space="0" w:color="auto"/>
      </w:divBdr>
    </w:div>
    <w:div w:id="988899730">
      <w:bodyDiv w:val="1"/>
      <w:marLeft w:val="0"/>
      <w:marRight w:val="0"/>
      <w:marTop w:val="0"/>
      <w:marBottom w:val="0"/>
      <w:divBdr>
        <w:top w:val="none" w:sz="0" w:space="0" w:color="auto"/>
        <w:left w:val="none" w:sz="0" w:space="0" w:color="auto"/>
        <w:bottom w:val="none" w:sz="0" w:space="0" w:color="auto"/>
        <w:right w:val="none" w:sz="0" w:space="0" w:color="auto"/>
      </w:divBdr>
    </w:div>
    <w:div w:id="1004822646">
      <w:bodyDiv w:val="1"/>
      <w:marLeft w:val="0"/>
      <w:marRight w:val="0"/>
      <w:marTop w:val="0"/>
      <w:marBottom w:val="0"/>
      <w:divBdr>
        <w:top w:val="none" w:sz="0" w:space="0" w:color="auto"/>
        <w:left w:val="none" w:sz="0" w:space="0" w:color="auto"/>
        <w:bottom w:val="none" w:sz="0" w:space="0" w:color="auto"/>
        <w:right w:val="none" w:sz="0" w:space="0" w:color="auto"/>
      </w:divBdr>
    </w:div>
    <w:div w:id="1026365426">
      <w:bodyDiv w:val="1"/>
      <w:marLeft w:val="0"/>
      <w:marRight w:val="0"/>
      <w:marTop w:val="0"/>
      <w:marBottom w:val="0"/>
      <w:divBdr>
        <w:top w:val="none" w:sz="0" w:space="0" w:color="auto"/>
        <w:left w:val="none" w:sz="0" w:space="0" w:color="auto"/>
        <w:bottom w:val="none" w:sz="0" w:space="0" w:color="auto"/>
        <w:right w:val="none" w:sz="0" w:space="0" w:color="auto"/>
      </w:divBdr>
    </w:div>
    <w:div w:id="1028145414">
      <w:bodyDiv w:val="1"/>
      <w:marLeft w:val="0"/>
      <w:marRight w:val="0"/>
      <w:marTop w:val="0"/>
      <w:marBottom w:val="0"/>
      <w:divBdr>
        <w:top w:val="none" w:sz="0" w:space="0" w:color="auto"/>
        <w:left w:val="none" w:sz="0" w:space="0" w:color="auto"/>
        <w:bottom w:val="none" w:sz="0" w:space="0" w:color="auto"/>
        <w:right w:val="none" w:sz="0" w:space="0" w:color="auto"/>
      </w:divBdr>
    </w:div>
    <w:div w:id="1062633234">
      <w:bodyDiv w:val="1"/>
      <w:marLeft w:val="0"/>
      <w:marRight w:val="0"/>
      <w:marTop w:val="0"/>
      <w:marBottom w:val="0"/>
      <w:divBdr>
        <w:top w:val="none" w:sz="0" w:space="0" w:color="auto"/>
        <w:left w:val="none" w:sz="0" w:space="0" w:color="auto"/>
        <w:bottom w:val="none" w:sz="0" w:space="0" w:color="auto"/>
        <w:right w:val="none" w:sz="0" w:space="0" w:color="auto"/>
      </w:divBdr>
    </w:div>
    <w:div w:id="1063872697">
      <w:bodyDiv w:val="1"/>
      <w:marLeft w:val="0"/>
      <w:marRight w:val="0"/>
      <w:marTop w:val="0"/>
      <w:marBottom w:val="0"/>
      <w:divBdr>
        <w:top w:val="none" w:sz="0" w:space="0" w:color="auto"/>
        <w:left w:val="none" w:sz="0" w:space="0" w:color="auto"/>
        <w:bottom w:val="none" w:sz="0" w:space="0" w:color="auto"/>
        <w:right w:val="none" w:sz="0" w:space="0" w:color="auto"/>
      </w:divBdr>
    </w:div>
    <w:div w:id="1101686703">
      <w:bodyDiv w:val="1"/>
      <w:marLeft w:val="0"/>
      <w:marRight w:val="0"/>
      <w:marTop w:val="0"/>
      <w:marBottom w:val="0"/>
      <w:divBdr>
        <w:top w:val="none" w:sz="0" w:space="0" w:color="auto"/>
        <w:left w:val="none" w:sz="0" w:space="0" w:color="auto"/>
        <w:bottom w:val="none" w:sz="0" w:space="0" w:color="auto"/>
        <w:right w:val="none" w:sz="0" w:space="0" w:color="auto"/>
      </w:divBdr>
    </w:div>
    <w:div w:id="1143931391">
      <w:bodyDiv w:val="1"/>
      <w:marLeft w:val="0"/>
      <w:marRight w:val="0"/>
      <w:marTop w:val="0"/>
      <w:marBottom w:val="0"/>
      <w:divBdr>
        <w:top w:val="none" w:sz="0" w:space="0" w:color="auto"/>
        <w:left w:val="none" w:sz="0" w:space="0" w:color="auto"/>
        <w:bottom w:val="none" w:sz="0" w:space="0" w:color="auto"/>
        <w:right w:val="none" w:sz="0" w:space="0" w:color="auto"/>
      </w:divBdr>
    </w:div>
    <w:div w:id="1177882879">
      <w:bodyDiv w:val="1"/>
      <w:marLeft w:val="0"/>
      <w:marRight w:val="0"/>
      <w:marTop w:val="0"/>
      <w:marBottom w:val="0"/>
      <w:divBdr>
        <w:top w:val="none" w:sz="0" w:space="0" w:color="auto"/>
        <w:left w:val="none" w:sz="0" w:space="0" w:color="auto"/>
        <w:bottom w:val="none" w:sz="0" w:space="0" w:color="auto"/>
        <w:right w:val="none" w:sz="0" w:space="0" w:color="auto"/>
      </w:divBdr>
    </w:div>
    <w:div w:id="1250650181">
      <w:bodyDiv w:val="1"/>
      <w:marLeft w:val="0"/>
      <w:marRight w:val="0"/>
      <w:marTop w:val="0"/>
      <w:marBottom w:val="0"/>
      <w:divBdr>
        <w:top w:val="none" w:sz="0" w:space="0" w:color="auto"/>
        <w:left w:val="none" w:sz="0" w:space="0" w:color="auto"/>
        <w:bottom w:val="none" w:sz="0" w:space="0" w:color="auto"/>
        <w:right w:val="none" w:sz="0" w:space="0" w:color="auto"/>
      </w:divBdr>
    </w:div>
    <w:div w:id="1278759103">
      <w:bodyDiv w:val="1"/>
      <w:marLeft w:val="0"/>
      <w:marRight w:val="0"/>
      <w:marTop w:val="0"/>
      <w:marBottom w:val="0"/>
      <w:divBdr>
        <w:top w:val="none" w:sz="0" w:space="0" w:color="auto"/>
        <w:left w:val="none" w:sz="0" w:space="0" w:color="auto"/>
        <w:bottom w:val="none" w:sz="0" w:space="0" w:color="auto"/>
        <w:right w:val="none" w:sz="0" w:space="0" w:color="auto"/>
      </w:divBdr>
    </w:div>
    <w:div w:id="1326199390">
      <w:bodyDiv w:val="1"/>
      <w:marLeft w:val="0"/>
      <w:marRight w:val="0"/>
      <w:marTop w:val="0"/>
      <w:marBottom w:val="0"/>
      <w:divBdr>
        <w:top w:val="none" w:sz="0" w:space="0" w:color="auto"/>
        <w:left w:val="none" w:sz="0" w:space="0" w:color="auto"/>
        <w:bottom w:val="none" w:sz="0" w:space="0" w:color="auto"/>
        <w:right w:val="none" w:sz="0" w:space="0" w:color="auto"/>
      </w:divBdr>
    </w:div>
    <w:div w:id="1335109632">
      <w:bodyDiv w:val="1"/>
      <w:marLeft w:val="0"/>
      <w:marRight w:val="0"/>
      <w:marTop w:val="0"/>
      <w:marBottom w:val="0"/>
      <w:divBdr>
        <w:top w:val="none" w:sz="0" w:space="0" w:color="auto"/>
        <w:left w:val="none" w:sz="0" w:space="0" w:color="auto"/>
        <w:bottom w:val="none" w:sz="0" w:space="0" w:color="auto"/>
        <w:right w:val="none" w:sz="0" w:space="0" w:color="auto"/>
      </w:divBdr>
    </w:div>
    <w:div w:id="1340308082">
      <w:bodyDiv w:val="1"/>
      <w:marLeft w:val="0"/>
      <w:marRight w:val="0"/>
      <w:marTop w:val="0"/>
      <w:marBottom w:val="0"/>
      <w:divBdr>
        <w:top w:val="none" w:sz="0" w:space="0" w:color="auto"/>
        <w:left w:val="none" w:sz="0" w:space="0" w:color="auto"/>
        <w:bottom w:val="none" w:sz="0" w:space="0" w:color="auto"/>
        <w:right w:val="none" w:sz="0" w:space="0" w:color="auto"/>
      </w:divBdr>
    </w:div>
    <w:div w:id="1345089880">
      <w:bodyDiv w:val="1"/>
      <w:marLeft w:val="0"/>
      <w:marRight w:val="0"/>
      <w:marTop w:val="0"/>
      <w:marBottom w:val="0"/>
      <w:divBdr>
        <w:top w:val="none" w:sz="0" w:space="0" w:color="auto"/>
        <w:left w:val="none" w:sz="0" w:space="0" w:color="auto"/>
        <w:bottom w:val="none" w:sz="0" w:space="0" w:color="auto"/>
        <w:right w:val="none" w:sz="0" w:space="0" w:color="auto"/>
      </w:divBdr>
    </w:div>
    <w:div w:id="1384522519">
      <w:bodyDiv w:val="1"/>
      <w:marLeft w:val="0"/>
      <w:marRight w:val="0"/>
      <w:marTop w:val="0"/>
      <w:marBottom w:val="0"/>
      <w:divBdr>
        <w:top w:val="none" w:sz="0" w:space="0" w:color="auto"/>
        <w:left w:val="none" w:sz="0" w:space="0" w:color="auto"/>
        <w:bottom w:val="none" w:sz="0" w:space="0" w:color="auto"/>
        <w:right w:val="none" w:sz="0" w:space="0" w:color="auto"/>
      </w:divBdr>
    </w:div>
    <w:div w:id="1443962293">
      <w:bodyDiv w:val="1"/>
      <w:marLeft w:val="0"/>
      <w:marRight w:val="0"/>
      <w:marTop w:val="0"/>
      <w:marBottom w:val="0"/>
      <w:divBdr>
        <w:top w:val="none" w:sz="0" w:space="0" w:color="auto"/>
        <w:left w:val="none" w:sz="0" w:space="0" w:color="auto"/>
        <w:bottom w:val="none" w:sz="0" w:space="0" w:color="auto"/>
        <w:right w:val="none" w:sz="0" w:space="0" w:color="auto"/>
      </w:divBdr>
    </w:div>
    <w:div w:id="1462965230">
      <w:bodyDiv w:val="1"/>
      <w:marLeft w:val="0"/>
      <w:marRight w:val="0"/>
      <w:marTop w:val="0"/>
      <w:marBottom w:val="0"/>
      <w:divBdr>
        <w:top w:val="none" w:sz="0" w:space="0" w:color="auto"/>
        <w:left w:val="none" w:sz="0" w:space="0" w:color="auto"/>
        <w:bottom w:val="none" w:sz="0" w:space="0" w:color="auto"/>
        <w:right w:val="none" w:sz="0" w:space="0" w:color="auto"/>
      </w:divBdr>
    </w:div>
    <w:div w:id="1526558880">
      <w:bodyDiv w:val="1"/>
      <w:marLeft w:val="0"/>
      <w:marRight w:val="0"/>
      <w:marTop w:val="0"/>
      <w:marBottom w:val="0"/>
      <w:divBdr>
        <w:top w:val="none" w:sz="0" w:space="0" w:color="auto"/>
        <w:left w:val="none" w:sz="0" w:space="0" w:color="auto"/>
        <w:bottom w:val="none" w:sz="0" w:space="0" w:color="auto"/>
        <w:right w:val="none" w:sz="0" w:space="0" w:color="auto"/>
      </w:divBdr>
    </w:div>
    <w:div w:id="1527710946">
      <w:bodyDiv w:val="1"/>
      <w:marLeft w:val="0"/>
      <w:marRight w:val="0"/>
      <w:marTop w:val="0"/>
      <w:marBottom w:val="0"/>
      <w:divBdr>
        <w:top w:val="none" w:sz="0" w:space="0" w:color="auto"/>
        <w:left w:val="none" w:sz="0" w:space="0" w:color="auto"/>
        <w:bottom w:val="none" w:sz="0" w:space="0" w:color="auto"/>
        <w:right w:val="none" w:sz="0" w:space="0" w:color="auto"/>
      </w:divBdr>
    </w:div>
    <w:div w:id="1542936167">
      <w:bodyDiv w:val="1"/>
      <w:marLeft w:val="0"/>
      <w:marRight w:val="0"/>
      <w:marTop w:val="0"/>
      <w:marBottom w:val="0"/>
      <w:divBdr>
        <w:top w:val="none" w:sz="0" w:space="0" w:color="auto"/>
        <w:left w:val="none" w:sz="0" w:space="0" w:color="auto"/>
        <w:bottom w:val="none" w:sz="0" w:space="0" w:color="auto"/>
        <w:right w:val="none" w:sz="0" w:space="0" w:color="auto"/>
      </w:divBdr>
    </w:div>
    <w:div w:id="1545874732">
      <w:bodyDiv w:val="1"/>
      <w:marLeft w:val="0"/>
      <w:marRight w:val="0"/>
      <w:marTop w:val="0"/>
      <w:marBottom w:val="0"/>
      <w:divBdr>
        <w:top w:val="none" w:sz="0" w:space="0" w:color="auto"/>
        <w:left w:val="none" w:sz="0" w:space="0" w:color="auto"/>
        <w:bottom w:val="none" w:sz="0" w:space="0" w:color="auto"/>
        <w:right w:val="none" w:sz="0" w:space="0" w:color="auto"/>
      </w:divBdr>
    </w:div>
    <w:div w:id="1550529334">
      <w:bodyDiv w:val="1"/>
      <w:marLeft w:val="0"/>
      <w:marRight w:val="0"/>
      <w:marTop w:val="0"/>
      <w:marBottom w:val="0"/>
      <w:divBdr>
        <w:top w:val="none" w:sz="0" w:space="0" w:color="auto"/>
        <w:left w:val="none" w:sz="0" w:space="0" w:color="auto"/>
        <w:bottom w:val="none" w:sz="0" w:space="0" w:color="auto"/>
        <w:right w:val="none" w:sz="0" w:space="0" w:color="auto"/>
      </w:divBdr>
    </w:div>
    <w:div w:id="1597128696">
      <w:bodyDiv w:val="1"/>
      <w:marLeft w:val="0"/>
      <w:marRight w:val="0"/>
      <w:marTop w:val="0"/>
      <w:marBottom w:val="0"/>
      <w:divBdr>
        <w:top w:val="none" w:sz="0" w:space="0" w:color="auto"/>
        <w:left w:val="none" w:sz="0" w:space="0" w:color="auto"/>
        <w:bottom w:val="none" w:sz="0" w:space="0" w:color="auto"/>
        <w:right w:val="none" w:sz="0" w:space="0" w:color="auto"/>
      </w:divBdr>
    </w:div>
    <w:div w:id="1613510637">
      <w:bodyDiv w:val="1"/>
      <w:marLeft w:val="0"/>
      <w:marRight w:val="0"/>
      <w:marTop w:val="0"/>
      <w:marBottom w:val="0"/>
      <w:divBdr>
        <w:top w:val="none" w:sz="0" w:space="0" w:color="auto"/>
        <w:left w:val="none" w:sz="0" w:space="0" w:color="auto"/>
        <w:bottom w:val="none" w:sz="0" w:space="0" w:color="auto"/>
        <w:right w:val="none" w:sz="0" w:space="0" w:color="auto"/>
      </w:divBdr>
    </w:div>
    <w:div w:id="1625304025">
      <w:bodyDiv w:val="1"/>
      <w:marLeft w:val="0"/>
      <w:marRight w:val="0"/>
      <w:marTop w:val="0"/>
      <w:marBottom w:val="0"/>
      <w:divBdr>
        <w:top w:val="none" w:sz="0" w:space="0" w:color="auto"/>
        <w:left w:val="none" w:sz="0" w:space="0" w:color="auto"/>
        <w:bottom w:val="none" w:sz="0" w:space="0" w:color="auto"/>
        <w:right w:val="none" w:sz="0" w:space="0" w:color="auto"/>
      </w:divBdr>
    </w:div>
    <w:div w:id="1661149957">
      <w:bodyDiv w:val="1"/>
      <w:marLeft w:val="0"/>
      <w:marRight w:val="0"/>
      <w:marTop w:val="0"/>
      <w:marBottom w:val="0"/>
      <w:divBdr>
        <w:top w:val="none" w:sz="0" w:space="0" w:color="auto"/>
        <w:left w:val="none" w:sz="0" w:space="0" w:color="auto"/>
        <w:bottom w:val="none" w:sz="0" w:space="0" w:color="auto"/>
        <w:right w:val="none" w:sz="0" w:space="0" w:color="auto"/>
      </w:divBdr>
    </w:div>
    <w:div w:id="1669600727">
      <w:bodyDiv w:val="1"/>
      <w:marLeft w:val="0"/>
      <w:marRight w:val="0"/>
      <w:marTop w:val="0"/>
      <w:marBottom w:val="0"/>
      <w:divBdr>
        <w:top w:val="none" w:sz="0" w:space="0" w:color="auto"/>
        <w:left w:val="none" w:sz="0" w:space="0" w:color="auto"/>
        <w:bottom w:val="none" w:sz="0" w:space="0" w:color="auto"/>
        <w:right w:val="none" w:sz="0" w:space="0" w:color="auto"/>
      </w:divBdr>
    </w:div>
    <w:div w:id="1682395674">
      <w:bodyDiv w:val="1"/>
      <w:marLeft w:val="0"/>
      <w:marRight w:val="0"/>
      <w:marTop w:val="0"/>
      <w:marBottom w:val="0"/>
      <w:divBdr>
        <w:top w:val="none" w:sz="0" w:space="0" w:color="auto"/>
        <w:left w:val="none" w:sz="0" w:space="0" w:color="auto"/>
        <w:bottom w:val="none" w:sz="0" w:space="0" w:color="auto"/>
        <w:right w:val="none" w:sz="0" w:space="0" w:color="auto"/>
      </w:divBdr>
    </w:div>
    <w:div w:id="1709836919">
      <w:bodyDiv w:val="1"/>
      <w:marLeft w:val="0"/>
      <w:marRight w:val="0"/>
      <w:marTop w:val="0"/>
      <w:marBottom w:val="0"/>
      <w:divBdr>
        <w:top w:val="none" w:sz="0" w:space="0" w:color="auto"/>
        <w:left w:val="none" w:sz="0" w:space="0" w:color="auto"/>
        <w:bottom w:val="none" w:sz="0" w:space="0" w:color="auto"/>
        <w:right w:val="none" w:sz="0" w:space="0" w:color="auto"/>
      </w:divBdr>
    </w:div>
    <w:div w:id="1740126294">
      <w:bodyDiv w:val="1"/>
      <w:marLeft w:val="0"/>
      <w:marRight w:val="0"/>
      <w:marTop w:val="0"/>
      <w:marBottom w:val="0"/>
      <w:divBdr>
        <w:top w:val="none" w:sz="0" w:space="0" w:color="auto"/>
        <w:left w:val="none" w:sz="0" w:space="0" w:color="auto"/>
        <w:bottom w:val="none" w:sz="0" w:space="0" w:color="auto"/>
        <w:right w:val="none" w:sz="0" w:space="0" w:color="auto"/>
      </w:divBdr>
    </w:div>
    <w:div w:id="1743021917">
      <w:bodyDiv w:val="1"/>
      <w:marLeft w:val="0"/>
      <w:marRight w:val="0"/>
      <w:marTop w:val="0"/>
      <w:marBottom w:val="0"/>
      <w:divBdr>
        <w:top w:val="none" w:sz="0" w:space="0" w:color="auto"/>
        <w:left w:val="none" w:sz="0" w:space="0" w:color="auto"/>
        <w:bottom w:val="none" w:sz="0" w:space="0" w:color="auto"/>
        <w:right w:val="none" w:sz="0" w:space="0" w:color="auto"/>
      </w:divBdr>
    </w:div>
    <w:div w:id="1756170497">
      <w:bodyDiv w:val="1"/>
      <w:marLeft w:val="0"/>
      <w:marRight w:val="0"/>
      <w:marTop w:val="0"/>
      <w:marBottom w:val="0"/>
      <w:divBdr>
        <w:top w:val="none" w:sz="0" w:space="0" w:color="auto"/>
        <w:left w:val="none" w:sz="0" w:space="0" w:color="auto"/>
        <w:bottom w:val="none" w:sz="0" w:space="0" w:color="auto"/>
        <w:right w:val="none" w:sz="0" w:space="0" w:color="auto"/>
      </w:divBdr>
    </w:div>
    <w:div w:id="1756896857">
      <w:bodyDiv w:val="1"/>
      <w:marLeft w:val="0"/>
      <w:marRight w:val="0"/>
      <w:marTop w:val="0"/>
      <w:marBottom w:val="0"/>
      <w:divBdr>
        <w:top w:val="none" w:sz="0" w:space="0" w:color="auto"/>
        <w:left w:val="none" w:sz="0" w:space="0" w:color="auto"/>
        <w:bottom w:val="none" w:sz="0" w:space="0" w:color="auto"/>
        <w:right w:val="none" w:sz="0" w:space="0" w:color="auto"/>
      </w:divBdr>
    </w:div>
    <w:div w:id="1832941519">
      <w:bodyDiv w:val="1"/>
      <w:marLeft w:val="0"/>
      <w:marRight w:val="0"/>
      <w:marTop w:val="0"/>
      <w:marBottom w:val="0"/>
      <w:divBdr>
        <w:top w:val="none" w:sz="0" w:space="0" w:color="auto"/>
        <w:left w:val="none" w:sz="0" w:space="0" w:color="auto"/>
        <w:bottom w:val="none" w:sz="0" w:space="0" w:color="auto"/>
        <w:right w:val="none" w:sz="0" w:space="0" w:color="auto"/>
      </w:divBdr>
    </w:div>
    <w:div w:id="1899633805">
      <w:bodyDiv w:val="1"/>
      <w:marLeft w:val="0"/>
      <w:marRight w:val="0"/>
      <w:marTop w:val="0"/>
      <w:marBottom w:val="0"/>
      <w:divBdr>
        <w:top w:val="none" w:sz="0" w:space="0" w:color="auto"/>
        <w:left w:val="none" w:sz="0" w:space="0" w:color="auto"/>
        <w:bottom w:val="none" w:sz="0" w:space="0" w:color="auto"/>
        <w:right w:val="none" w:sz="0" w:space="0" w:color="auto"/>
      </w:divBdr>
    </w:div>
    <w:div w:id="1929120139">
      <w:bodyDiv w:val="1"/>
      <w:marLeft w:val="0"/>
      <w:marRight w:val="0"/>
      <w:marTop w:val="0"/>
      <w:marBottom w:val="0"/>
      <w:divBdr>
        <w:top w:val="none" w:sz="0" w:space="0" w:color="auto"/>
        <w:left w:val="none" w:sz="0" w:space="0" w:color="auto"/>
        <w:bottom w:val="none" w:sz="0" w:space="0" w:color="auto"/>
        <w:right w:val="none" w:sz="0" w:space="0" w:color="auto"/>
      </w:divBdr>
    </w:div>
    <w:div w:id="1939484685">
      <w:bodyDiv w:val="1"/>
      <w:marLeft w:val="0"/>
      <w:marRight w:val="0"/>
      <w:marTop w:val="0"/>
      <w:marBottom w:val="0"/>
      <w:divBdr>
        <w:top w:val="none" w:sz="0" w:space="0" w:color="auto"/>
        <w:left w:val="none" w:sz="0" w:space="0" w:color="auto"/>
        <w:bottom w:val="none" w:sz="0" w:space="0" w:color="auto"/>
        <w:right w:val="none" w:sz="0" w:space="0" w:color="auto"/>
      </w:divBdr>
    </w:div>
    <w:div w:id="1956405590">
      <w:bodyDiv w:val="1"/>
      <w:marLeft w:val="0"/>
      <w:marRight w:val="0"/>
      <w:marTop w:val="0"/>
      <w:marBottom w:val="0"/>
      <w:divBdr>
        <w:top w:val="none" w:sz="0" w:space="0" w:color="auto"/>
        <w:left w:val="none" w:sz="0" w:space="0" w:color="auto"/>
        <w:bottom w:val="none" w:sz="0" w:space="0" w:color="auto"/>
        <w:right w:val="none" w:sz="0" w:space="0" w:color="auto"/>
      </w:divBdr>
    </w:div>
    <w:div w:id="1965965818">
      <w:bodyDiv w:val="1"/>
      <w:marLeft w:val="0"/>
      <w:marRight w:val="0"/>
      <w:marTop w:val="0"/>
      <w:marBottom w:val="0"/>
      <w:divBdr>
        <w:top w:val="none" w:sz="0" w:space="0" w:color="auto"/>
        <w:left w:val="none" w:sz="0" w:space="0" w:color="auto"/>
        <w:bottom w:val="none" w:sz="0" w:space="0" w:color="auto"/>
        <w:right w:val="none" w:sz="0" w:space="0" w:color="auto"/>
      </w:divBdr>
    </w:div>
    <w:div w:id="1968243398">
      <w:bodyDiv w:val="1"/>
      <w:marLeft w:val="0"/>
      <w:marRight w:val="0"/>
      <w:marTop w:val="0"/>
      <w:marBottom w:val="0"/>
      <w:divBdr>
        <w:top w:val="none" w:sz="0" w:space="0" w:color="auto"/>
        <w:left w:val="none" w:sz="0" w:space="0" w:color="auto"/>
        <w:bottom w:val="none" w:sz="0" w:space="0" w:color="auto"/>
        <w:right w:val="none" w:sz="0" w:space="0" w:color="auto"/>
      </w:divBdr>
    </w:div>
    <w:div w:id="1971936335">
      <w:bodyDiv w:val="1"/>
      <w:marLeft w:val="0"/>
      <w:marRight w:val="0"/>
      <w:marTop w:val="0"/>
      <w:marBottom w:val="0"/>
      <w:divBdr>
        <w:top w:val="none" w:sz="0" w:space="0" w:color="auto"/>
        <w:left w:val="none" w:sz="0" w:space="0" w:color="auto"/>
        <w:bottom w:val="none" w:sz="0" w:space="0" w:color="auto"/>
        <w:right w:val="none" w:sz="0" w:space="0" w:color="auto"/>
      </w:divBdr>
    </w:div>
    <w:div w:id="1979069100">
      <w:bodyDiv w:val="1"/>
      <w:marLeft w:val="0"/>
      <w:marRight w:val="0"/>
      <w:marTop w:val="0"/>
      <w:marBottom w:val="0"/>
      <w:divBdr>
        <w:top w:val="none" w:sz="0" w:space="0" w:color="auto"/>
        <w:left w:val="none" w:sz="0" w:space="0" w:color="auto"/>
        <w:bottom w:val="none" w:sz="0" w:space="0" w:color="auto"/>
        <w:right w:val="none" w:sz="0" w:space="0" w:color="auto"/>
      </w:divBdr>
    </w:div>
    <w:div w:id="1986473405">
      <w:bodyDiv w:val="1"/>
      <w:marLeft w:val="0"/>
      <w:marRight w:val="0"/>
      <w:marTop w:val="0"/>
      <w:marBottom w:val="0"/>
      <w:divBdr>
        <w:top w:val="none" w:sz="0" w:space="0" w:color="auto"/>
        <w:left w:val="none" w:sz="0" w:space="0" w:color="auto"/>
        <w:bottom w:val="none" w:sz="0" w:space="0" w:color="auto"/>
        <w:right w:val="none" w:sz="0" w:space="0" w:color="auto"/>
      </w:divBdr>
    </w:div>
    <w:div w:id="2022007081">
      <w:bodyDiv w:val="1"/>
      <w:marLeft w:val="0"/>
      <w:marRight w:val="0"/>
      <w:marTop w:val="0"/>
      <w:marBottom w:val="0"/>
      <w:divBdr>
        <w:top w:val="none" w:sz="0" w:space="0" w:color="auto"/>
        <w:left w:val="none" w:sz="0" w:space="0" w:color="auto"/>
        <w:bottom w:val="none" w:sz="0" w:space="0" w:color="auto"/>
        <w:right w:val="none" w:sz="0" w:space="0" w:color="auto"/>
      </w:divBdr>
    </w:div>
    <w:div w:id="2034914681">
      <w:bodyDiv w:val="1"/>
      <w:marLeft w:val="0"/>
      <w:marRight w:val="0"/>
      <w:marTop w:val="0"/>
      <w:marBottom w:val="0"/>
      <w:divBdr>
        <w:top w:val="none" w:sz="0" w:space="0" w:color="auto"/>
        <w:left w:val="none" w:sz="0" w:space="0" w:color="auto"/>
        <w:bottom w:val="none" w:sz="0" w:space="0" w:color="auto"/>
        <w:right w:val="none" w:sz="0" w:space="0" w:color="auto"/>
      </w:divBdr>
    </w:div>
    <w:div w:id="2038847630">
      <w:bodyDiv w:val="1"/>
      <w:marLeft w:val="0"/>
      <w:marRight w:val="0"/>
      <w:marTop w:val="0"/>
      <w:marBottom w:val="0"/>
      <w:divBdr>
        <w:top w:val="none" w:sz="0" w:space="0" w:color="auto"/>
        <w:left w:val="none" w:sz="0" w:space="0" w:color="auto"/>
        <w:bottom w:val="none" w:sz="0" w:space="0" w:color="auto"/>
        <w:right w:val="none" w:sz="0" w:space="0" w:color="auto"/>
      </w:divBdr>
    </w:div>
    <w:div w:id="2044207091">
      <w:bodyDiv w:val="1"/>
      <w:marLeft w:val="0"/>
      <w:marRight w:val="0"/>
      <w:marTop w:val="0"/>
      <w:marBottom w:val="0"/>
      <w:divBdr>
        <w:top w:val="none" w:sz="0" w:space="0" w:color="auto"/>
        <w:left w:val="none" w:sz="0" w:space="0" w:color="auto"/>
        <w:bottom w:val="none" w:sz="0" w:space="0" w:color="auto"/>
        <w:right w:val="none" w:sz="0" w:space="0" w:color="auto"/>
      </w:divBdr>
    </w:div>
    <w:div w:id="2084790634">
      <w:bodyDiv w:val="1"/>
      <w:marLeft w:val="0"/>
      <w:marRight w:val="0"/>
      <w:marTop w:val="0"/>
      <w:marBottom w:val="0"/>
      <w:divBdr>
        <w:top w:val="none" w:sz="0" w:space="0" w:color="auto"/>
        <w:left w:val="none" w:sz="0" w:space="0" w:color="auto"/>
        <w:bottom w:val="none" w:sz="0" w:space="0" w:color="auto"/>
        <w:right w:val="none" w:sz="0" w:space="0" w:color="auto"/>
      </w:divBdr>
    </w:div>
    <w:div w:id="2112236092">
      <w:bodyDiv w:val="1"/>
      <w:marLeft w:val="0"/>
      <w:marRight w:val="0"/>
      <w:marTop w:val="0"/>
      <w:marBottom w:val="0"/>
      <w:divBdr>
        <w:top w:val="none" w:sz="0" w:space="0" w:color="auto"/>
        <w:left w:val="none" w:sz="0" w:space="0" w:color="auto"/>
        <w:bottom w:val="none" w:sz="0" w:space="0" w:color="auto"/>
        <w:right w:val="none" w:sz="0" w:space="0" w:color="auto"/>
      </w:divBdr>
    </w:div>
    <w:div w:id="2114203201">
      <w:bodyDiv w:val="1"/>
      <w:marLeft w:val="0"/>
      <w:marRight w:val="0"/>
      <w:marTop w:val="0"/>
      <w:marBottom w:val="0"/>
      <w:divBdr>
        <w:top w:val="none" w:sz="0" w:space="0" w:color="auto"/>
        <w:left w:val="none" w:sz="0" w:space="0" w:color="auto"/>
        <w:bottom w:val="none" w:sz="0" w:space="0" w:color="auto"/>
        <w:right w:val="none" w:sz="0" w:space="0" w:color="auto"/>
      </w:divBdr>
    </w:div>
    <w:div w:id="2115319351">
      <w:bodyDiv w:val="1"/>
      <w:marLeft w:val="0"/>
      <w:marRight w:val="0"/>
      <w:marTop w:val="0"/>
      <w:marBottom w:val="0"/>
      <w:divBdr>
        <w:top w:val="none" w:sz="0" w:space="0" w:color="auto"/>
        <w:left w:val="none" w:sz="0" w:space="0" w:color="auto"/>
        <w:bottom w:val="none" w:sz="0" w:space="0" w:color="auto"/>
        <w:right w:val="none" w:sz="0" w:space="0" w:color="auto"/>
      </w:divBdr>
    </w:div>
    <w:div w:id="2125541686">
      <w:bodyDiv w:val="1"/>
      <w:marLeft w:val="0"/>
      <w:marRight w:val="0"/>
      <w:marTop w:val="0"/>
      <w:marBottom w:val="0"/>
      <w:divBdr>
        <w:top w:val="none" w:sz="0" w:space="0" w:color="auto"/>
        <w:left w:val="none" w:sz="0" w:space="0" w:color="auto"/>
        <w:bottom w:val="none" w:sz="0" w:space="0" w:color="auto"/>
        <w:right w:val="none" w:sz="0" w:space="0" w:color="auto"/>
      </w:divBdr>
    </w:div>
    <w:div w:id="212658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99CE84B3-0732-4943-9A5A-2BC5875C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9632</Words>
  <Characters>5491</Characters>
  <Application>Microsoft Office Word</Application>
  <DocSecurity>0</DocSecurity>
  <Lines>45</Lines>
  <Paragraphs>30</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Порівняльна таблиця</vt:lpstr>
      <vt:lpstr>Порівняльна таблиця</vt:lpstr>
      <vt:lpstr>Порівняльна таблиця</vt:lpstr>
    </vt:vector>
  </TitlesOfParts>
  <Company/>
  <LinksUpToDate>false</LinksUpToDate>
  <CharactersWithSpaces>15093</CharactersWithSpaces>
  <SharedDoc>false</SharedDoc>
  <HLinks>
    <vt:vector size="312" baseType="variant">
      <vt:variant>
        <vt:i4>8192110</vt:i4>
      </vt:variant>
      <vt:variant>
        <vt:i4>153</vt:i4>
      </vt:variant>
      <vt:variant>
        <vt:i4>0</vt:i4>
      </vt:variant>
      <vt:variant>
        <vt:i4>5</vt:i4>
      </vt:variant>
      <vt:variant>
        <vt:lpwstr>mailto:m8gas_t@nerc.gov.ua</vt:lpwstr>
      </vt:variant>
      <vt:variant>
        <vt:lpwstr/>
      </vt:variant>
      <vt:variant>
        <vt:i4>8192110</vt:i4>
      </vt:variant>
      <vt:variant>
        <vt:i4>150</vt:i4>
      </vt:variant>
      <vt:variant>
        <vt:i4>0</vt:i4>
      </vt:variant>
      <vt:variant>
        <vt:i4>5</vt:i4>
      </vt:variant>
      <vt:variant>
        <vt:lpwstr>mailto:m8gas_t@nerc.gov.ua</vt:lpwstr>
      </vt:variant>
      <vt:variant>
        <vt:lpwstr/>
      </vt:variant>
      <vt:variant>
        <vt:i4>8192110</vt:i4>
      </vt:variant>
      <vt:variant>
        <vt:i4>147</vt:i4>
      </vt:variant>
      <vt:variant>
        <vt:i4>0</vt:i4>
      </vt:variant>
      <vt:variant>
        <vt:i4>5</vt:i4>
      </vt:variant>
      <vt:variant>
        <vt:lpwstr>mailto:m8gas_t@nerc.gov.ua</vt:lpwstr>
      </vt:variant>
      <vt:variant>
        <vt:lpwstr/>
      </vt:variant>
      <vt:variant>
        <vt:i4>589873</vt:i4>
      </vt:variant>
      <vt:variant>
        <vt:i4>144</vt:i4>
      </vt:variant>
      <vt:variant>
        <vt:i4>0</vt:i4>
      </vt:variant>
      <vt:variant>
        <vt:i4>5</vt:i4>
      </vt:variant>
      <vt:variant>
        <vt:lpwstr>mailto:m8gas@nerc.gov.ua</vt:lpwstr>
      </vt:variant>
      <vt:variant>
        <vt:lpwstr/>
      </vt:variant>
      <vt:variant>
        <vt:i4>8192110</vt:i4>
      </vt:variant>
      <vt:variant>
        <vt:i4>141</vt:i4>
      </vt:variant>
      <vt:variant>
        <vt:i4>0</vt:i4>
      </vt:variant>
      <vt:variant>
        <vt:i4>5</vt:i4>
      </vt:variant>
      <vt:variant>
        <vt:lpwstr>mailto:m8gas_t@nerc.gov.ua</vt:lpwstr>
      </vt:variant>
      <vt:variant>
        <vt:lpwstr/>
      </vt:variant>
      <vt:variant>
        <vt:i4>8192110</vt:i4>
      </vt:variant>
      <vt:variant>
        <vt:i4>138</vt:i4>
      </vt:variant>
      <vt:variant>
        <vt:i4>0</vt:i4>
      </vt:variant>
      <vt:variant>
        <vt:i4>5</vt:i4>
      </vt:variant>
      <vt:variant>
        <vt:lpwstr>mailto:m8gas_t@nerc.gov.ua</vt:lpwstr>
      </vt:variant>
      <vt:variant>
        <vt:lpwstr/>
      </vt:variant>
      <vt:variant>
        <vt:i4>8192110</vt:i4>
      </vt:variant>
      <vt:variant>
        <vt:i4>135</vt:i4>
      </vt:variant>
      <vt:variant>
        <vt:i4>0</vt:i4>
      </vt:variant>
      <vt:variant>
        <vt:i4>5</vt:i4>
      </vt:variant>
      <vt:variant>
        <vt:lpwstr>mailto:m8gas_t@nerc.gov.ua</vt:lpwstr>
      </vt:variant>
      <vt:variant>
        <vt:lpwstr/>
      </vt:variant>
      <vt:variant>
        <vt:i4>589873</vt:i4>
      </vt:variant>
      <vt:variant>
        <vt:i4>132</vt:i4>
      </vt:variant>
      <vt:variant>
        <vt:i4>0</vt:i4>
      </vt:variant>
      <vt:variant>
        <vt:i4>5</vt:i4>
      </vt:variant>
      <vt:variant>
        <vt:lpwstr>mailto:m8gas@nerc.gov.ua</vt:lpwstr>
      </vt:variant>
      <vt:variant>
        <vt:lpwstr/>
      </vt:variant>
      <vt:variant>
        <vt:i4>589886</vt:i4>
      </vt:variant>
      <vt:variant>
        <vt:i4>129</vt:i4>
      </vt:variant>
      <vt:variant>
        <vt:i4>0</vt:i4>
      </vt:variant>
      <vt:variant>
        <vt:i4>5</vt:i4>
      </vt:variant>
      <vt:variant>
        <vt:lpwstr>mailto:m7gas@nerc.gov.ua</vt:lpwstr>
      </vt:variant>
      <vt:variant>
        <vt:lpwstr/>
      </vt:variant>
      <vt:variant>
        <vt:i4>589886</vt:i4>
      </vt:variant>
      <vt:variant>
        <vt:i4>126</vt:i4>
      </vt:variant>
      <vt:variant>
        <vt:i4>0</vt:i4>
      </vt:variant>
      <vt:variant>
        <vt:i4>5</vt:i4>
      </vt:variant>
      <vt:variant>
        <vt:lpwstr>mailto:m7gas@nerc.gov.ua</vt:lpwstr>
      </vt:variant>
      <vt:variant>
        <vt:lpwstr/>
      </vt:variant>
      <vt:variant>
        <vt:i4>589886</vt:i4>
      </vt:variant>
      <vt:variant>
        <vt:i4>123</vt:i4>
      </vt:variant>
      <vt:variant>
        <vt:i4>0</vt:i4>
      </vt:variant>
      <vt:variant>
        <vt:i4>5</vt:i4>
      </vt:variant>
      <vt:variant>
        <vt:lpwstr>mailto:m7gas@nerc.gov.ua</vt:lpwstr>
      </vt:variant>
      <vt:variant>
        <vt:lpwstr/>
      </vt:variant>
      <vt:variant>
        <vt:i4>589886</vt:i4>
      </vt:variant>
      <vt:variant>
        <vt:i4>120</vt:i4>
      </vt:variant>
      <vt:variant>
        <vt:i4>0</vt:i4>
      </vt:variant>
      <vt:variant>
        <vt:i4>5</vt:i4>
      </vt:variant>
      <vt:variant>
        <vt:lpwstr>mailto:m7gas@nerc.gov.ua</vt:lpwstr>
      </vt:variant>
      <vt:variant>
        <vt:lpwstr/>
      </vt:variant>
      <vt:variant>
        <vt:i4>589886</vt:i4>
      </vt:variant>
      <vt:variant>
        <vt:i4>117</vt:i4>
      </vt:variant>
      <vt:variant>
        <vt:i4>0</vt:i4>
      </vt:variant>
      <vt:variant>
        <vt:i4>5</vt:i4>
      </vt:variant>
      <vt:variant>
        <vt:lpwstr>mailto:m7gas@nerc.gov.ua</vt:lpwstr>
      </vt:variant>
      <vt:variant>
        <vt:lpwstr/>
      </vt:variant>
      <vt:variant>
        <vt:i4>589887</vt:i4>
      </vt:variant>
      <vt:variant>
        <vt:i4>114</vt:i4>
      </vt:variant>
      <vt:variant>
        <vt:i4>0</vt:i4>
      </vt:variant>
      <vt:variant>
        <vt:i4>5</vt:i4>
      </vt:variant>
      <vt:variant>
        <vt:lpwstr>mailto:m6gas@nerc.gov.ua</vt:lpwstr>
      </vt:variant>
      <vt:variant>
        <vt:lpwstr/>
      </vt:variant>
      <vt:variant>
        <vt:i4>589887</vt:i4>
      </vt:variant>
      <vt:variant>
        <vt:i4>111</vt:i4>
      </vt:variant>
      <vt:variant>
        <vt:i4>0</vt:i4>
      </vt:variant>
      <vt:variant>
        <vt:i4>5</vt:i4>
      </vt:variant>
      <vt:variant>
        <vt:lpwstr>mailto:m6gas@nerc.gov.ua</vt:lpwstr>
      </vt:variant>
      <vt:variant>
        <vt:lpwstr/>
      </vt:variant>
      <vt:variant>
        <vt:i4>589887</vt:i4>
      </vt:variant>
      <vt:variant>
        <vt:i4>108</vt:i4>
      </vt:variant>
      <vt:variant>
        <vt:i4>0</vt:i4>
      </vt:variant>
      <vt:variant>
        <vt:i4>5</vt:i4>
      </vt:variant>
      <vt:variant>
        <vt:lpwstr>mailto:m6gas@nerc.gov.ua</vt:lpwstr>
      </vt:variant>
      <vt:variant>
        <vt:lpwstr/>
      </vt:variant>
      <vt:variant>
        <vt:i4>589887</vt:i4>
      </vt:variant>
      <vt:variant>
        <vt:i4>105</vt:i4>
      </vt:variant>
      <vt:variant>
        <vt:i4>0</vt:i4>
      </vt:variant>
      <vt:variant>
        <vt:i4>5</vt:i4>
      </vt:variant>
      <vt:variant>
        <vt:lpwstr>mailto:m6gas@nerc.gov.ua</vt:lpwstr>
      </vt:variant>
      <vt:variant>
        <vt:lpwstr/>
      </vt:variant>
      <vt:variant>
        <vt:i4>589887</vt:i4>
      </vt:variant>
      <vt:variant>
        <vt:i4>102</vt:i4>
      </vt:variant>
      <vt:variant>
        <vt:i4>0</vt:i4>
      </vt:variant>
      <vt:variant>
        <vt:i4>5</vt:i4>
      </vt:variant>
      <vt:variant>
        <vt:lpwstr>mailto:m6gas@nerc.gov.ua</vt:lpwstr>
      </vt:variant>
      <vt:variant>
        <vt:lpwstr/>
      </vt:variant>
      <vt:variant>
        <vt:i4>589887</vt:i4>
      </vt:variant>
      <vt:variant>
        <vt:i4>99</vt:i4>
      </vt:variant>
      <vt:variant>
        <vt:i4>0</vt:i4>
      </vt:variant>
      <vt:variant>
        <vt:i4>5</vt:i4>
      </vt:variant>
      <vt:variant>
        <vt:lpwstr>mailto:m6gas@nerc.gov.ua</vt:lpwstr>
      </vt:variant>
      <vt:variant>
        <vt:lpwstr/>
      </vt:variant>
      <vt:variant>
        <vt:i4>589887</vt:i4>
      </vt:variant>
      <vt:variant>
        <vt:i4>96</vt:i4>
      </vt:variant>
      <vt:variant>
        <vt:i4>0</vt:i4>
      </vt:variant>
      <vt:variant>
        <vt:i4>5</vt:i4>
      </vt:variant>
      <vt:variant>
        <vt:lpwstr>mailto:m6gas@nerc.gov.ua</vt:lpwstr>
      </vt:variant>
      <vt:variant>
        <vt:lpwstr/>
      </vt:variant>
      <vt:variant>
        <vt:i4>589887</vt:i4>
      </vt:variant>
      <vt:variant>
        <vt:i4>93</vt:i4>
      </vt:variant>
      <vt:variant>
        <vt:i4>0</vt:i4>
      </vt:variant>
      <vt:variant>
        <vt:i4>5</vt:i4>
      </vt:variant>
      <vt:variant>
        <vt:lpwstr>mailto:m6gas@nerc.gov.ua</vt:lpwstr>
      </vt:variant>
      <vt:variant>
        <vt:lpwstr/>
      </vt:variant>
      <vt:variant>
        <vt:i4>2949144</vt:i4>
      </vt:variant>
      <vt:variant>
        <vt:i4>90</vt:i4>
      </vt:variant>
      <vt:variant>
        <vt:i4>0</vt:i4>
      </vt:variant>
      <vt:variant>
        <vt:i4>5</vt:i4>
      </vt:variant>
      <vt:variant>
        <vt:lpwstr>mailto:m5agas@nerc.gov.ua</vt:lpwstr>
      </vt:variant>
      <vt:variant>
        <vt:lpwstr/>
      </vt:variant>
      <vt:variant>
        <vt:i4>2949144</vt:i4>
      </vt:variant>
      <vt:variant>
        <vt:i4>87</vt:i4>
      </vt:variant>
      <vt:variant>
        <vt:i4>0</vt:i4>
      </vt:variant>
      <vt:variant>
        <vt:i4>5</vt:i4>
      </vt:variant>
      <vt:variant>
        <vt:lpwstr>mailto:m5agas@nerc.gov.ua</vt:lpwstr>
      </vt:variant>
      <vt:variant>
        <vt:lpwstr/>
      </vt:variant>
      <vt:variant>
        <vt:i4>6946848</vt:i4>
      </vt:variant>
      <vt:variant>
        <vt:i4>84</vt:i4>
      </vt:variant>
      <vt:variant>
        <vt:i4>0</vt:i4>
      </vt:variant>
      <vt:variant>
        <vt:i4>5</vt:i4>
      </vt:variant>
      <vt:variant>
        <vt:lpwstr>https://zakon.rada.gov.ua/laws/show/2939-17</vt:lpwstr>
      </vt:variant>
      <vt:variant>
        <vt:lpwstr/>
      </vt:variant>
      <vt:variant>
        <vt:i4>7012390</vt:i4>
      </vt:variant>
      <vt:variant>
        <vt:i4>81</vt:i4>
      </vt:variant>
      <vt:variant>
        <vt:i4>0</vt:i4>
      </vt:variant>
      <vt:variant>
        <vt:i4>5</vt:i4>
      </vt:variant>
      <vt:variant>
        <vt:lpwstr>https://zakon.rada.gov.ua/laws/show/2657-12</vt:lpwstr>
      </vt:variant>
      <vt:variant>
        <vt:lpwstr/>
      </vt:variant>
      <vt:variant>
        <vt:i4>589884</vt:i4>
      </vt:variant>
      <vt:variant>
        <vt:i4>78</vt:i4>
      </vt:variant>
      <vt:variant>
        <vt:i4>0</vt:i4>
      </vt:variant>
      <vt:variant>
        <vt:i4>5</vt:i4>
      </vt:variant>
      <vt:variant>
        <vt:lpwstr>mailto:m5gas@nerc.gov.ua</vt:lpwstr>
      </vt:variant>
      <vt:variant>
        <vt:lpwstr/>
      </vt:variant>
      <vt:variant>
        <vt:i4>6946848</vt:i4>
      </vt:variant>
      <vt:variant>
        <vt:i4>75</vt:i4>
      </vt:variant>
      <vt:variant>
        <vt:i4>0</vt:i4>
      </vt:variant>
      <vt:variant>
        <vt:i4>5</vt:i4>
      </vt:variant>
      <vt:variant>
        <vt:lpwstr>https://zakon.rada.gov.ua/laws/show/2939-17</vt:lpwstr>
      </vt:variant>
      <vt:variant>
        <vt:lpwstr/>
      </vt:variant>
      <vt:variant>
        <vt:i4>7012390</vt:i4>
      </vt:variant>
      <vt:variant>
        <vt:i4>72</vt:i4>
      </vt:variant>
      <vt:variant>
        <vt:i4>0</vt:i4>
      </vt:variant>
      <vt:variant>
        <vt:i4>5</vt:i4>
      </vt:variant>
      <vt:variant>
        <vt:lpwstr>https://zakon.rada.gov.ua/laws/show/2657-12</vt:lpwstr>
      </vt:variant>
      <vt:variant>
        <vt:lpwstr/>
      </vt:variant>
      <vt:variant>
        <vt:i4>8126507</vt:i4>
      </vt:variant>
      <vt:variant>
        <vt:i4>69</vt:i4>
      </vt:variant>
      <vt:variant>
        <vt:i4>0</vt:i4>
      </vt:variant>
      <vt:variant>
        <vt:i4>5</vt:i4>
      </vt:variant>
      <vt:variant>
        <vt:lpwstr>https://zakon.rada.gov.ua/rada/show/2155-19</vt:lpwstr>
      </vt:variant>
      <vt:variant>
        <vt:lpwstr/>
      </vt:variant>
      <vt:variant>
        <vt:i4>6553657</vt:i4>
      </vt:variant>
      <vt:variant>
        <vt:i4>66</vt:i4>
      </vt:variant>
      <vt:variant>
        <vt:i4>0</vt:i4>
      </vt:variant>
      <vt:variant>
        <vt:i4>5</vt:i4>
      </vt:variant>
      <vt:variant>
        <vt:lpwstr>https://zakon.rada.gov.ua/rada/show/851-15</vt:lpwstr>
      </vt:variant>
      <vt:variant>
        <vt:lpwstr/>
      </vt:variant>
      <vt:variant>
        <vt:i4>589885</vt:i4>
      </vt:variant>
      <vt:variant>
        <vt:i4>63</vt:i4>
      </vt:variant>
      <vt:variant>
        <vt:i4>0</vt:i4>
      </vt:variant>
      <vt:variant>
        <vt:i4>5</vt:i4>
      </vt:variant>
      <vt:variant>
        <vt:lpwstr>mailto:m4gas@nerc.gov.ua</vt:lpwstr>
      </vt:variant>
      <vt:variant>
        <vt:lpwstr/>
      </vt:variant>
      <vt:variant>
        <vt:i4>6946848</vt:i4>
      </vt:variant>
      <vt:variant>
        <vt:i4>60</vt:i4>
      </vt:variant>
      <vt:variant>
        <vt:i4>0</vt:i4>
      </vt:variant>
      <vt:variant>
        <vt:i4>5</vt:i4>
      </vt:variant>
      <vt:variant>
        <vt:lpwstr>https://zakon.rada.gov.ua/laws/show/2939-17</vt:lpwstr>
      </vt:variant>
      <vt:variant>
        <vt:lpwstr/>
      </vt:variant>
      <vt:variant>
        <vt:i4>7012390</vt:i4>
      </vt:variant>
      <vt:variant>
        <vt:i4>57</vt:i4>
      </vt:variant>
      <vt:variant>
        <vt:i4>0</vt:i4>
      </vt:variant>
      <vt:variant>
        <vt:i4>5</vt:i4>
      </vt:variant>
      <vt:variant>
        <vt:lpwstr>https://zakon.rada.gov.ua/laws/show/2657-12</vt:lpwstr>
      </vt:variant>
      <vt:variant>
        <vt:lpwstr/>
      </vt:variant>
      <vt:variant>
        <vt:i4>8126507</vt:i4>
      </vt:variant>
      <vt:variant>
        <vt:i4>54</vt:i4>
      </vt:variant>
      <vt:variant>
        <vt:i4>0</vt:i4>
      </vt:variant>
      <vt:variant>
        <vt:i4>5</vt:i4>
      </vt:variant>
      <vt:variant>
        <vt:lpwstr>https://zakon.rada.gov.ua/rada/show/2155-19</vt:lpwstr>
      </vt:variant>
      <vt:variant>
        <vt:lpwstr/>
      </vt:variant>
      <vt:variant>
        <vt:i4>6553657</vt:i4>
      </vt:variant>
      <vt:variant>
        <vt:i4>51</vt:i4>
      </vt:variant>
      <vt:variant>
        <vt:i4>0</vt:i4>
      </vt:variant>
      <vt:variant>
        <vt:i4>5</vt:i4>
      </vt:variant>
      <vt:variant>
        <vt:lpwstr>https://zakon.rada.gov.ua/rada/show/851-15</vt:lpwstr>
      </vt:variant>
      <vt:variant>
        <vt:lpwstr/>
      </vt:variant>
      <vt:variant>
        <vt:i4>589885</vt:i4>
      </vt:variant>
      <vt:variant>
        <vt:i4>48</vt:i4>
      </vt:variant>
      <vt:variant>
        <vt:i4>0</vt:i4>
      </vt:variant>
      <vt:variant>
        <vt:i4>5</vt:i4>
      </vt:variant>
      <vt:variant>
        <vt:lpwstr>mailto:m4gas@nerc.gov.ua</vt:lpwstr>
      </vt:variant>
      <vt:variant>
        <vt:lpwstr/>
      </vt:variant>
      <vt:variant>
        <vt:i4>6946848</vt:i4>
      </vt:variant>
      <vt:variant>
        <vt:i4>45</vt:i4>
      </vt:variant>
      <vt:variant>
        <vt:i4>0</vt:i4>
      </vt:variant>
      <vt:variant>
        <vt:i4>5</vt:i4>
      </vt:variant>
      <vt:variant>
        <vt:lpwstr>https://zakon.rada.gov.ua/laws/show/2939-17</vt:lpwstr>
      </vt:variant>
      <vt:variant>
        <vt:lpwstr/>
      </vt:variant>
      <vt:variant>
        <vt:i4>7012390</vt:i4>
      </vt:variant>
      <vt:variant>
        <vt:i4>42</vt:i4>
      </vt:variant>
      <vt:variant>
        <vt:i4>0</vt:i4>
      </vt:variant>
      <vt:variant>
        <vt:i4>5</vt:i4>
      </vt:variant>
      <vt:variant>
        <vt:lpwstr>https://zakon.rada.gov.ua/laws/show/2657-12</vt:lpwstr>
      </vt:variant>
      <vt:variant>
        <vt:lpwstr/>
      </vt:variant>
      <vt:variant>
        <vt:i4>7995433</vt:i4>
      </vt:variant>
      <vt:variant>
        <vt:i4>39</vt:i4>
      </vt:variant>
      <vt:variant>
        <vt:i4>0</vt:i4>
      </vt:variant>
      <vt:variant>
        <vt:i4>5</vt:i4>
      </vt:variant>
      <vt:variant>
        <vt:lpwstr>https://zakon.rada.gov.ua/laws/show/z1090-16</vt:lpwstr>
      </vt:variant>
      <vt:variant>
        <vt:lpwstr>n22</vt:lpwstr>
      </vt:variant>
      <vt:variant>
        <vt:i4>8126507</vt:i4>
      </vt:variant>
      <vt:variant>
        <vt:i4>36</vt:i4>
      </vt:variant>
      <vt:variant>
        <vt:i4>0</vt:i4>
      </vt:variant>
      <vt:variant>
        <vt:i4>5</vt:i4>
      </vt:variant>
      <vt:variant>
        <vt:lpwstr>https://zakon.rada.gov.ua/rada/show/2155-19</vt:lpwstr>
      </vt:variant>
      <vt:variant>
        <vt:lpwstr/>
      </vt:variant>
      <vt:variant>
        <vt:i4>6553657</vt:i4>
      </vt:variant>
      <vt:variant>
        <vt:i4>33</vt:i4>
      </vt:variant>
      <vt:variant>
        <vt:i4>0</vt:i4>
      </vt:variant>
      <vt:variant>
        <vt:i4>5</vt:i4>
      </vt:variant>
      <vt:variant>
        <vt:lpwstr>https://zakon.rada.gov.ua/rada/show/851-15</vt:lpwstr>
      </vt:variant>
      <vt:variant>
        <vt:lpwstr/>
      </vt:variant>
      <vt:variant>
        <vt:i4>8126507</vt:i4>
      </vt:variant>
      <vt:variant>
        <vt:i4>30</vt:i4>
      </vt:variant>
      <vt:variant>
        <vt:i4>0</vt:i4>
      </vt:variant>
      <vt:variant>
        <vt:i4>5</vt:i4>
      </vt:variant>
      <vt:variant>
        <vt:lpwstr>https://zakon.rada.gov.ua/rada/show/2155-19</vt:lpwstr>
      </vt:variant>
      <vt:variant>
        <vt:lpwstr/>
      </vt:variant>
      <vt:variant>
        <vt:i4>6553657</vt:i4>
      </vt:variant>
      <vt:variant>
        <vt:i4>27</vt:i4>
      </vt:variant>
      <vt:variant>
        <vt:i4>0</vt:i4>
      </vt:variant>
      <vt:variant>
        <vt:i4>5</vt:i4>
      </vt:variant>
      <vt:variant>
        <vt:lpwstr>https://zakon.rada.gov.ua/rada/show/851-15</vt:lpwstr>
      </vt:variant>
      <vt:variant>
        <vt:lpwstr/>
      </vt:variant>
      <vt:variant>
        <vt:i4>786434</vt:i4>
      </vt:variant>
      <vt:variant>
        <vt:i4>24</vt:i4>
      </vt:variant>
      <vt:variant>
        <vt:i4>0</vt:i4>
      </vt:variant>
      <vt:variant>
        <vt:i4>5</vt:i4>
      </vt:variant>
      <vt:variant>
        <vt:lpwstr>https://zakon.rada.gov.ua/laws/show/867-2018-%D0%BF</vt:lpwstr>
      </vt:variant>
      <vt:variant>
        <vt:lpwstr>n3</vt:lpwstr>
      </vt:variant>
      <vt:variant>
        <vt:i4>8192055</vt:i4>
      </vt:variant>
      <vt:variant>
        <vt:i4>21</vt:i4>
      </vt:variant>
      <vt:variant>
        <vt:i4>0</vt:i4>
      </vt:variant>
      <vt:variant>
        <vt:i4>5</vt:i4>
      </vt:variant>
      <vt:variant>
        <vt:lpwstr>https://zakon.rada.gov.ua/laws/show/329-19</vt:lpwstr>
      </vt:variant>
      <vt:variant>
        <vt:lpwstr/>
      </vt:variant>
      <vt:variant>
        <vt:i4>7995433</vt:i4>
      </vt:variant>
      <vt:variant>
        <vt:i4>18</vt:i4>
      </vt:variant>
      <vt:variant>
        <vt:i4>0</vt:i4>
      </vt:variant>
      <vt:variant>
        <vt:i4>5</vt:i4>
      </vt:variant>
      <vt:variant>
        <vt:lpwstr>https://zakon.rada.gov.ua/laws/show/z1090-16</vt:lpwstr>
      </vt:variant>
      <vt:variant>
        <vt:lpwstr>n22</vt:lpwstr>
      </vt:variant>
      <vt:variant>
        <vt:i4>7995433</vt:i4>
      </vt:variant>
      <vt:variant>
        <vt:i4>15</vt:i4>
      </vt:variant>
      <vt:variant>
        <vt:i4>0</vt:i4>
      </vt:variant>
      <vt:variant>
        <vt:i4>5</vt:i4>
      </vt:variant>
      <vt:variant>
        <vt:lpwstr>https://zakon.rada.gov.ua/laws/show/z1090-16</vt:lpwstr>
      </vt:variant>
      <vt:variant>
        <vt:lpwstr>n22</vt:lpwstr>
      </vt:variant>
      <vt:variant>
        <vt:i4>7995433</vt:i4>
      </vt:variant>
      <vt:variant>
        <vt:i4>12</vt:i4>
      </vt:variant>
      <vt:variant>
        <vt:i4>0</vt:i4>
      </vt:variant>
      <vt:variant>
        <vt:i4>5</vt:i4>
      </vt:variant>
      <vt:variant>
        <vt:lpwstr>https://zakon.rada.gov.ua/laws/show/z1090-16</vt:lpwstr>
      </vt:variant>
      <vt:variant>
        <vt:lpwstr>n22</vt:lpwstr>
      </vt:variant>
      <vt:variant>
        <vt:i4>7340075</vt:i4>
      </vt:variant>
      <vt:variant>
        <vt:i4>9</vt:i4>
      </vt:variant>
      <vt:variant>
        <vt:i4>0</vt:i4>
      </vt:variant>
      <vt:variant>
        <vt:i4>5</vt:i4>
      </vt:variant>
      <vt:variant>
        <vt:lpwstr>https://zakon.rada.gov.ua/laws/show/z1092-16</vt:lpwstr>
      </vt:variant>
      <vt:variant>
        <vt:lpwstr>n8</vt:lpwstr>
      </vt:variant>
      <vt:variant>
        <vt:i4>8126507</vt:i4>
      </vt:variant>
      <vt:variant>
        <vt:i4>6</vt:i4>
      </vt:variant>
      <vt:variant>
        <vt:i4>0</vt:i4>
      </vt:variant>
      <vt:variant>
        <vt:i4>5</vt:i4>
      </vt:variant>
      <vt:variant>
        <vt:lpwstr>https://zakon.rada.gov.ua/laws/show/z1092-16</vt:lpwstr>
      </vt:variant>
      <vt:variant>
        <vt:lpwstr>n4</vt:lpwstr>
      </vt:variant>
      <vt:variant>
        <vt:i4>8323112</vt:i4>
      </vt:variant>
      <vt:variant>
        <vt:i4>3</vt:i4>
      </vt:variant>
      <vt:variant>
        <vt:i4>0</vt:i4>
      </vt:variant>
      <vt:variant>
        <vt:i4>5</vt:i4>
      </vt:variant>
      <vt:variant>
        <vt:lpwstr>https://zakon.rada.gov.ua/laws/show/z1091-16</vt:lpwstr>
      </vt:variant>
      <vt:variant>
        <vt:lpwstr>n7</vt:lpwstr>
      </vt:variant>
      <vt:variant>
        <vt:i4>8126504</vt:i4>
      </vt:variant>
      <vt:variant>
        <vt:i4>0</vt:i4>
      </vt:variant>
      <vt:variant>
        <vt:i4>0</vt:i4>
      </vt:variant>
      <vt:variant>
        <vt:i4>5</vt:i4>
      </vt:variant>
      <vt:variant>
        <vt:lpwstr>https://zakon.rada.gov.ua/laws/show/z1091-16</vt:lpwstr>
      </vt:variant>
      <vt:variant>
        <vt:lpwstr>n4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Filonenko</dc:creator>
  <cp:keywords/>
  <dc:description/>
  <cp:lastModifiedBy>Коваль Родіон</cp:lastModifiedBy>
  <cp:revision>9</cp:revision>
  <cp:lastPrinted>2022-10-06T09:00:00Z</cp:lastPrinted>
  <dcterms:created xsi:type="dcterms:W3CDTF">2022-10-04T10:34:00Z</dcterms:created>
  <dcterms:modified xsi:type="dcterms:W3CDTF">2022-10-06T11:00:00Z</dcterms:modified>
</cp:coreProperties>
</file>