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15446" w:type="dxa"/>
        <w:tblLook w:val="04A0" w:firstRow="1" w:lastRow="0" w:firstColumn="1" w:lastColumn="0" w:noHBand="0" w:noVBand="1"/>
      </w:tblPr>
      <w:tblGrid>
        <w:gridCol w:w="7650"/>
        <w:gridCol w:w="7796"/>
      </w:tblGrid>
      <w:tr w:rsidR="006D1D85" w:rsidRPr="007A492D" w14:paraId="48F08CF6" w14:textId="1E319847" w:rsidTr="00EB01F2">
        <w:trPr>
          <w:trHeight w:val="1441"/>
        </w:trPr>
        <w:tc>
          <w:tcPr>
            <w:tcW w:w="15446" w:type="dxa"/>
            <w:gridSpan w:val="2"/>
          </w:tcPr>
          <w:p w14:paraId="1901C2E4" w14:textId="77777777" w:rsidR="006D1D85" w:rsidRPr="00F10093" w:rsidRDefault="006D1D85" w:rsidP="00A942DD">
            <w:pPr>
              <w:jc w:val="center"/>
              <w:rPr>
                <w:rFonts w:ascii="Times New Roman" w:hAnsi="Times New Roman" w:cs="Times New Roman"/>
                <w:b/>
                <w:sz w:val="25"/>
                <w:szCs w:val="25"/>
              </w:rPr>
            </w:pPr>
            <w:r w:rsidRPr="00F10093">
              <w:rPr>
                <w:rFonts w:ascii="Times New Roman" w:hAnsi="Times New Roman" w:cs="Times New Roman"/>
                <w:b/>
                <w:sz w:val="25"/>
                <w:szCs w:val="25"/>
              </w:rPr>
              <w:t>ПОРІВНЯЛЬНА ТАБЛИЦЯ</w:t>
            </w:r>
          </w:p>
          <w:p w14:paraId="739E70CD" w14:textId="77777777" w:rsidR="006D1D85" w:rsidRPr="00F10093" w:rsidRDefault="006D1D85" w:rsidP="00A942DD">
            <w:pPr>
              <w:jc w:val="center"/>
              <w:rPr>
                <w:rFonts w:ascii="Times New Roman" w:hAnsi="Times New Roman" w:cs="Times New Roman"/>
                <w:b/>
                <w:sz w:val="25"/>
                <w:szCs w:val="25"/>
              </w:rPr>
            </w:pPr>
            <w:r w:rsidRPr="00F10093">
              <w:rPr>
                <w:rFonts w:ascii="Times New Roman" w:hAnsi="Times New Roman" w:cs="Times New Roman"/>
                <w:b/>
                <w:sz w:val="25"/>
                <w:szCs w:val="25"/>
                <w:lang w:val="ru-RU"/>
              </w:rPr>
              <w:t xml:space="preserve">проєкту </w:t>
            </w:r>
            <w:r w:rsidRPr="00F10093">
              <w:rPr>
                <w:rFonts w:ascii="Times New Roman" w:hAnsi="Times New Roman" w:cs="Times New Roman"/>
                <w:b/>
                <w:sz w:val="25"/>
                <w:szCs w:val="25"/>
              </w:rPr>
              <w:t xml:space="preserve">постанови НКРЕКП, що має ознаки регуляторного акта </w:t>
            </w:r>
          </w:p>
          <w:p w14:paraId="205A6FB8" w14:textId="49C9CA67" w:rsidR="006D1D85" w:rsidRPr="00F10093" w:rsidRDefault="006D1D85" w:rsidP="00A942DD">
            <w:pPr>
              <w:jc w:val="center"/>
              <w:rPr>
                <w:rFonts w:ascii="Times New Roman" w:hAnsi="Times New Roman" w:cs="Times New Roman"/>
                <w:b/>
                <w:sz w:val="25"/>
                <w:szCs w:val="25"/>
              </w:rPr>
            </w:pPr>
            <w:r w:rsidRPr="00F10093">
              <w:rPr>
                <w:rFonts w:ascii="Times New Roman" w:hAnsi="Times New Roman" w:cs="Times New Roman"/>
                <w:b/>
                <w:sz w:val="25"/>
                <w:szCs w:val="25"/>
              </w:rPr>
              <w:t>«Про внесення змін</w:t>
            </w:r>
            <w:r w:rsidR="00C116FA">
              <w:rPr>
                <w:rFonts w:ascii="Times New Roman" w:hAnsi="Times New Roman" w:cs="Times New Roman"/>
                <w:b/>
                <w:sz w:val="25"/>
                <w:szCs w:val="25"/>
                <w:lang w:val="ru-RU"/>
              </w:rPr>
              <w:t>и</w:t>
            </w:r>
            <w:r w:rsidRPr="00F10093">
              <w:rPr>
                <w:rFonts w:ascii="Times New Roman" w:hAnsi="Times New Roman" w:cs="Times New Roman"/>
                <w:b/>
                <w:sz w:val="25"/>
                <w:szCs w:val="25"/>
              </w:rPr>
              <w:t xml:space="preserve"> до Правил роздрібного ринку електричної енергії»</w:t>
            </w:r>
          </w:p>
          <w:p w14:paraId="487CBA70" w14:textId="77777777" w:rsidR="006D1D85" w:rsidRPr="0009113E" w:rsidRDefault="006D1D85" w:rsidP="00F10093">
            <w:pPr>
              <w:ind w:firstLine="567"/>
              <w:jc w:val="both"/>
              <w:rPr>
                <w:rFonts w:ascii="Times New Roman" w:hAnsi="Times New Roman" w:cs="Times New Roman"/>
                <w:sz w:val="24"/>
                <w:szCs w:val="24"/>
              </w:rPr>
            </w:pPr>
            <w:r w:rsidRPr="0009113E">
              <w:rPr>
                <w:rFonts w:ascii="Times New Roman" w:hAnsi="Times New Roman" w:cs="Times New Roman"/>
                <w:sz w:val="24"/>
                <w:szCs w:val="24"/>
              </w:rPr>
              <w:t>* - зміни виділені за принципом:</w:t>
            </w:r>
          </w:p>
          <w:p w14:paraId="7409374C" w14:textId="77777777" w:rsidR="006D1D85" w:rsidRPr="0009113E" w:rsidRDefault="006D1D85" w:rsidP="00F10093">
            <w:pPr>
              <w:ind w:firstLine="567"/>
              <w:jc w:val="both"/>
              <w:rPr>
                <w:rFonts w:ascii="Times New Roman" w:hAnsi="Times New Roman" w:cs="Times New Roman"/>
                <w:sz w:val="24"/>
                <w:szCs w:val="24"/>
              </w:rPr>
            </w:pPr>
            <w:r w:rsidRPr="0009113E">
              <w:rPr>
                <w:rFonts w:ascii="Times New Roman" w:hAnsi="Times New Roman" w:cs="Times New Roman"/>
                <w:sz w:val="24"/>
                <w:szCs w:val="24"/>
              </w:rPr>
              <w:t xml:space="preserve">те, що підлягає виключенню – </w:t>
            </w:r>
            <w:r w:rsidRPr="00B65268">
              <w:rPr>
                <w:rFonts w:ascii="Times New Roman" w:hAnsi="Times New Roman" w:cs="Times New Roman"/>
                <w:b/>
                <w:i/>
                <w:strike/>
                <w:sz w:val="24"/>
                <w:szCs w:val="24"/>
              </w:rPr>
              <w:t>курсивом</w:t>
            </w:r>
            <w:r w:rsidRPr="0009113E">
              <w:rPr>
                <w:rFonts w:ascii="Times New Roman" w:hAnsi="Times New Roman" w:cs="Times New Roman"/>
                <w:sz w:val="24"/>
                <w:szCs w:val="24"/>
              </w:rPr>
              <w:t>;</w:t>
            </w:r>
          </w:p>
          <w:p w14:paraId="6FAB987B" w14:textId="3890BDFF" w:rsidR="006D1D85" w:rsidRPr="00F10093" w:rsidRDefault="004A15D1" w:rsidP="004A15D1">
            <w:pPr>
              <w:rPr>
                <w:rFonts w:ascii="Times New Roman" w:hAnsi="Times New Roman" w:cs="Times New Roman"/>
                <w:b/>
                <w:sz w:val="25"/>
                <w:szCs w:val="25"/>
              </w:rPr>
            </w:pPr>
            <w:r>
              <w:rPr>
                <w:rFonts w:ascii="Times New Roman" w:hAnsi="Times New Roman" w:cs="Times New Roman"/>
                <w:sz w:val="24"/>
                <w:szCs w:val="24"/>
              </w:rPr>
              <w:t xml:space="preserve">         </w:t>
            </w:r>
            <w:r w:rsidR="006D1D85" w:rsidRPr="0009113E">
              <w:rPr>
                <w:rFonts w:ascii="Times New Roman" w:hAnsi="Times New Roman" w:cs="Times New Roman"/>
                <w:sz w:val="24"/>
                <w:szCs w:val="24"/>
              </w:rPr>
              <w:t>новий текс</w:t>
            </w:r>
            <w:r w:rsidR="006D1D85">
              <w:rPr>
                <w:rFonts w:ascii="Times New Roman" w:hAnsi="Times New Roman" w:cs="Times New Roman"/>
                <w:sz w:val="24"/>
                <w:szCs w:val="24"/>
              </w:rPr>
              <w:t xml:space="preserve"> редакції проєкту</w:t>
            </w:r>
            <w:r w:rsidR="006D1D85" w:rsidRPr="0009113E">
              <w:rPr>
                <w:rFonts w:ascii="Times New Roman" w:hAnsi="Times New Roman" w:cs="Times New Roman"/>
                <w:sz w:val="24"/>
                <w:szCs w:val="24"/>
              </w:rPr>
              <w:t xml:space="preserve"> – </w:t>
            </w:r>
            <w:r w:rsidR="006D1D85" w:rsidRPr="007F6BF8">
              <w:rPr>
                <w:rFonts w:ascii="Times New Roman" w:hAnsi="Times New Roman" w:cs="Times New Roman"/>
                <w:b/>
                <w:color w:val="0070C0"/>
                <w:sz w:val="24"/>
                <w:szCs w:val="24"/>
              </w:rPr>
              <w:t>напівжирним шрифтом</w:t>
            </w:r>
          </w:p>
        </w:tc>
      </w:tr>
      <w:tr w:rsidR="00EC1DC9" w:rsidRPr="007A492D" w14:paraId="66B793C8" w14:textId="2505ABD5" w:rsidTr="00EB01F2">
        <w:trPr>
          <w:trHeight w:val="274"/>
        </w:trPr>
        <w:tc>
          <w:tcPr>
            <w:tcW w:w="7650" w:type="dxa"/>
          </w:tcPr>
          <w:p w14:paraId="222760FB" w14:textId="28C41970" w:rsidR="00EC1DC9" w:rsidRPr="00CC1C05" w:rsidRDefault="00EC1DC9" w:rsidP="00323736">
            <w:pPr>
              <w:jc w:val="center"/>
              <w:rPr>
                <w:rFonts w:ascii="Times New Roman" w:hAnsi="Times New Roman" w:cs="Times New Roman"/>
                <w:b/>
                <w:sz w:val="25"/>
                <w:szCs w:val="25"/>
              </w:rPr>
            </w:pPr>
            <w:r w:rsidRPr="00CC1C05">
              <w:rPr>
                <w:rFonts w:ascii="Times New Roman" w:hAnsi="Times New Roman" w:cs="Times New Roman"/>
                <w:sz w:val="25"/>
                <w:szCs w:val="25"/>
              </w:rPr>
              <w:t>Чинна редакція</w:t>
            </w:r>
          </w:p>
        </w:tc>
        <w:tc>
          <w:tcPr>
            <w:tcW w:w="7796" w:type="dxa"/>
          </w:tcPr>
          <w:p w14:paraId="15D9FC7A" w14:textId="38DB88CC" w:rsidR="00EC1DC9" w:rsidRPr="00CC1C05" w:rsidRDefault="00EC1DC9" w:rsidP="00323736">
            <w:pPr>
              <w:jc w:val="center"/>
              <w:rPr>
                <w:rFonts w:ascii="Times New Roman" w:hAnsi="Times New Roman" w:cs="Times New Roman"/>
                <w:b/>
                <w:sz w:val="25"/>
                <w:szCs w:val="25"/>
              </w:rPr>
            </w:pPr>
            <w:r w:rsidRPr="00CC1C05">
              <w:rPr>
                <w:rFonts w:ascii="Times New Roman" w:hAnsi="Times New Roman" w:cs="Times New Roman"/>
                <w:sz w:val="25"/>
                <w:szCs w:val="25"/>
              </w:rPr>
              <w:t>Редакція зі змінами</w:t>
            </w:r>
          </w:p>
        </w:tc>
      </w:tr>
      <w:tr w:rsidR="006D1D85" w:rsidRPr="007A492D" w14:paraId="0CC30F3D" w14:textId="740158C2" w:rsidTr="00EB01F2">
        <w:trPr>
          <w:trHeight w:val="285"/>
        </w:trPr>
        <w:tc>
          <w:tcPr>
            <w:tcW w:w="15446" w:type="dxa"/>
            <w:gridSpan w:val="2"/>
          </w:tcPr>
          <w:p w14:paraId="72B6ED4E" w14:textId="56DB5511" w:rsidR="006D1D85" w:rsidRPr="00EB01F2" w:rsidRDefault="006D1D85" w:rsidP="00323736">
            <w:pPr>
              <w:jc w:val="center"/>
              <w:rPr>
                <w:rFonts w:ascii="Times New Roman" w:hAnsi="Times New Roman" w:cs="Times New Roman"/>
                <w:b/>
                <w:bCs/>
                <w:color w:val="333333"/>
                <w:sz w:val="24"/>
                <w:szCs w:val="24"/>
                <w:shd w:val="clear" w:color="auto" w:fill="FFFFFF"/>
              </w:rPr>
            </w:pPr>
            <w:r w:rsidRPr="00EB01F2">
              <w:rPr>
                <w:rFonts w:ascii="Times New Roman" w:hAnsi="Times New Roman" w:cs="Times New Roman"/>
                <w:b/>
                <w:bCs/>
                <w:color w:val="333333"/>
                <w:sz w:val="24"/>
                <w:szCs w:val="24"/>
                <w:shd w:val="clear" w:color="auto" w:fill="FFFFFF"/>
              </w:rPr>
              <w:t>II. Розподіл (передача) електричної енергії на роздрібному ринку</w:t>
            </w:r>
          </w:p>
        </w:tc>
      </w:tr>
      <w:tr w:rsidR="006D1D85" w:rsidRPr="007A492D" w14:paraId="0B302E39" w14:textId="6EBAB9A7" w:rsidTr="00EB01F2">
        <w:trPr>
          <w:trHeight w:val="285"/>
        </w:trPr>
        <w:tc>
          <w:tcPr>
            <w:tcW w:w="15446" w:type="dxa"/>
            <w:gridSpan w:val="2"/>
          </w:tcPr>
          <w:p w14:paraId="0C71204D" w14:textId="4BFFD5FE" w:rsidR="006D1D85" w:rsidRPr="00EB01F2" w:rsidRDefault="006D1D85" w:rsidP="00323736">
            <w:pPr>
              <w:jc w:val="center"/>
              <w:rPr>
                <w:rFonts w:ascii="Times New Roman" w:hAnsi="Times New Roman" w:cs="Times New Roman"/>
                <w:b/>
                <w:bCs/>
                <w:color w:val="333333"/>
                <w:sz w:val="24"/>
                <w:szCs w:val="24"/>
                <w:shd w:val="clear" w:color="auto" w:fill="FFFFFF"/>
              </w:rPr>
            </w:pPr>
            <w:r w:rsidRPr="00EB01F2">
              <w:rPr>
                <w:rFonts w:ascii="Times New Roman" w:hAnsi="Times New Roman" w:cs="Times New Roman"/>
                <w:b/>
                <w:bCs/>
                <w:color w:val="333333"/>
                <w:sz w:val="24"/>
                <w:szCs w:val="24"/>
                <w:shd w:val="clear" w:color="auto" w:fill="FFFFFF"/>
              </w:rPr>
              <w:t>2.5. Розподіл (передача) мережами основного споживача</w:t>
            </w:r>
          </w:p>
        </w:tc>
      </w:tr>
      <w:tr w:rsidR="00EC1DC9" w:rsidRPr="007A492D" w14:paraId="0B7B7826" w14:textId="6AF0DB59" w:rsidTr="00EB01F2">
        <w:trPr>
          <w:trHeight w:val="1274"/>
        </w:trPr>
        <w:tc>
          <w:tcPr>
            <w:tcW w:w="7650" w:type="dxa"/>
          </w:tcPr>
          <w:p w14:paraId="778E39F2" w14:textId="0D68A002" w:rsidR="00EC1DC9" w:rsidRPr="00EB01F2" w:rsidRDefault="00EC1DC9" w:rsidP="00EC1DC9">
            <w:pPr>
              <w:pStyle w:val="rvps2"/>
              <w:shd w:val="clear" w:color="auto" w:fill="FFFFFF"/>
              <w:spacing w:before="0" w:beforeAutospacing="0" w:after="0" w:afterAutospacing="0"/>
              <w:ind w:firstLine="448"/>
              <w:jc w:val="both"/>
              <w:rPr>
                <w:color w:val="333333"/>
              </w:rPr>
            </w:pPr>
            <w:r w:rsidRPr="00EB01F2">
              <w:rPr>
                <w:color w:val="333333"/>
              </w:rPr>
              <w:t>2.5.1. Для забезпечення розподілу електричної енергії споживачам, а також для транспортування електричної енергії в мережі ОСР електричними мережами, що не належать цьому ОСР, укладається договір на основі Типового договору про спільне використання технологічних електричних мереж (додаток 1 до цих Правил) між ОСР та:</w:t>
            </w:r>
          </w:p>
          <w:p w14:paraId="3119ADB8" w14:textId="02A0163B" w:rsidR="00EC1DC9" w:rsidRPr="00EB01F2" w:rsidRDefault="00EC1DC9" w:rsidP="00EC1DC9">
            <w:pPr>
              <w:pStyle w:val="rvps2"/>
              <w:shd w:val="clear" w:color="auto" w:fill="FFFFFF"/>
              <w:spacing w:before="0" w:beforeAutospacing="0" w:after="0" w:afterAutospacing="0"/>
              <w:ind w:firstLine="448"/>
              <w:jc w:val="both"/>
              <w:rPr>
                <w:color w:val="333333"/>
              </w:rPr>
            </w:pPr>
            <w:r w:rsidRPr="00EB01F2">
              <w:rPr>
                <w:color w:val="333333"/>
              </w:rPr>
              <w:t>1) власником цих мереж (споживачем, у т. ч. основним споживачем, ОМСР), приєднаним до цього ОСР;</w:t>
            </w:r>
          </w:p>
          <w:p w14:paraId="0C58CC6A" w14:textId="5E3256FA" w:rsidR="00EC1DC9" w:rsidRPr="00EB01F2" w:rsidRDefault="00EC1DC9" w:rsidP="00EC1DC9">
            <w:pPr>
              <w:pStyle w:val="rvps2"/>
              <w:shd w:val="clear" w:color="auto" w:fill="FFFFFF"/>
              <w:spacing w:before="0" w:beforeAutospacing="0" w:after="0" w:afterAutospacing="0"/>
              <w:ind w:firstLine="448"/>
              <w:jc w:val="both"/>
              <w:rPr>
                <w:color w:val="333333"/>
              </w:rPr>
            </w:pPr>
            <w:r w:rsidRPr="00EB01F2">
              <w:rPr>
                <w:color w:val="333333"/>
              </w:rPr>
              <w:t>2) виробником, резервне живлення якого забезпечується від електричних мереж цього ОСР;</w:t>
            </w:r>
          </w:p>
          <w:p w14:paraId="296B26AD" w14:textId="3D1FDD44" w:rsidR="00EC1DC9" w:rsidRPr="00EB01F2" w:rsidRDefault="00EC1DC9" w:rsidP="00EC1DC9">
            <w:pPr>
              <w:pStyle w:val="rvps2"/>
              <w:shd w:val="clear" w:color="auto" w:fill="FFFFFF"/>
              <w:spacing w:before="0" w:beforeAutospacing="0" w:after="0" w:afterAutospacing="0"/>
              <w:ind w:firstLine="448"/>
              <w:jc w:val="both"/>
              <w:rPr>
                <w:color w:val="333333"/>
              </w:rPr>
            </w:pPr>
            <w:r w:rsidRPr="00EB01F2">
              <w:rPr>
                <w:color w:val="333333"/>
              </w:rPr>
              <w:t>3) основним споживачем, ОМСР, які приєднані до ОСП;</w:t>
            </w:r>
          </w:p>
          <w:p w14:paraId="2EAE50B6" w14:textId="4418B974" w:rsidR="00EC1DC9" w:rsidRPr="00EB01F2" w:rsidRDefault="00EC1DC9" w:rsidP="00EC1DC9">
            <w:pPr>
              <w:pStyle w:val="rvps2"/>
              <w:shd w:val="clear" w:color="auto" w:fill="FFFFFF"/>
              <w:spacing w:before="0" w:beforeAutospacing="0" w:after="0" w:afterAutospacing="0"/>
              <w:ind w:firstLine="448"/>
              <w:jc w:val="both"/>
              <w:rPr>
                <w:color w:val="333333"/>
              </w:rPr>
            </w:pPr>
            <w:r w:rsidRPr="00EB01F2">
              <w:rPr>
                <w:color w:val="333333"/>
              </w:rPr>
              <w:t>4) виробником, який приєднаний до електричних мереж ОСП на ступені напруги 154 кВ та нижче;</w:t>
            </w:r>
          </w:p>
          <w:p w14:paraId="75C1765F" w14:textId="320AB20E" w:rsidR="00EC1DC9" w:rsidRPr="00EB01F2" w:rsidRDefault="00EC1DC9" w:rsidP="00EC1DC9">
            <w:pPr>
              <w:pStyle w:val="rvps2"/>
              <w:shd w:val="clear" w:color="auto" w:fill="FFFFFF"/>
              <w:spacing w:before="0" w:beforeAutospacing="0" w:after="0" w:afterAutospacing="0"/>
              <w:ind w:firstLine="448"/>
              <w:jc w:val="both"/>
              <w:rPr>
                <w:color w:val="333333"/>
              </w:rPr>
            </w:pPr>
            <w:r w:rsidRPr="00EB01F2">
              <w:rPr>
                <w:color w:val="333333"/>
              </w:rPr>
              <w:t>5) споживачем (у т. ч. ОМСР, основним споживачем), електроустановки якого приєднані до виробника, приєднаного до електричних мереж ОСП на ступені напруги 154 кВ та нижче.</w:t>
            </w:r>
          </w:p>
          <w:p w14:paraId="432E84A1" w14:textId="242460BB" w:rsidR="00EC1DC9" w:rsidRPr="00EB01F2" w:rsidRDefault="00EC1DC9" w:rsidP="00EC1DC9">
            <w:pPr>
              <w:pStyle w:val="rvps2"/>
              <w:shd w:val="clear" w:color="auto" w:fill="FFFFFF"/>
              <w:spacing w:before="0" w:beforeAutospacing="0" w:after="0" w:afterAutospacing="0"/>
              <w:ind w:firstLine="448"/>
              <w:jc w:val="both"/>
              <w:rPr>
                <w:color w:val="333333"/>
              </w:rPr>
            </w:pPr>
            <w:r w:rsidRPr="00EB01F2">
              <w:rPr>
                <w:color w:val="333333"/>
              </w:rPr>
              <w:t>Для забезпечення передачі електричної енергії споживачам, а також для транспортування електричної енергії в мережі оператора системи електричними мережами, що не належать ОСП, між ОСП та власником цих мереж (виробником, який приєднаний до електричних мереж ОСП на ступені напруги вище 154 кВ) укладається договір на основі Типового договору про спільне використання технологічних електричних мереж (додаток 1 до цих Правил).</w:t>
            </w:r>
          </w:p>
        </w:tc>
        <w:tc>
          <w:tcPr>
            <w:tcW w:w="7796" w:type="dxa"/>
          </w:tcPr>
          <w:p w14:paraId="5104E411" w14:textId="77777777" w:rsidR="00EC1DC9" w:rsidRPr="00EB01F2" w:rsidRDefault="00EC1DC9" w:rsidP="00EC1DC9">
            <w:pPr>
              <w:pStyle w:val="rvps2"/>
              <w:shd w:val="clear" w:color="auto" w:fill="FFFFFF"/>
              <w:spacing w:before="0" w:beforeAutospacing="0" w:after="0" w:afterAutospacing="0"/>
              <w:ind w:firstLine="448"/>
              <w:jc w:val="both"/>
              <w:rPr>
                <w:color w:val="333333"/>
              </w:rPr>
            </w:pPr>
            <w:bookmarkStart w:id="0" w:name="_Hlk113375986"/>
            <w:r w:rsidRPr="00EB01F2">
              <w:rPr>
                <w:color w:val="333333"/>
              </w:rPr>
              <w:t>2.5.1. Для забезпечення розподілу електричної енергії споживачам, а також для транспортування електричної енергії в мережі ОСР електричними мережами, що не належать цьому ОСР, укладається договір на основі Типового договору про спільне використання технологічних електричних мереж (додаток 1 до цих Правил) між ОСР та:</w:t>
            </w:r>
          </w:p>
          <w:p w14:paraId="5A352FB6" w14:textId="157AA5D2" w:rsidR="00EB01F2" w:rsidRPr="00EB01F2" w:rsidRDefault="00EC1DC9" w:rsidP="00EC1DC9">
            <w:pPr>
              <w:pStyle w:val="rvps2"/>
              <w:shd w:val="clear" w:color="auto" w:fill="FFFFFF"/>
              <w:spacing w:before="0" w:beforeAutospacing="0" w:after="0" w:afterAutospacing="0"/>
              <w:ind w:firstLine="448"/>
              <w:jc w:val="both"/>
              <w:rPr>
                <w:b/>
                <w:color w:val="0070C0"/>
              </w:rPr>
            </w:pPr>
            <w:bookmarkStart w:id="1" w:name="_Hlk113376032"/>
            <w:bookmarkEnd w:id="0"/>
            <w:r w:rsidRPr="00EB01F2">
              <w:rPr>
                <w:color w:val="333333"/>
              </w:rPr>
              <w:t xml:space="preserve">1) </w:t>
            </w:r>
            <w:r w:rsidR="00EB01F2" w:rsidRPr="00EB01F2">
              <w:rPr>
                <w:b/>
                <w:color w:val="0070C0"/>
              </w:rPr>
              <w:t>основним споживачем, власником цих мереж, приєднаних до електричних мереж цього ОСР</w:t>
            </w:r>
            <w:r w:rsidR="0010621C">
              <w:rPr>
                <w:b/>
                <w:color w:val="0070C0"/>
              </w:rPr>
              <w:t>;</w:t>
            </w:r>
          </w:p>
          <w:p w14:paraId="28B93B49" w14:textId="56DFF177" w:rsidR="00EC1DC9" w:rsidRPr="00EB01F2" w:rsidRDefault="00EC1DC9" w:rsidP="00EC1DC9">
            <w:pPr>
              <w:pStyle w:val="rvps2"/>
              <w:shd w:val="clear" w:color="auto" w:fill="FFFFFF"/>
              <w:spacing w:before="0" w:beforeAutospacing="0" w:after="0" w:afterAutospacing="0"/>
              <w:ind w:firstLine="448"/>
              <w:jc w:val="both"/>
              <w:rPr>
                <w:color w:val="333333"/>
              </w:rPr>
            </w:pPr>
            <w:r w:rsidRPr="00EB01F2">
              <w:rPr>
                <w:color w:val="333333"/>
              </w:rPr>
              <w:t xml:space="preserve">2) виробником, резервне живлення </w:t>
            </w:r>
            <w:r w:rsidR="00D40930" w:rsidRPr="00EB01F2">
              <w:rPr>
                <w:b/>
                <w:color w:val="0070C0"/>
              </w:rPr>
              <w:t>електроустановок</w:t>
            </w:r>
            <w:r w:rsidR="00D40930" w:rsidRPr="00EB01F2">
              <w:rPr>
                <w:color w:val="333333"/>
              </w:rPr>
              <w:t xml:space="preserve"> </w:t>
            </w:r>
            <w:r w:rsidRPr="00EB01F2">
              <w:rPr>
                <w:color w:val="333333"/>
              </w:rPr>
              <w:t xml:space="preserve">якого забезпечується від електричних мереж цього ОСР </w:t>
            </w:r>
            <w:r w:rsidRPr="00EB01F2">
              <w:rPr>
                <w:b/>
                <w:color w:val="0070C0"/>
              </w:rPr>
              <w:t>(для випадків, коли д</w:t>
            </w:r>
            <w:r w:rsidR="00D40930" w:rsidRPr="00EB01F2">
              <w:rPr>
                <w:b/>
                <w:color w:val="0070C0"/>
              </w:rPr>
              <w:t>о електричних мереж виробника приєднані електроустановки</w:t>
            </w:r>
            <w:r w:rsidRPr="00EB01F2">
              <w:rPr>
                <w:b/>
                <w:color w:val="0070C0"/>
              </w:rPr>
              <w:t xml:space="preserve"> споживач</w:t>
            </w:r>
            <w:r w:rsidR="00D40930" w:rsidRPr="00EB01F2">
              <w:rPr>
                <w:b/>
                <w:color w:val="0070C0"/>
              </w:rPr>
              <w:t>а</w:t>
            </w:r>
            <w:r w:rsidRPr="00EB01F2">
              <w:rPr>
                <w:b/>
                <w:color w:val="0070C0"/>
              </w:rPr>
              <w:t>(</w:t>
            </w:r>
            <w:r w:rsidR="00D40930" w:rsidRPr="00EB01F2">
              <w:rPr>
                <w:b/>
                <w:color w:val="0070C0"/>
              </w:rPr>
              <w:t>-</w:t>
            </w:r>
            <w:proofErr w:type="spellStart"/>
            <w:r w:rsidRPr="00EB01F2">
              <w:rPr>
                <w:b/>
                <w:color w:val="0070C0"/>
              </w:rPr>
              <w:t>і</w:t>
            </w:r>
            <w:r w:rsidR="00D40930" w:rsidRPr="00EB01F2">
              <w:rPr>
                <w:b/>
                <w:color w:val="0070C0"/>
              </w:rPr>
              <w:t>в</w:t>
            </w:r>
            <w:proofErr w:type="spellEnd"/>
            <w:r w:rsidRPr="00EB01F2">
              <w:rPr>
                <w:b/>
                <w:color w:val="0070C0"/>
              </w:rPr>
              <w:t>))</w:t>
            </w:r>
            <w:r w:rsidRPr="00EB01F2">
              <w:rPr>
                <w:color w:val="333333"/>
              </w:rPr>
              <w:t>;</w:t>
            </w:r>
          </w:p>
          <w:p w14:paraId="31149EBD" w14:textId="7F1A8D40" w:rsidR="0056492D" w:rsidRPr="00EB01F2" w:rsidRDefault="0056492D" w:rsidP="0056492D">
            <w:pPr>
              <w:pStyle w:val="rvps2"/>
              <w:shd w:val="clear" w:color="auto" w:fill="FFFFFF"/>
              <w:spacing w:before="0" w:beforeAutospacing="0" w:after="0" w:afterAutospacing="0"/>
              <w:ind w:firstLine="448"/>
              <w:jc w:val="both"/>
            </w:pPr>
            <w:r w:rsidRPr="00EB01F2">
              <w:rPr>
                <w:color w:val="333333"/>
              </w:rPr>
              <w:t xml:space="preserve">3) основним споживачем, </w:t>
            </w:r>
            <w:r w:rsidRPr="00EB01F2">
              <w:rPr>
                <w:b/>
                <w:i/>
                <w:strike/>
                <w:color w:val="333333"/>
              </w:rPr>
              <w:t>ОМСР,</w:t>
            </w:r>
            <w:r w:rsidRPr="00EB01F2">
              <w:rPr>
                <w:color w:val="333333"/>
              </w:rPr>
              <w:t xml:space="preserve"> </w:t>
            </w:r>
            <w:r w:rsidRPr="00EB01F2">
              <w:rPr>
                <w:b/>
                <w:color w:val="0070C0"/>
              </w:rPr>
              <w:t>оператором системи для якого є ОСП</w:t>
            </w:r>
            <w:r w:rsidRPr="00EB01F2">
              <w:t>;</w:t>
            </w:r>
          </w:p>
          <w:p w14:paraId="55FC855E" w14:textId="77777777" w:rsidR="0056492D" w:rsidRPr="00EB01F2" w:rsidRDefault="0056492D" w:rsidP="0056492D">
            <w:pPr>
              <w:pStyle w:val="rvps2"/>
              <w:shd w:val="clear" w:color="auto" w:fill="FFFFFF"/>
              <w:spacing w:before="0" w:beforeAutospacing="0" w:after="0" w:afterAutospacing="0"/>
              <w:ind w:firstLine="448"/>
              <w:jc w:val="both"/>
              <w:rPr>
                <w:color w:val="333333"/>
              </w:rPr>
            </w:pPr>
            <w:r w:rsidRPr="00EB01F2">
              <w:rPr>
                <w:color w:val="333333"/>
              </w:rPr>
              <w:t xml:space="preserve">4) виробником, </w:t>
            </w:r>
            <w:r w:rsidRPr="00EB01F2">
              <w:rPr>
                <w:b/>
                <w:color w:val="0070C0"/>
              </w:rPr>
              <w:t>електроустановки якого</w:t>
            </w:r>
            <w:r w:rsidRPr="00EB01F2">
              <w:rPr>
                <w:color w:val="333333"/>
              </w:rPr>
              <w:t xml:space="preserve"> приєднан</w:t>
            </w:r>
            <w:r w:rsidRPr="00EB01F2">
              <w:rPr>
                <w:b/>
                <w:color w:val="0070C0"/>
              </w:rPr>
              <w:t>і</w:t>
            </w:r>
            <w:r w:rsidRPr="00EB01F2">
              <w:rPr>
                <w:color w:val="333333"/>
              </w:rPr>
              <w:t xml:space="preserve"> до електричних мереж ОСП </w:t>
            </w:r>
            <w:r w:rsidRPr="00EB01F2">
              <w:rPr>
                <w:b/>
                <w:i/>
                <w:strike/>
              </w:rPr>
              <w:t>на ступені напруги 154 кВ та нижче</w:t>
            </w:r>
            <w:r w:rsidRPr="00EB01F2">
              <w:t xml:space="preserve"> </w:t>
            </w:r>
            <w:r w:rsidRPr="00EB01F2">
              <w:rPr>
                <w:b/>
                <w:color w:val="0070C0"/>
              </w:rPr>
              <w:t>(за умови, що до цих електроустановок виробника приєднані електроустановки споживача(-</w:t>
            </w:r>
            <w:proofErr w:type="spellStart"/>
            <w:r w:rsidRPr="00EB01F2">
              <w:rPr>
                <w:b/>
                <w:color w:val="0070C0"/>
              </w:rPr>
              <w:t>ів</w:t>
            </w:r>
            <w:proofErr w:type="spellEnd"/>
            <w:r w:rsidRPr="00EB01F2">
              <w:rPr>
                <w:b/>
                <w:color w:val="0070C0"/>
              </w:rPr>
              <w:t>) на ступені напруги 154 кВ та нижче)</w:t>
            </w:r>
            <w:r w:rsidRPr="00EB01F2">
              <w:rPr>
                <w:color w:val="333333"/>
              </w:rPr>
              <w:t>;</w:t>
            </w:r>
          </w:p>
          <w:p w14:paraId="0529A60B" w14:textId="536DDFDD" w:rsidR="00EC1DC9" w:rsidRPr="00EB01F2" w:rsidRDefault="00EC1DC9" w:rsidP="00EC1DC9">
            <w:pPr>
              <w:pStyle w:val="rvps2"/>
              <w:shd w:val="clear" w:color="auto" w:fill="FFFFFF"/>
              <w:spacing w:before="0" w:beforeAutospacing="0" w:after="0" w:afterAutospacing="0"/>
              <w:ind w:firstLine="448"/>
              <w:jc w:val="both"/>
              <w:rPr>
                <w:color w:val="333333"/>
              </w:rPr>
            </w:pPr>
            <w:r w:rsidRPr="00EB01F2">
              <w:rPr>
                <w:color w:val="333333"/>
              </w:rPr>
              <w:t xml:space="preserve">5) </w:t>
            </w:r>
            <w:r w:rsidRPr="00EB01F2">
              <w:rPr>
                <w:b/>
                <w:i/>
                <w:strike/>
                <w:color w:val="333333"/>
              </w:rPr>
              <w:t>споживачем (у т. ч. ОМСР,</w:t>
            </w:r>
            <w:r w:rsidRPr="00EB01F2">
              <w:rPr>
                <w:color w:val="333333"/>
              </w:rPr>
              <w:t xml:space="preserve"> основним споживачем</w:t>
            </w:r>
            <w:r w:rsidRPr="00EB01F2">
              <w:rPr>
                <w:b/>
                <w:i/>
                <w:strike/>
                <w:color w:val="333333"/>
              </w:rPr>
              <w:t>)</w:t>
            </w:r>
            <w:r w:rsidRPr="00EB01F2">
              <w:rPr>
                <w:color w:val="333333"/>
              </w:rPr>
              <w:t xml:space="preserve">, електроустановки якого приєднані до </w:t>
            </w:r>
            <w:r w:rsidR="00CB2D6C" w:rsidRPr="00EB01F2">
              <w:rPr>
                <w:b/>
                <w:color w:val="0070C0"/>
              </w:rPr>
              <w:t>електричних мереж</w:t>
            </w:r>
            <w:r w:rsidR="00CB2D6C" w:rsidRPr="00EB01F2">
              <w:rPr>
                <w:color w:val="0070C0"/>
              </w:rPr>
              <w:t xml:space="preserve"> </w:t>
            </w:r>
            <w:r w:rsidRPr="00EB01F2">
              <w:rPr>
                <w:color w:val="333333"/>
              </w:rPr>
              <w:t xml:space="preserve">виробника, </w:t>
            </w:r>
            <w:r w:rsidR="00CB2D6C" w:rsidRPr="00EB01F2">
              <w:rPr>
                <w:b/>
                <w:color w:val="0070C0"/>
              </w:rPr>
              <w:t>які</w:t>
            </w:r>
            <w:r w:rsidR="00CB2D6C" w:rsidRPr="00EB01F2">
              <w:rPr>
                <w:color w:val="333333"/>
              </w:rPr>
              <w:t xml:space="preserve"> </w:t>
            </w:r>
            <w:r w:rsidRPr="00EB01F2">
              <w:rPr>
                <w:color w:val="333333"/>
              </w:rPr>
              <w:t>приєднан</w:t>
            </w:r>
            <w:r w:rsidR="00CB2D6C" w:rsidRPr="00EB01F2">
              <w:rPr>
                <w:b/>
                <w:color w:val="0070C0"/>
              </w:rPr>
              <w:t>і</w:t>
            </w:r>
            <w:r w:rsidRPr="00EB01F2">
              <w:rPr>
                <w:color w:val="333333"/>
              </w:rPr>
              <w:t xml:space="preserve"> до електричних мереж ОСП на ступені напруги 154 кВ та нижче.</w:t>
            </w:r>
          </w:p>
          <w:p w14:paraId="7559A77E" w14:textId="14C1F660" w:rsidR="007F518B" w:rsidRPr="00EB01F2" w:rsidRDefault="007F518B" w:rsidP="00EB01F2">
            <w:pPr>
              <w:ind w:firstLine="453"/>
              <w:jc w:val="both"/>
              <w:rPr>
                <w:rFonts w:ascii="Times New Roman" w:hAnsi="Times New Roman" w:cs="Times New Roman"/>
                <w:b/>
                <w:sz w:val="24"/>
                <w:szCs w:val="24"/>
              </w:rPr>
            </w:pPr>
            <w:r w:rsidRPr="00EB01F2">
              <w:rPr>
                <w:rFonts w:ascii="Times New Roman" w:hAnsi="Times New Roman" w:cs="Times New Roman"/>
                <w:color w:val="333333"/>
                <w:sz w:val="24"/>
                <w:szCs w:val="24"/>
              </w:rPr>
              <w:t xml:space="preserve">Для забезпечення передачі електричної енергії </w:t>
            </w:r>
            <w:r w:rsidRPr="00EB01F2">
              <w:rPr>
                <w:rFonts w:ascii="Times New Roman" w:hAnsi="Times New Roman" w:cs="Times New Roman"/>
                <w:b/>
                <w:color w:val="0070C0"/>
                <w:sz w:val="24"/>
                <w:szCs w:val="24"/>
              </w:rPr>
              <w:t>споживачу, електроустановки якого приєднані до електричних мереж виробника</w:t>
            </w:r>
            <w:r w:rsidR="003825F1" w:rsidRPr="00EB01F2">
              <w:rPr>
                <w:rFonts w:ascii="Times New Roman" w:hAnsi="Times New Roman" w:cs="Times New Roman"/>
                <w:b/>
                <w:color w:val="0070C0"/>
                <w:sz w:val="24"/>
                <w:szCs w:val="24"/>
              </w:rPr>
              <w:t xml:space="preserve"> на ступені напруги вище 154 кВ</w:t>
            </w:r>
            <w:r w:rsidRPr="00EB01F2">
              <w:rPr>
                <w:rFonts w:ascii="Times New Roman" w:hAnsi="Times New Roman" w:cs="Times New Roman"/>
                <w:b/>
                <w:color w:val="0070C0"/>
                <w:sz w:val="24"/>
                <w:szCs w:val="24"/>
              </w:rPr>
              <w:t>, які, у свою чергу, приєднані до електричних мереж ОСП, між ОСП та цим виробником</w:t>
            </w:r>
            <w:r w:rsidR="00672DCC" w:rsidRPr="00EB01F2">
              <w:rPr>
                <w:rFonts w:ascii="Times New Roman" w:hAnsi="Times New Roman" w:cs="Times New Roman"/>
                <w:color w:val="0070C0"/>
                <w:sz w:val="24"/>
                <w:szCs w:val="24"/>
              </w:rPr>
              <w:t xml:space="preserve"> </w:t>
            </w:r>
            <w:r w:rsidR="00672DCC" w:rsidRPr="00EB01F2">
              <w:rPr>
                <w:rFonts w:ascii="Times New Roman" w:hAnsi="Times New Roman" w:cs="Times New Roman"/>
                <w:color w:val="333333"/>
                <w:sz w:val="24"/>
                <w:szCs w:val="24"/>
              </w:rPr>
              <w:t>укладається договір на основі Типового договору про спільне використання технологічних електричних мереж</w:t>
            </w:r>
            <w:bookmarkStart w:id="2" w:name="_GoBack"/>
            <w:bookmarkEnd w:id="2"/>
            <w:r w:rsidR="00672DCC" w:rsidRPr="00EB01F2">
              <w:rPr>
                <w:rFonts w:ascii="Times New Roman" w:hAnsi="Times New Roman" w:cs="Times New Roman"/>
                <w:color w:val="333333"/>
                <w:sz w:val="24"/>
                <w:szCs w:val="24"/>
              </w:rPr>
              <w:t>.</w:t>
            </w:r>
            <w:r w:rsidRPr="00EB01F2">
              <w:rPr>
                <w:rFonts w:ascii="Times New Roman" w:hAnsi="Times New Roman" w:cs="Times New Roman"/>
                <w:color w:val="333333"/>
                <w:sz w:val="24"/>
                <w:szCs w:val="24"/>
              </w:rPr>
              <w:t xml:space="preserve"> </w:t>
            </w:r>
            <w:bookmarkEnd w:id="1"/>
          </w:p>
        </w:tc>
      </w:tr>
    </w:tbl>
    <w:p w14:paraId="57B2427F" w14:textId="3AEFA67A" w:rsidR="007C3AE1" w:rsidRPr="007C3AE1" w:rsidRDefault="007C3AE1" w:rsidP="00EB01F2">
      <w:pPr>
        <w:rPr>
          <w:rFonts w:ascii="Times New Roman" w:hAnsi="Times New Roman" w:cs="Times New Roman"/>
          <w:sz w:val="28"/>
          <w:szCs w:val="28"/>
        </w:rPr>
      </w:pPr>
    </w:p>
    <w:sectPr w:rsidR="007C3AE1" w:rsidRPr="007C3AE1" w:rsidSect="00EB01F2">
      <w:pgSz w:w="16838" w:h="11906" w:orient="landscape"/>
      <w:pgMar w:top="426" w:right="850" w:bottom="709"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16C"/>
    <w:rsid w:val="00040EFB"/>
    <w:rsid w:val="00044953"/>
    <w:rsid w:val="00060145"/>
    <w:rsid w:val="00067556"/>
    <w:rsid w:val="0007742C"/>
    <w:rsid w:val="000805EF"/>
    <w:rsid w:val="00091F53"/>
    <w:rsid w:val="000B2880"/>
    <w:rsid w:val="0010621C"/>
    <w:rsid w:val="00137F3A"/>
    <w:rsid w:val="00145F1A"/>
    <w:rsid w:val="001B6CB6"/>
    <w:rsid w:val="001D40C7"/>
    <w:rsid w:val="001F63AD"/>
    <w:rsid w:val="002815E5"/>
    <w:rsid w:val="002B2D09"/>
    <w:rsid w:val="002E5567"/>
    <w:rsid w:val="002E636B"/>
    <w:rsid w:val="002F6229"/>
    <w:rsid w:val="00323736"/>
    <w:rsid w:val="0035691F"/>
    <w:rsid w:val="003620B9"/>
    <w:rsid w:val="003825F1"/>
    <w:rsid w:val="003944D8"/>
    <w:rsid w:val="003C631C"/>
    <w:rsid w:val="003E624F"/>
    <w:rsid w:val="00412E38"/>
    <w:rsid w:val="00446F36"/>
    <w:rsid w:val="0046672D"/>
    <w:rsid w:val="00483D49"/>
    <w:rsid w:val="00494488"/>
    <w:rsid w:val="004A15D1"/>
    <w:rsid w:val="004A6617"/>
    <w:rsid w:val="004B6B1D"/>
    <w:rsid w:val="004F27CB"/>
    <w:rsid w:val="00536461"/>
    <w:rsid w:val="00547E25"/>
    <w:rsid w:val="00551A66"/>
    <w:rsid w:val="0055276F"/>
    <w:rsid w:val="00556B3F"/>
    <w:rsid w:val="00556B7D"/>
    <w:rsid w:val="0056492D"/>
    <w:rsid w:val="00587162"/>
    <w:rsid w:val="005A1E7A"/>
    <w:rsid w:val="005C0969"/>
    <w:rsid w:val="005C758B"/>
    <w:rsid w:val="005D1C7F"/>
    <w:rsid w:val="005D7EC1"/>
    <w:rsid w:val="005E05C8"/>
    <w:rsid w:val="005E3739"/>
    <w:rsid w:val="00604B61"/>
    <w:rsid w:val="00605ADE"/>
    <w:rsid w:val="00607D32"/>
    <w:rsid w:val="00663FF0"/>
    <w:rsid w:val="00672DCC"/>
    <w:rsid w:val="00677811"/>
    <w:rsid w:val="00683E56"/>
    <w:rsid w:val="006D1D85"/>
    <w:rsid w:val="00700799"/>
    <w:rsid w:val="00707D69"/>
    <w:rsid w:val="00717AB9"/>
    <w:rsid w:val="00722F57"/>
    <w:rsid w:val="00796E11"/>
    <w:rsid w:val="007A0398"/>
    <w:rsid w:val="007A492D"/>
    <w:rsid w:val="007B1B6A"/>
    <w:rsid w:val="007B6E66"/>
    <w:rsid w:val="007C3AE1"/>
    <w:rsid w:val="007D1002"/>
    <w:rsid w:val="007D1115"/>
    <w:rsid w:val="007E673C"/>
    <w:rsid w:val="007F518B"/>
    <w:rsid w:val="008035BE"/>
    <w:rsid w:val="0082728D"/>
    <w:rsid w:val="00831DFA"/>
    <w:rsid w:val="00851316"/>
    <w:rsid w:val="008705AC"/>
    <w:rsid w:val="00877C45"/>
    <w:rsid w:val="00880763"/>
    <w:rsid w:val="008B4944"/>
    <w:rsid w:val="008C4B10"/>
    <w:rsid w:val="008E4BEC"/>
    <w:rsid w:val="008E5EF0"/>
    <w:rsid w:val="00905185"/>
    <w:rsid w:val="009109DD"/>
    <w:rsid w:val="0093033F"/>
    <w:rsid w:val="00951BCB"/>
    <w:rsid w:val="00966F4F"/>
    <w:rsid w:val="009B034F"/>
    <w:rsid w:val="009B2FDB"/>
    <w:rsid w:val="009E04B3"/>
    <w:rsid w:val="00A16DB4"/>
    <w:rsid w:val="00A25CC3"/>
    <w:rsid w:val="00A330A0"/>
    <w:rsid w:val="00A576E7"/>
    <w:rsid w:val="00A6274F"/>
    <w:rsid w:val="00A765D0"/>
    <w:rsid w:val="00A766F7"/>
    <w:rsid w:val="00A942DD"/>
    <w:rsid w:val="00AA46C4"/>
    <w:rsid w:val="00AB14EA"/>
    <w:rsid w:val="00B600F7"/>
    <w:rsid w:val="00B86559"/>
    <w:rsid w:val="00B97F46"/>
    <w:rsid w:val="00BF4E81"/>
    <w:rsid w:val="00C073FC"/>
    <w:rsid w:val="00C116FA"/>
    <w:rsid w:val="00C34870"/>
    <w:rsid w:val="00CA416C"/>
    <w:rsid w:val="00CB2D6C"/>
    <w:rsid w:val="00CC0CA3"/>
    <w:rsid w:val="00CC1C05"/>
    <w:rsid w:val="00CF3A0F"/>
    <w:rsid w:val="00D40930"/>
    <w:rsid w:val="00D52FD4"/>
    <w:rsid w:val="00D71A69"/>
    <w:rsid w:val="00DB60ED"/>
    <w:rsid w:val="00DC22A3"/>
    <w:rsid w:val="00DC6949"/>
    <w:rsid w:val="00E07789"/>
    <w:rsid w:val="00E60BAC"/>
    <w:rsid w:val="00EA37BB"/>
    <w:rsid w:val="00EA600C"/>
    <w:rsid w:val="00EB01F2"/>
    <w:rsid w:val="00EC0AA5"/>
    <w:rsid w:val="00EC1DC9"/>
    <w:rsid w:val="00EE03B3"/>
    <w:rsid w:val="00EF27AC"/>
    <w:rsid w:val="00EF3E8F"/>
    <w:rsid w:val="00EF3F9C"/>
    <w:rsid w:val="00EF69EC"/>
    <w:rsid w:val="00F01B31"/>
    <w:rsid w:val="00F05516"/>
    <w:rsid w:val="00F10093"/>
    <w:rsid w:val="00F101C2"/>
    <w:rsid w:val="00F235EB"/>
    <w:rsid w:val="00F35923"/>
    <w:rsid w:val="00F37790"/>
    <w:rsid w:val="00F826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6DA71"/>
  <w15:chartTrackingRefBased/>
  <w15:docId w15:val="{34AE225C-1155-43D5-B0C4-79999713F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A6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605ADE"/>
    <w:rPr>
      <w:color w:val="0000FF"/>
      <w:u w:val="single"/>
    </w:rPr>
  </w:style>
  <w:style w:type="character" w:customStyle="1" w:styleId="st42">
    <w:name w:val="st42"/>
    <w:uiPriority w:val="99"/>
    <w:rsid w:val="00E07789"/>
    <w:rPr>
      <w:color w:val="000000"/>
    </w:rPr>
  </w:style>
  <w:style w:type="character" w:customStyle="1" w:styleId="rvts0">
    <w:name w:val="rvts0"/>
    <w:basedOn w:val="a0"/>
    <w:rsid w:val="00966F4F"/>
  </w:style>
  <w:style w:type="paragraph" w:customStyle="1" w:styleId="5">
    <w:name w:val="Знак Знак5"/>
    <w:basedOn w:val="a"/>
    <w:rsid w:val="00556B3F"/>
    <w:pPr>
      <w:spacing w:after="0" w:line="240" w:lineRule="auto"/>
    </w:pPr>
    <w:rPr>
      <w:rFonts w:ascii="Verdana" w:eastAsia="Times New Roman" w:hAnsi="Verdana" w:cs="Verdana"/>
      <w:sz w:val="20"/>
      <w:szCs w:val="20"/>
      <w:lang w:val="en-US"/>
    </w:rPr>
  </w:style>
  <w:style w:type="paragraph" w:customStyle="1" w:styleId="rvps2">
    <w:name w:val="rvps2"/>
    <w:basedOn w:val="a"/>
    <w:rsid w:val="000805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5">
    <w:name w:val="Знак Знак Знак Знак Знак Знак Знак"/>
    <w:basedOn w:val="a"/>
    <w:rsid w:val="00CC1C05"/>
    <w:pPr>
      <w:spacing w:after="0" w:line="240" w:lineRule="auto"/>
    </w:pPr>
    <w:rPr>
      <w:rFonts w:ascii="Verdana" w:eastAsia="Times New Roman" w:hAnsi="Verdana" w:cs="Verdana"/>
      <w:sz w:val="20"/>
      <w:szCs w:val="20"/>
      <w:lang w:val="en-US"/>
    </w:rPr>
  </w:style>
  <w:style w:type="paragraph" w:customStyle="1" w:styleId="TableParagraph">
    <w:name w:val="Table Paragraph"/>
    <w:basedOn w:val="a"/>
    <w:uiPriority w:val="1"/>
    <w:qFormat/>
    <w:rsid w:val="006D1D85"/>
    <w:pPr>
      <w:widowControl w:val="0"/>
      <w:autoSpaceDE w:val="0"/>
      <w:autoSpaceDN w:val="0"/>
      <w:spacing w:after="0" w:line="240" w:lineRule="auto"/>
      <w:ind w:left="107"/>
    </w:pPr>
    <w:rPr>
      <w:rFonts w:ascii="Times New Roman" w:eastAsia="Times New Roman" w:hAnsi="Times New Roman" w:cs="Times New Roman"/>
      <w:lang w:val="en-US"/>
    </w:rPr>
  </w:style>
  <w:style w:type="paragraph" w:styleId="a6">
    <w:name w:val="Revision"/>
    <w:hidden/>
    <w:uiPriority w:val="99"/>
    <w:semiHidden/>
    <w:rsid w:val="00F01B31"/>
    <w:pPr>
      <w:spacing w:after="0" w:line="240" w:lineRule="auto"/>
    </w:pPr>
  </w:style>
  <w:style w:type="paragraph" w:styleId="a7">
    <w:name w:val="Balloon Text"/>
    <w:basedOn w:val="a"/>
    <w:link w:val="a8"/>
    <w:uiPriority w:val="99"/>
    <w:semiHidden/>
    <w:unhideWhenUsed/>
    <w:rsid w:val="0093033F"/>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93033F"/>
    <w:rPr>
      <w:rFonts w:ascii="Segoe UI" w:hAnsi="Segoe UI" w:cs="Segoe UI"/>
      <w:sz w:val="18"/>
      <w:szCs w:val="18"/>
    </w:rPr>
  </w:style>
  <w:style w:type="paragraph" w:customStyle="1" w:styleId="a9">
    <w:name w:val="Знак Знак Знак Знак Знак Знак Знак"/>
    <w:basedOn w:val="a"/>
    <w:rsid w:val="00EB01F2"/>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02377">
      <w:bodyDiv w:val="1"/>
      <w:marLeft w:val="0"/>
      <w:marRight w:val="0"/>
      <w:marTop w:val="0"/>
      <w:marBottom w:val="0"/>
      <w:divBdr>
        <w:top w:val="none" w:sz="0" w:space="0" w:color="auto"/>
        <w:left w:val="none" w:sz="0" w:space="0" w:color="auto"/>
        <w:bottom w:val="none" w:sz="0" w:space="0" w:color="auto"/>
        <w:right w:val="none" w:sz="0" w:space="0" w:color="auto"/>
      </w:divBdr>
    </w:div>
    <w:div w:id="434130240">
      <w:bodyDiv w:val="1"/>
      <w:marLeft w:val="0"/>
      <w:marRight w:val="0"/>
      <w:marTop w:val="0"/>
      <w:marBottom w:val="0"/>
      <w:divBdr>
        <w:top w:val="none" w:sz="0" w:space="0" w:color="auto"/>
        <w:left w:val="none" w:sz="0" w:space="0" w:color="auto"/>
        <w:bottom w:val="none" w:sz="0" w:space="0" w:color="auto"/>
        <w:right w:val="none" w:sz="0" w:space="0" w:color="auto"/>
      </w:divBdr>
    </w:div>
    <w:div w:id="437990855">
      <w:bodyDiv w:val="1"/>
      <w:marLeft w:val="0"/>
      <w:marRight w:val="0"/>
      <w:marTop w:val="0"/>
      <w:marBottom w:val="0"/>
      <w:divBdr>
        <w:top w:val="none" w:sz="0" w:space="0" w:color="auto"/>
        <w:left w:val="none" w:sz="0" w:space="0" w:color="auto"/>
        <w:bottom w:val="none" w:sz="0" w:space="0" w:color="auto"/>
        <w:right w:val="none" w:sz="0" w:space="0" w:color="auto"/>
      </w:divBdr>
    </w:div>
    <w:div w:id="1980108941">
      <w:bodyDiv w:val="1"/>
      <w:marLeft w:val="0"/>
      <w:marRight w:val="0"/>
      <w:marTop w:val="0"/>
      <w:marBottom w:val="0"/>
      <w:divBdr>
        <w:top w:val="none" w:sz="0" w:space="0" w:color="auto"/>
        <w:left w:val="none" w:sz="0" w:space="0" w:color="auto"/>
        <w:bottom w:val="none" w:sz="0" w:space="0" w:color="auto"/>
        <w:right w:val="none" w:sz="0" w:space="0" w:color="auto"/>
      </w:divBdr>
    </w:div>
    <w:div w:id="201209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465</Words>
  <Characters>2656</Characters>
  <Application>Microsoft Office Word</Application>
  <DocSecurity>0</DocSecurity>
  <Lines>22</Lines>
  <Paragraphs>6</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Валерія Іванюк</dc:creator>
  <cp:keywords/>
  <dc:description/>
  <cp:lastModifiedBy>Анна Єгорова</cp:lastModifiedBy>
  <cp:revision>4</cp:revision>
  <cp:lastPrinted>2022-09-05T11:28:00Z</cp:lastPrinted>
  <dcterms:created xsi:type="dcterms:W3CDTF">2022-09-13T07:22:00Z</dcterms:created>
  <dcterms:modified xsi:type="dcterms:W3CDTF">2022-09-13T14:18:00Z</dcterms:modified>
</cp:coreProperties>
</file>