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5BC" w:rsidRPr="00807E7D" w:rsidRDefault="005665BC" w:rsidP="0048447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31856" w:rsidRPr="00BD7D9B" w:rsidRDefault="00251E9F" w:rsidP="002B5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9B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uk-UA"/>
        </w:rPr>
        <w:t xml:space="preserve">Узагальнена таблиця зауважень та пропозицій до проекту </w:t>
      </w:r>
      <w:r w:rsidR="00B31856" w:rsidRPr="00BD7D9B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uk-UA"/>
        </w:rPr>
        <w:t xml:space="preserve">рішення НКРЕКП, що має ознаки </w:t>
      </w:r>
      <w:r w:rsidR="00D944B8" w:rsidRPr="00BD7D9B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uk-UA"/>
        </w:rPr>
        <w:t xml:space="preserve"> </w:t>
      </w:r>
      <w:r w:rsidR="00B31856" w:rsidRPr="00BD7D9B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uk-UA"/>
        </w:rPr>
        <w:t>регуляторного акта</w:t>
      </w:r>
      <w:r w:rsidR="00B31856" w:rsidRPr="00BD7D9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, – постанови НКРЕКП </w:t>
      </w:r>
      <w:r w:rsidR="00B31856" w:rsidRPr="00BD7D9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 «Про затвердження Змін до деяких постанов НКРЕКП»</w:t>
      </w:r>
      <w:r w:rsidR="00201434" w:rsidRPr="00BD7D9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01434" w:rsidRPr="00BD7D9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(зміни до постанов НКРЕКП від 22.04.2019 № 585 та </w:t>
      </w:r>
      <w:r w:rsidR="00201434" w:rsidRPr="00BD7D9B">
        <w:rPr>
          <w:rFonts w:ascii="Times New Roman" w:hAnsi="Times New Roman" w:cs="Times New Roman"/>
          <w:i/>
          <w:sz w:val="28"/>
          <w:szCs w:val="28"/>
        </w:rPr>
        <w:t xml:space="preserve">від 22.04.2019 </w:t>
      </w:r>
      <w:bookmarkStart w:id="0" w:name="_Hlk14700798"/>
      <w:r w:rsidR="00201434" w:rsidRPr="00BD7D9B">
        <w:rPr>
          <w:rFonts w:ascii="Times New Roman" w:hAnsi="Times New Roman" w:cs="Times New Roman"/>
          <w:i/>
          <w:sz w:val="28"/>
          <w:szCs w:val="28"/>
        </w:rPr>
        <w:t>№ 586</w:t>
      </w:r>
      <w:bookmarkEnd w:id="0"/>
      <w:r w:rsidR="00201434" w:rsidRPr="00BD7D9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щодо запровадження ІТС механізму</w:t>
      </w:r>
      <w:r w:rsidR="00201434" w:rsidRPr="00BD7D9B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  <w:r w:rsidR="00201434" w:rsidRPr="00BD7D9B">
        <w:rPr>
          <w:rFonts w:ascii="Times New Roman" w:hAnsi="Times New Roman" w:cs="Times New Roman"/>
          <w:sz w:val="28"/>
          <w:szCs w:val="28"/>
        </w:rPr>
        <w:t>,</w:t>
      </w:r>
      <w:r w:rsidR="002B5671" w:rsidRPr="00BD7D9B">
        <w:rPr>
          <w:rFonts w:ascii="Times New Roman" w:hAnsi="Times New Roman" w:cs="Times New Roman"/>
          <w:b/>
          <w:sz w:val="28"/>
          <w:szCs w:val="28"/>
        </w:rPr>
        <w:t xml:space="preserve"> отрима</w:t>
      </w:r>
      <w:bookmarkStart w:id="1" w:name="_GoBack"/>
      <w:bookmarkEnd w:id="1"/>
      <w:r w:rsidR="002B5671" w:rsidRPr="00BD7D9B">
        <w:rPr>
          <w:rFonts w:ascii="Times New Roman" w:hAnsi="Times New Roman" w:cs="Times New Roman"/>
          <w:b/>
          <w:sz w:val="28"/>
          <w:szCs w:val="28"/>
        </w:rPr>
        <w:t xml:space="preserve">ні у період </w:t>
      </w:r>
      <w:r w:rsidR="002B5671" w:rsidRPr="00BD7D9B">
        <w:rPr>
          <w:rFonts w:ascii="Times New Roman" w:hAnsi="Times New Roman" w:cs="Times New Roman"/>
          <w:b/>
          <w:sz w:val="28"/>
          <w:szCs w:val="28"/>
        </w:rPr>
        <w:br/>
        <w:t>з 20.07.2022 по 09.08.2022</w:t>
      </w:r>
      <w:r w:rsidR="002B5671" w:rsidRPr="00BD7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5671" w:rsidRPr="00BD7D9B">
        <w:rPr>
          <w:rFonts w:ascii="Times New Roman" w:hAnsi="Times New Roman" w:cs="Times New Roman"/>
          <w:b/>
          <w:sz w:val="28"/>
          <w:szCs w:val="28"/>
        </w:rPr>
        <w:t>(включно)</w:t>
      </w:r>
    </w:p>
    <w:p w:rsidR="00551474" w:rsidRPr="00807E7D" w:rsidRDefault="00551474" w:rsidP="0048447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15167" w:type="dxa"/>
        <w:tblInd w:w="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5"/>
        <w:gridCol w:w="6095"/>
        <w:gridCol w:w="3827"/>
      </w:tblGrid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C7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C7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val="uk-UA"/>
              </w:rPr>
            </w:pPr>
            <w:r w:rsidRPr="004342A4">
              <w:rPr>
                <w:rFonts w:ascii="Times New Roman" w:hAnsi="Times New Roman" w:cs="Times New Roman"/>
                <w:b/>
              </w:rPr>
              <w:t>Редакція проєкту рішення НКРЕКП</w:t>
            </w:r>
          </w:p>
          <w:p w:rsidR="005933B5" w:rsidRPr="004342A4" w:rsidRDefault="005933B5" w:rsidP="00C7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C7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C7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C774D0">
            <w:pPr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Зауваження та пропозиції</w:t>
            </w:r>
          </w:p>
          <w:p w:rsidR="005933B5" w:rsidRPr="004342A4" w:rsidRDefault="005933B5" w:rsidP="00C774D0">
            <w:pPr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до проекту рішення НКРЕКП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Pr="004342A4" w:rsidRDefault="005933B5" w:rsidP="00C774D0">
            <w:pPr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hAnsi="Times New Roman" w:cs="Times New Roman"/>
                <w:b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5933B5" w:rsidRPr="004342A4" w:rsidTr="004F1D81">
        <w:tc>
          <w:tcPr>
            <w:tcW w:w="15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EB8" w:rsidRDefault="00390EB8" w:rsidP="00C774D0">
            <w:pPr>
              <w:spacing w:after="0" w:line="240" w:lineRule="auto"/>
              <w:ind w:firstLine="3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"/>
              </w:rPr>
            </w:pPr>
          </w:p>
          <w:p w:rsidR="005933B5" w:rsidRPr="00390EB8" w:rsidRDefault="005933B5" w:rsidP="00C774D0">
            <w:pPr>
              <w:spacing w:after="0" w:line="240" w:lineRule="auto"/>
              <w:ind w:firstLine="3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"/>
              </w:rPr>
            </w:pPr>
            <w:r w:rsidRPr="00390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"/>
              </w:rPr>
              <w:t xml:space="preserve">Постанова НКРЕКП </w:t>
            </w:r>
            <w:r w:rsidRPr="00390E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"/>
              </w:rPr>
              <w:t>від 22.04.2019 № 585 «Про затвердження Порядку встановлення (формування) тарифу на послуги з передачі електричної енергії»</w:t>
            </w:r>
          </w:p>
          <w:p w:rsidR="005933B5" w:rsidRPr="004342A4" w:rsidRDefault="005933B5" w:rsidP="00C774D0">
            <w:pPr>
              <w:spacing w:after="0" w:line="240" w:lineRule="auto"/>
              <w:ind w:firstLine="3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1.2. У цьому Порядку терміни вживаються в таких значеннях: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>…………</w:t>
            </w:r>
            <w:r w:rsidRPr="004342A4">
              <w:rPr>
                <w:rFonts w:ascii="Times New Roman" w:eastAsia="Times New Roman" w:hAnsi="Times New Roman" w:cs="Times New Roman"/>
              </w:rPr>
              <w:t>…………………………………….</w:t>
            </w:r>
          </w:p>
          <w:p w:rsidR="005933B5" w:rsidRPr="004342A4" w:rsidRDefault="005933B5" w:rsidP="00164B50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b/>
                <w:sz w:val="22"/>
                <w:szCs w:val="22"/>
                <w:lang w:val="ru-RU" w:eastAsia="en-US"/>
              </w:rPr>
            </w:pPr>
            <w:r w:rsidRPr="004342A4">
              <w:rPr>
                <w:b/>
                <w:sz w:val="22"/>
                <w:szCs w:val="22"/>
                <w:lang w:val="ru-RU" w:eastAsia="en-US"/>
              </w:rPr>
              <w:t>ставка плати за послуги з передачі електричної енергії до/з країн периметру – розмір плати за користування системою передачі для країн периметру (perimeter fee), що забезпечує відшкодування оператору системи передачі України витрат за користування системою передачі у разі експорту/імпорту до/з країн периметру. Ставка плати є фіксованою та щорічно розраховується ENTSO-E в євро/МВт•год, відповідно до Регламенту Комісії (</w:t>
            </w:r>
            <w:proofErr w:type="gramStart"/>
            <w:r w:rsidRPr="004342A4">
              <w:rPr>
                <w:b/>
                <w:sz w:val="22"/>
                <w:szCs w:val="22"/>
                <w:lang w:val="ru-RU" w:eastAsia="en-US"/>
              </w:rPr>
              <w:t>ЄС)  №</w:t>
            </w:r>
            <w:proofErr w:type="gramEnd"/>
            <w:r w:rsidRPr="004342A4">
              <w:rPr>
                <w:b/>
                <w:sz w:val="22"/>
                <w:szCs w:val="22"/>
                <w:lang w:val="ru-RU" w:eastAsia="en-US"/>
              </w:rPr>
              <w:t xml:space="preserve"> 838/2010 від 23 вересня 2010 року;</w:t>
            </w:r>
          </w:p>
          <w:p w:rsidR="005933B5" w:rsidRPr="004342A4" w:rsidRDefault="005933B5" w:rsidP="00164B50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b/>
                <w:sz w:val="22"/>
                <w:szCs w:val="22"/>
                <w:lang w:val="ru-RU" w:eastAsia="en-US"/>
              </w:rPr>
            </w:pPr>
            <w:r w:rsidRPr="004342A4">
              <w:rPr>
                <w:b/>
                <w:sz w:val="22"/>
                <w:szCs w:val="22"/>
                <w:lang w:val="ru-RU" w:eastAsia="en-US"/>
              </w:rPr>
              <w:t>…………………………………………………….</w:t>
            </w:r>
          </w:p>
          <w:p w:rsidR="005933B5" w:rsidRPr="004342A4" w:rsidRDefault="005933B5" w:rsidP="00164B5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тариф на послуги з передачі електричної енергії (далі – тариф) – розмір плати в розрахунку на одиницю обсягу передачі електричної енергії електричними мережами визначеної якості, визначеного згідно з цим Порядком, що забезпечує </w:t>
            </w:r>
            <w:r w:rsidRPr="004342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відшкодування ліцензіату обґрунтованих витрат на здійснення діяльності, а також отримання прибутку;</w:t>
            </w:r>
          </w:p>
          <w:p w:rsidR="005933B5" w:rsidRPr="004342A4" w:rsidRDefault="005933B5" w:rsidP="008D2354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…</w:t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</w:t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Інші терміни в цьому Порядку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природні монополії», «Про ціни і ціноутворення», «Про ринок електричної енергії», 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Кодексі системи передачі, затвердженому постановою НКРЕКП від 14 березня 2018 року № 309 (далі – Кодекс системи передачі), </w:t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Галузевих методичних рекомендаціях з формування собівартості виробництва, передачі та постачання електричної і теплової енергії, затверджених наказом Міністерства палива та енергетики України від 20 вересня 2001 року № 447, Положенні (стандарті) бухгалтерського обліку 16 «Витрати», затвердженому наказом Міністерства фінансів України від 31 грудня 1999 року № 318, зареєстрованим у Міністерстві юстиції України 19 січня 2000 року за № 27/4248 (далі - П(С)БО 16 «Витрати»).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6850C9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lang w:val="uk-UA"/>
              </w:rPr>
            </w:pPr>
          </w:p>
          <w:p w:rsidR="005933B5" w:rsidRPr="005933B5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uk-UA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(</w:t>
            </w: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uk-UA"/>
              </w:rPr>
              <w:t>НЕК «УКРЕНЕРГО» лист від 09.08.2022 № 01/33532</w:t>
            </w:r>
          </w:p>
          <w:p w:rsidR="005933B5" w:rsidRPr="004342A4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>1.2. У цьому Порядку терміни вживаються в таких значеннях:</w:t>
            </w:r>
          </w:p>
          <w:p w:rsidR="005933B5" w:rsidRPr="004342A4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>ставка плати за послуги з передачі електричної енергії до/з країн периметру – розмір плати за користування системою передачі для країн периметру (perimeter fee), що забезпечує відшкодування оператору системи передачі</w:t>
            </w: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strike/>
                <w:lang w:val="uk-UA"/>
              </w:rPr>
              <w:t>України</w:t>
            </w:r>
            <w:r w:rsidRPr="004342A4">
              <w:rPr>
                <w:rFonts w:ascii="Times New Roman" w:eastAsia="Times New Roman" w:hAnsi="Times New Roman" w:cs="Times New Roman"/>
                <w:lang w:val="uk-UA"/>
              </w:rPr>
              <w:t>витрат за користування системою передачі у разі експорту/імпорту до/з країн периметру. Ставка плати є фіксованою та щорічно розраховується ENTSO-E в євро/МВт•год, відповідно до Регламенту Комісії (ЄС) № 838/2010 від 23 вересня 2010 року;</w:t>
            </w:r>
          </w:p>
          <w:p w:rsidR="005933B5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684F86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4342A4" w:rsidRDefault="005933B5" w:rsidP="00684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Редакційна правка</w:t>
            </w:r>
          </w:p>
          <w:p w:rsidR="005933B5" w:rsidRPr="004342A4" w:rsidRDefault="005933B5" w:rsidP="00684F86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i/>
                <w:sz w:val="22"/>
                <w:szCs w:val="22"/>
                <w:lang w:eastAsia="en-US"/>
              </w:rPr>
            </w:pPr>
            <w:r w:rsidRPr="004342A4">
              <w:rPr>
                <w:i/>
                <w:sz w:val="22"/>
                <w:szCs w:val="22"/>
                <w:lang w:eastAsia="en-US"/>
              </w:rPr>
              <w:t>Відповідно до ЗУ «Про ринок електричної енергії»: оператор системи передачі – юридична особа, відповідальна за експлуатацію, диспетчеризацію, забезпечення технічного обслуговування, розвиток системи передачі та міждержавних ліній електропередачі, а також за забезпечення довгострокової спроможності системи передачі щодо задоволення обґрунтованого попиту на передачу електричної енергії.</w:t>
            </w:r>
          </w:p>
          <w:p w:rsidR="005933B5" w:rsidRPr="004342A4" w:rsidRDefault="005933B5" w:rsidP="00684F86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i/>
                <w:sz w:val="22"/>
                <w:szCs w:val="22"/>
                <w:lang w:eastAsia="en-US"/>
              </w:rPr>
            </w:pPr>
            <w:r w:rsidRPr="004342A4">
              <w:rPr>
                <w:i/>
                <w:sz w:val="22"/>
                <w:szCs w:val="22"/>
                <w:lang w:eastAsia="en-US"/>
              </w:rPr>
              <w:lastRenderedPageBreak/>
              <w:t>Відповідно до частини першої статті 80 Цивільного Кодексу України: юридичною особою є організація, створена і зареєстрована у встановленому законом порядку.</w:t>
            </w:r>
          </w:p>
          <w:p w:rsidR="005933B5" w:rsidRPr="004342A4" w:rsidRDefault="005933B5" w:rsidP="00684F86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i/>
                <w:sz w:val="22"/>
                <w:szCs w:val="22"/>
                <w:lang w:eastAsia="en-US"/>
              </w:rPr>
            </w:pPr>
            <w:r w:rsidRPr="004342A4">
              <w:rPr>
                <w:i/>
                <w:sz w:val="22"/>
                <w:szCs w:val="22"/>
                <w:lang w:eastAsia="en-US"/>
              </w:rPr>
              <w:t>Враховуючи зазначене, оператором системи передачі у відповідності до поняття може бути лише резидент України, зареєстрований у відповідності до Закону України «Про державну реєстрацію юридичних осіб, фізичних осіб - підприємців та громадських формувань».</w:t>
            </w:r>
          </w:p>
          <w:p w:rsidR="005933B5" w:rsidRPr="004342A4" w:rsidRDefault="005933B5" w:rsidP="00684F86">
            <w:pPr>
              <w:pStyle w:val="rvps2"/>
              <w:shd w:val="clear" w:color="auto" w:fill="FFFFFF"/>
              <w:spacing w:before="0" w:beforeAutospacing="0" w:after="0" w:afterAutospacing="0"/>
              <w:ind w:right="85"/>
              <w:jc w:val="both"/>
              <w:rPr>
                <w:i/>
                <w:sz w:val="22"/>
                <w:szCs w:val="22"/>
                <w:lang w:eastAsia="en-US"/>
              </w:rPr>
            </w:pPr>
            <w:r w:rsidRPr="004342A4">
              <w:rPr>
                <w:i/>
                <w:sz w:val="22"/>
                <w:szCs w:val="22"/>
                <w:lang w:eastAsia="en-US"/>
              </w:rPr>
              <w:t>Відповідно до Закону України «Про ринок електричної енергії» оператор системи передачі – це оператор системи передачі України.</w:t>
            </w:r>
          </w:p>
          <w:p w:rsidR="005933B5" w:rsidRPr="004342A4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807E7D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5933B5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ТОВ «Д. ТРЕЙДІНГ» лист від 09.08.2022 № 187 </w:t>
            </w:r>
          </w:p>
          <w:p w:rsidR="005933B5" w:rsidRPr="004342A4" w:rsidRDefault="005933B5" w:rsidP="00807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Default="005933B5" w:rsidP="00684F86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342A4">
              <w:rPr>
                <w:rFonts w:ascii="Times New Roman" w:eastAsia="Times New Roman" w:hAnsi="Times New Roman" w:cs="Times New Roman"/>
                <w:bCs/>
              </w:rPr>
              <w:t xml:space="preserve">ставка плати за </w:t>
            </w: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доступ до системи передачі </w:t>
            </w:r>
            <w:r w:rsidRPr="004342A4">
              <w:rPr>
                <w:rFonts w:ascii="Times New Roman" w:eastAsia="Times New Roman" w:hAnsi="Times New Roman" w:cs="Times New Roman"/>
                <w:b/>
              </w:rPr>
              <w:t>електричної енергії</w:t>
            </w:r>
            <w:r w:rsidRPr="004342A4">
              <w:rPr>
                <w:rFonts w:ascii="Times New Roman" w:eastAsia="Times New Roman" w:hAnsi="Times New Roman" w:cs="Times New Roman"/>
                <w:bCs/>
              </w:rPr>
              <w:t xml:space="preserve"> до/з країн периметру – розмір плати </w:t>
            </w:r>
            <w:r w:rsidRPr="004342A4">
              <w:rPr>
                <w:rFonts w:ascii="Times New Roman" w:eastAsia="Times New Roman" w:hAnsi="Times New Roman" w:cs="Times New Roman"/>
                <w:b/>
              </w:rPr>
              <w:t>за доступ до системи</w:t>
            </w:r>
            <w:r w:rsidRPr="004342A4">
              <w:rPr>
                <w:rFonts w:ascii="Times New Roman" w:eastAsia="Times New Roman" w:hAnsi="Times New Roman" w:cs="Times New Roman"/>
                <w:bCs/>
              </w:rPr>
              <w:t xml:space="preserve"> передачі для країн периметру (perimeter fee) </w:t>
            </w:r>
            <w:r w:rsidRPr="004342A4">
              <w:rPr>
                <w:rFonts w:ascii="Times New Roman" w:eastAsia="Times New Roman" w:hAnsi="Times New Roman" w:cs="Times New Roman"/>
                <w:bCs/>
                <w:strike/>
              </w:rPr>
              <w:t>що забезпечує відшкодування оператору системи передачі України витрат за користування системою передач</w:t>
            </w:r>
            <w:r w:rsidRPr="004342A4">
              <w:rPr>
                <w:rFonts w:ascii="Times New Roman" w:eastAsia="Times New Roman" w:hAnsi="Times New Roman" w:cs="Times New Roman"/>
                <w:bCs/>
              </w:rPr>
              <w:t>іуазі експорту/імпорту до/з країн периметру. Ставка плати є фіксованою та щорічно розраховується ENTSO-E в євро/МВт•год, відповідно до Регламенту Комісії (ЄС) № 838/2010 від 23 вересня 2010 року;</w:t>
            </w:r>
          </w:p>
          <w:p w:rsidR="005933B5" w:rsidRDefault="005933B5" w:rsidP="00684F86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684F86" w:rsidRDefault="005933B5" w:rsidP="00684F86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390EB8" w:rsidRDefault="005933B5" w:rsidP="00D0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Приведення визначення у відповідність до Регламенту Комісії (ЄС) № 838/2010 від 23 вересня 2010 року, оскільки (perimeter fee) це не послуга, а плата за доступ до системи передачі еелктричної енергії.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9C0BDF" w:rsidRDefault="009C0BDF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807E7D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Враховано</w:t>
            </w: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4342A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4342A4" w:rsidRDefault="005933B5" w:rsidP="004342A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uk-UA"/>
              </w:rPr>
            </w:pPr>
          </w:p>
          <w:p w:rsidR="005933B5" w:rsidRPr="006850C9" w:rsidRDefault="005933B5" w:rsidP="00390EB8">
            <w:pPr>
              <w:ind w:firstLine="272"/>
              <w:jc w:val="both"/>
              <w:rPr>
                <w:rFonts w:ascii="Times New Roman" w:hAnsi="Times New Roman" w:cs="Times New Roman"/>
                <w:lang w:val="uk-UA"/>
              </w:rPr>
            </w:pPr>
            <w:r w:rsidRPr="006850C9">
              <w:rPr>
                <w:rFonts w:ascii="Times New Roman" w:hAnsi="Times New Roman" w:cs="Times New Roman"/>
                <w:lang w:val="uk-UA"/>
              </w:rPr>
              <w:t>Відповідно до Регламенту 838/2010 дана ставка (</w:t>
            </w:r>
            <w:r w:rsidRPr="00051122">
              <w:rPr>
                <w:rFonts w:ascii="Times New Roman" w:hAnsi="Times New Roman" w:cs="Times New Roman"/>
                <w:lang w:val="en-US"/>
              </w:rPr>
              <w:t>perimeter</w:t>
            </w:r>
            <w:r w:rsidRPr="006850C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51122">
              <w:rPr>
                <w:rFonts w:ascii="Times New Roman" w:hAnsi="Times New Roman" w:cs="Times New Roman"/>
                <w:lang w:val="en-US"/>
              </w:rPr>
              <w:t>fee</w:t>
            </w:r>
            <w:r w:rsidRPr="006850C9">
              <w:rPr>
                <w:rFonts w:ascii="Times New Roman" w:hAnsi="Times New Roman" w:cs="Times New Roman"/>
                <w:lang w:val="uk-UA"/>
              </w:rPr>
              <w:t>) є платою за користування системою передачі для імпорту/експорту до країн периметру (</w:t>
            </w:r>
            <w:r w:rsidRPr="00051122">
              <w:rPr>
                <w:rFonts w:ascii="Times New Roman" w:hAnsi="Times New Roman" w:cs="Times New Roman"/>
                <w:lang w:val="en-US"/>
              </w:rPr>
              <w:t>transmission</w:t>
            </w:r>
            <w:r w:rsidRPr="006850C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51122">
              <w:rPr>
                <w:rFonts w:ascii="Times New Roman" w:hAnsi="Times New Roman" w:cs="Times New Roman"/>
                <w:lang w:val="en-US"/>
              </w:rPr>
              <w:t>system</w:t>
            </w:r>
            <w:r w:rsidRPr="006850C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51122">
              <w:rPr>
                <w:rFonts w:ascii="Times New Roman" w:hAnsi="Times New Roman" w:cs="Times New Roman"/>
                <w:lang w:val="en-US"/>
              </w:rPr>
              <w:t>use</w:t>
            </w:r>
            <w:r w:rsidRPr="006850C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51122">
              <w:rPr>
                <w:rFonts w:ascii="Times New Roman" w:hAnsi="Times New Roman" w:cs="Times New Roman"/>
                <w:lang w:val="en-US"/>
              </w:rPr>
              <w:t>fee</w:t>
            </w:r>
            <w:r w:rsidRPr="006850C9">
              <w:rPr>
                <w:rFonts w:ascii="Times New Roman" w:hAnsi="Times New Roman" w:cs="Times New Roman"/>
                <w:lang w:val="uk-UA"/>
              </w:rPr>
              <w:t>), що в національному законодавстві відповідає послугам з передачі електричної енергії.</w:t>
            </w: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2C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</w:tr>
      <w:tr w:rsidR="005933B5" w:rsidRPr="004342A4" w:rsidTr="004F1D81">
        <w:trPr>
          <w:trHeight w:val="5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9C0BDF" w:rsidRPr="004342A4" w:rsidRDefault="009C0BDF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 </w:t>
            </w:r>
          </w:p>
          <w:p w:rsidR="005933B5" w:rsidRPr="004342A4" w:rsidRDefault="005933B5" w:rsidP="00164B50">
            <w:pPr>
              <w:pStyle w:val="rvps2"/>
              <w:widowControl w:val="0"/>
              <w:spacing w:before="0" w:beforeAutospacing="0" w:after="0" w:afterAutospacing="0"/>
              <w:ind w:firstLine="567"/>
              <w:jc w:val="both"/>
              <w:rPr>
                <w:rFonts w:eastAsiaTheme="minorHAnsi"/>
                <w:b/>
                <w:sz w:val="22"/>
                <w:szCs w:val="22"/>
                <w:lang w:eastAsia="ru-RU"/>
              </w:rPr>
            </w:pPr>
            <w:r w:rsidRPr="004342A4">
              <w:rPr>
                <w:rFonts w:eastAsiaTheme="minorHAnsi"/>
                <w:b/>
                <w:sz w:val="22"/>
                <w:szCs w:val="22"/>
                <w:lang w:eastAsia="ru-RU"/>
              </w:rPr>
              <w:t xml:space="preserve">Обсяг передачі електричної енергії визначається: </w:t>
            </w:r>
          </w:p>
          <w:p w:rsidR="005933B5" w:rsidRPr="004342A4" w:rsidRDefault="005933B5" w:rsidP="00164B50">
            <w:pPr>
              <w:pStyle w:val="rvps2"/>
              <w:widowControl w:val="0"/>
              <w:spacing w:before="0" w:beforeAutospacing="0" w:after="0" w:afterAutospacing="0"/>
              <w:ind w:firstLine="567"/>
              <w:jc w:val="both"/>
              <w:rPr>
                <w:rFonts w:eastAsiaTheme="minorHAnsi"/>
                <w:b/>
                <w:sz w:val="22"/>
                <w:szCs w:val="22"/>
                <w:lang w:eastAsia="ru-RU"/>
              </w:rPr>
            </w:pPr>
            <w:r w:rsidRPr="004342A4">
              <w:rPr>
                <w:rFonts w:eastAsiaTheme="minorHAnsi"/>
                <w:b/>
                <w:sz w:val="22"/>
                <w:szCs w:val="22"/>
                <w:lang w:eastAsia="ru-RU"/>
              </w:rPr>
              <w:t xml:space="preserve">у період до приєднання оператора системи </w:t>
            </w:r>
            <w:r w:rsidRPr="004342A4">
              <w:rPr>
                <w:rFonts w:eastAsiaTheme="minorHAnsi"/>
                <w:b/>
                <w:sz w:val="22"/>
                <w:szCs w:val="22"/>
                <w:lang w:eastAsia="ru-RU"/>
              </w:rPr>
              <w:lastRenderedPageBreak/>
              <w:t>передачі України до ІТС механізму як сума обсягу передачі (споживання) електричної енергії та обсягу експорту електричної енергії;</w:t>
            </w:r>
          </w:p>
          <w:p w:rsidR="005933B5" w:rsidRPr="004342A4" w:rsidRDefault="005933B5" w:rsidP="00164B5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4342A4">
              <w:rPr>
                <w:rFonts w:ascii="Times New Roman" w:hAnsi="Times New Roman" w:cs="Times New Roman"/>
                <w:b/>
                <w:lang w:eastAsia="ru-RU"/>
              </w:rPr>
              <w:t>у період після приєднання оператора системи передачі України до ІТС механізму як обсяг передачі (споживання) електричної енергії.</w:t>
            </w:r>
          </w:p>
          <w:p w:rsidR="005933B5" w:rsidRPr="004342A4" w:rsidRDefault="005933B5" w:rsidP="00164B5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D81" w:rsidRDefault="005933B5" w:rsidP="00593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ГС «ПЕАУ» лист від 05.08.2022 </w:t>
            </w: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br/>
              <w:t>№ 04-42/2</w:t>
            </w:r>
          </w:p>
          <w:p w:rsidR="009C0BDF" w:rsidRPr="005933B5" w:rsidRDefault="009C0BDF" w:rsidP="00593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5933B5" w:rsidRPr="004342A4" w:rsidRDefault="005933B5" w:rsidP="00164B5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 xml:space="preserve"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 </w:t>
            </w:r>
          </w:p>
          <w:p w:rsidR="005933B5" w:rsidRPr="004342A4" w:rsidRDefault="005933B5" w:rsidP="00E04CF4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Обсяг передачі електричної енергії визначається як обсяг передачі (споживання) електричної енергії.</w:t>
            </w:r>
          </w:p>
          <w:p w:rsidR="005933B5" w:rsidRDefault="005933B5" w:rsidP="00CC3572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684F86" w:rsidRDefault="005933B5" w:rsidP="00CC3572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421326" w:rsidRDefault="005933B5" w:rsidP="00CC35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Послуги з передачі не мають сплачуватись при експорті електричної енергії, як після, так і до впровадження </w:t>
            </w:r>
            <w:r w:rsidRPr="004342A4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ITC</w:t>
            </w:r>
            <w:r w:rsidRPr="004342A4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r w:rsidRPr="004342A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механізму. Їх сплата за змістом є обмеженням міждержавної торгівлі електроенергією, протирічить енергетичному законодавству ЄС та зобов’язанням України, про що свідчать, зокрема, рішення судів з цих питань.</w:t>
            </w:r>
          </w:p>
          <w:p w:rsidR="005933B5" w:rsidRDefault="005933B5" w:rsidP="008D2A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6850C9" w:rsidRDefault="006850C9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5933B5" w:rsidRPr="005933B5" w:rsidRDefault="005933B5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НЕК «УКРЕНЕРГО» лист від 09.08.2022 № 01/33532</w:t>
            </w:r>
          </w:p>
          <w:p w:rsidR="005933B5" w:rsidRPr="004342A4" w:rsidRDefault="005933B5" w:rsidP="004213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(ставка плати за послуги з передачі електричної енергії до/з країн периметру - у євро/МВт·год)</w:t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з округленням до двох знаків після коми.</w:t>
            </w:r>
          </w:p>
          <w:p w:rsidR="005933B5" w:rsidRPr="004342A4" w:rsidRDefault="005933B5" w:rsidP="0042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Конвертація величини ставки здійснюється щомісяця за середньомісячним курсом гривні до євро, установленим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Національним банком України, за розрахунковий період надання послуги, помножений на коефіцієнт 1.03.</w:t>
            </w:r>
          </w:p>
          <w:p w:rsidR="004F1D81" w:rsidRDefault="004F1D81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933B5" w:rsidRPr="004342A4" w:rsidRDefault="005933B5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Обсяг передачі електричної енергії:</w:t>
            </w:r>
          </w:p>
          <w:p w:rsidR="005933B5" w:rsidRPr="004342A4" w:rsidRDefault="005933B5" w:rsidP="00170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у період до приєднання оператора системи передачі </w:t>
            </w:r>
            <w:r w:rsidRPr="00765150">
              <w:rPr>
                <w:rFonts w:ascii="Times New Roman" w:eastAsia="Times New Roman" w:hAnsi="Times New Roman" w:cs="Times New Roman"/>
                <w:b/>
                <w:strike/>
                <w:color w:val="000000"/>
              </w:rPr>
              <w:t>України</w:t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до ІТС механізму визначається як сума обсягу передачі (споживання) електричної енергії та обсягу експорту електричної енергії;</w:t>
            </w:r>
          </w:p>
          <w:p w:rsidR="005933B5" w:rsidRPr="00E04CF4" w:rsidRDefault="005933B5" w:rsidP="00E04CF4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у період після приєднання оператора системи передачі </w:t>
            </w:r>
            <w:r w:rsidRPr="00765150">
              <w:rPr>
                <w:rFonts w:ascii="Times New Roman" w:eastAsia="Times New Roman" w:hAnsi="Times New Roman" w:cs="Times New Roman"/>
                <w:b/>
                <w:strike/>
                <w:color w:val="000000"/>
              </w:rPr>
              <w:t>України</w:t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до ІТС механізму визначається як обсяг передачі (споживання) електричної енергії</w:t>
            </w:r>
          </w:p>
          <w:p w:rsidR="005933B5" w:rsidRDefault="005933B5" w:rsidP="008D2AA2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8D2AA2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Default="005933B5" w:rsidP="008D2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D2AA2">
              <w:rPr>
                <w:rFonts w:ascii="Times New Roman" w:eastAsia="Times New Roman" w:hAnsi="Times New Roman" w:cs="Times New Roman"/>
                <w:i/>
                <w:color w:val="000000"/>
              </w:rPr>
              <w:t>З метою уникнення неоднозначного трактування приведення величини тарифу до грн/МВт*год.</w:t>
            </w:r>
          </w:p>
          <w:p w:rsidR="005933B5" w:rsidRPr="004342A4" w:rsidRDefault="005933B5" w:rsidP="007651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5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ТОВ «Д. ТРЕЙДІНГ» лист від 09.08.2022 № 187 </w:t>
            </w:r>
          </w:p>
          <w:p w:rsidR="009C0BDF" w:rsidRPr="005933B5" w:rsidRDefault="009C0BDF" w:rsidP="0015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933B5" w:rsidRPr="004342A4" w:rsidRDefault="005933B5" w:rsidP="001B14AC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 xml:space="preserve"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 </w:t>
            </w:r>
          </w:p>
          <w:p w:rsidR="005933B5" w:rsidRPr="004342A4" w:rsidRDefault="005933B5" w:rsidP="00170F07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..........................................................................</w:t>
            </w:r>
          </w:p>
          <w:p w:rsidR="005933B5" w:rsidRDefault="005933B5" w:rsidP="00E04CF4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b/>
              </w:rPr>
            </w:pPr>
            <w:r w:rsidRPr="004342A4">
              <w:rPr>
                <w:rFonts w:ascii="Times New Roman" w:hAnsi="Times New Roman" w:cs="Times New Roman"/>
                <w:b/>
              </w:rPr>
              <w:t>Обсяг передачі електричної енергії визначається як обсяг передачі (споживання) електричної енергії.</w:t>
            </w:r>
          </w:p>
          <w:p w:rsidR="005933B5" w:rsidRPr="00E04CF4" w:rsidRDefault="005933B5" w:rsidP="00E04CF4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b/>
              </w:rPr>
            </w:pPr>
          </w:p>
          <w:p w:rsidR="005933B5" w:rsidRDefault="005933B5" w:rsidP="008D2AA2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8D2AA2" w:rsidRDefault="005933B5" w:rsidP="008D2AA2">
            <w:pPr>
              <w:spacing w:after="0" w:line="240" w:lineRule="auto"/>
              <w:ind w:left="35" w:righ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8D2AA2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Постановою Великої Палати Верховного Суду від 03.08.2022 року прийнято остаточне рішення щодо неможливості нарахування послуг з передачі електричної енергії при здійсненні транскордонних операцій.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81" w:rsidRPr="00222CD0" w:rsidRDefault="004F1D81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4F1D81" w:rsidRPr="00222CD0" w:rsidRDefault="004F1D81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4F1D81" w:rsidRPr="00222CD0" w:rsidRDefault="004F1D81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222CD0" w:rsidRDefault="005933B5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222CD0" w:rsidRDefault="005933B5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6850C9" w:rsidRPr="00222CD0" w:rsidRDefault="006850C9" w:rsidP="006850C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6850C9" w:rsidRPr="00222CD0" w:rsidRDefault="006850C9" w:rsidP="006850C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НКРЕКП не виступала стороною або третьою особою у справі № 910/9627/20 за позовом Акціонерного товариства «ДТЕК Західенерго»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</w:t>
            </w:r>
            <w:r w:rsidR="00AE266C"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 xml:space="preserve"> </w:t>
            </w: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та включення таких послуг до первинних документів, якими оформлюються послуги з передачі електричної енергії.</w:t>
            </w:r>
          </w:p>
          <w:p w:rsidR="006850C9" w:rsidRPr="00222CD0" w:rsidRDefault="006850C9" w:rsidP="006850C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6850C9" w:rsidRPr="00222CD0" w:rsidRDefault="006850C9" w:rsidP="006850C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При цьому, станом на сьогодні, постанова НКРЕКП від 07.02.2020 № 360 чинна та не скасована </w:t>
            </w:r>
            <w:proofErr w:type="gramStart"/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 судовому порядку</w:t>
            </w:r>
            <w:proofErr w:type="gramEnd"/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C0BDF" w:rsidRPr="00222CD0" w:rsidRDefault="009C0BDF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222CD0" w:rsidRDefault="005933B5" w:rsidP="00E04CF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Pr="00222CD0" w:rsidRDefault="005933B5" w:rsidP="005933B5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Дублювання з  схваленими змінами до КСП </w:t>
            </w:r>
          </w:p>
          <w:p w:rsidR="005933B5" w:rsidRPr="00222CD0" w:rsidRDefault="005933B5" w:rsidP="0076515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4F1D81" w:rsidRPr="00222CD0" w:rsidRDefault="004F1D81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Враховано</w:t>
            </w: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76515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Враховано</w:t>
            </w: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434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222CD0" w:rsidRDefault="005933B5" w:rsidP="0062554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222CD0" w:rsidRDefault="005933B5" w:rsidP="0062554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6850C9" w:rsidRPr="00222CD0" w:rsidRDefault="006850C9" w:rsidP="006850C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6850C9" w:rsidRPr="00222CD0" w:rsidRDefault="006850C9" w:rsidP="006850C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НКРЕКП не виступала стороною або третьою особою у справі № 910/9627/20 за позовом Акціонерного товариства «ДТЕК Західенерго»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6850C9" w:rsidRPr="00222CD0" w:rsidRDefault="006850C9" w:rsidP="006850C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Разом з тим, зазначаємо, що правомірність постанови НКРЕКП від 07.02.2020 № 360 «Про затвердження Змін до Кодексу </w:t>
            </w: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5933B5" w:rsidRPr="00222CD0" w:rsidRDefault="006850C9" w:rsidP="00685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222CD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</w:tc>
      </w:tr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222CD0" w:rsidRPr="004342A4" w:rsidRDefault="00222CD0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2.1. Для встановлення тарифу ліцензіат подає до НКРЕКП заяву за формою, наведеною в додатку 1 до цього Порядку, і такі документи у друкованій та електронній формах:</w:t>
            </w:r>
          </w:p>
          <w:p w:rsidR="005933B5" w:rsidRPr="004342A4" w:rsidRDefault="00E527CA" w:rsidP="00E5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………………………………….</w:t>
            </w:r>
          </w:p>
          <w:p w:rsidR="005933B5" w:rsidRPr="004342A4" w:rsidRDefault="005933B5" w:rsidP="00164B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3) розрахунок прогнозованого необхідного доходу ліцензіата від здійснення діяльності з передачі електричної енергії на регуляторний період (за формою, наведеною в додатку 3 до цього Порядку), у тому числі розрахунок операційних контрольованих витрат з передачі електричної енергії на кожен рік регуляторного періоду (за формою, наведеною в додатку 4 до цього Порядку), розрахунок фонду оплати праці ліцензіата з передачі електричної енергії (за формою, наведеною в додатку 5 до цього Порядку), розрахунок операційних неконтрольованих витрат з передачі електричної енергії на кожен рік регуляторного періоду (за формою, наведеною в додатку 6 до цього Порядку), розрахунок прибутку на регуляторну базу активів, що використовується при здійсненні діяльності з передачі електричної енергії (за формою, наведеною в додатку 7 до цього Порядку), розрахунок амортизації активів (що використовуються для здійснення діяльності з передачі електричної енергії), які утворені після переходу на стимулююче регулювання (за формою, наведеною в додатку 8 до </w:t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 xml:space="preserve">цього Порядку), розрахунок річної амортизації на активи (що використовуються для здійснення ліцензованої діяльності з передачі електричної енергії), які були утворені на момент переходу до стимулюючого регулювання (за формою, наведеною в додатку 9 до цього Порядку), розрахунок амортизації активів (що використовуються для здійснення ліцензованої діяльності з передачі електричної енергії), що були отримані ліцензіатом на безоплатній основі після переходу на стимулююче регулювання (за формою, наведеною в додатку 10 до цього Порядку), та розрахунок амортизації активів (що використовуються для здійснення ліцензованої діяльності з передачі електричної енергії), що були створені за рахунок отримання плати від приєднання електроустановок до електричних мереж після переходу на стимулююче регулювання (за формою, наведеною в додатку 11 до цього Порядку), із додаванням до додатків 8, 10, 11 деталізованого реєстру активів по кожній групі в електронному вигляді, 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розрахунок прогнозованих витрат (доходів) за Договором ІТС; 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6850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5526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……………………………………..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 w:eastAsia="ru-RU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8) </w:t>
            </w: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t>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перетоків електричної енергії, у тому числі, для забезпечення перетікання електричної енергії до/з країн ІТС.</w:t>
            </w:r>
          </w:p>
          <w:p w:rsidR="005933B5" w:rsidRPr="004342A4" w:rsidRDefault="005933B5" w:rsidP="00164B5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lang w:val="uk-UA" w:eastAsia="ru-RU"/>
              </w:rPr>
            </w:pP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t xml:space="preserve">Обсяг таких технологічних витрат розраховується </w:t>
            </w:r>
            <w:r w:rsidRPr="004342A4">
              <w:rPr>
                <w:rFonts w:ascii="Times New Roman" w:hAnsi="Times New Roman" w:cs="Times New Roman"/>
                <w:b/>
                <w:lang w:eastAsia="ru-RU"/>
              </w:rPr>
              <w:t>ENTSO</w:t>
            </w: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t>-</w:t>
            </w:r>
            <w:r w:rsidRPr="004342A4">
              <w:rPr>
                <w:rFonts w:ascii="Times New Roman" w:hAnsi="Times New Roman" w:cs="Times New Roman"/>
                <w:b/>
                <w:lang w:eastAsia="ru-RU"/>
              </w:rPr>
              <w:t>E</w:t>
            </w: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t xml:space="preserve"> шляхом обчислення різниці між обсягом фактичних технологічних витрат у системі передачі протягом відповідного періоду та розрахунковим обсягом витрат у системі передачі за відповідний період у випадку, якщо б прийняття (переміщення) електричної енергії не здійснювалось.</w:t>
            </w:r>
          </w:p>
          <w:p w:rsidR="005933B5" w:rsidRPr="004342A4" w:rsidRDefault="005933B5" w:rsidP="00164B5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lang w:val="uk-UA" w:eastAsia="ru-RU"/>
              </w:rPr>
            </w:pP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lastRenderedPageBreak/>
              <w:t>Обсяг прийняття (переміщення) електричної енергії розраховується на погодинній основі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      </w:r>
          </w:p>
          <w:p w:rsidR="005933B5" w:rsidRPr="004342A4" w:rsidRDefault="005933B5" w:rsidP="00164B5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4342A4">
              <w:rPr>
                <w:rFonts w:ascii="Times New Roman" w:hAnsi="Times New Roman" w:cs="Times New Roman"/>
                <w:b/>
                <w:lang w:val="uk-UA" w:eastAsia="ru-RU"/>
              </w:rPr>
              <w:t xml:space="preserve">Для визначення обсягу прийняття (переміщення)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ІТС, з ОЕС України мають бути зменшені пропорційно частці пропускної спроможності, розподіленої у спосіб інший ніж визначено статтею </w:t>
            </w:r>
            <w:r w:rsidRPr="004342A4">
              <w:rPr>
                <w:rFonts w:ascii="Times New Roman" w:hAnsi="Times New Roman" w:cs="Times New Roman"/>
                <w:b/>
                <w:lang w:eastAsia="ru-RU"/>
              </w:rPr>
              <w:t>39 Закону України «Про ринок електричної енергії»;</w:t>
            </w:r>
          </w:p>
          <w:p w:rsidR="005933B5" w:rsidRPr="004342A4" w:rsidRDefault="005933B5" w:rsidP="00164B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9)</w:t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копію протоколу проведення відкритого обговорення (відкритого слухання) на місцях відповідно до Порядку проведення відкритого обговорення;</w:t>
            </w:r>
          </w:p>
          <w:p w:rsidR="005933B5" w:rsidRPr="004342A4" w:rsidRDefault="005933B5" w:rsidP="00164B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10) у разі коригування тарифу - розрахунок </w:t>
            </w: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коригування необхідного доходу з передачі електричної енергії у зв’язку зі зміною обсягів передачі електричної енергії (за формою, наведеною в додатку 16 до цього Порядку);</w:t>
            </w:r>
          </w:p>
          <w:p w:rsidR="005933B5" w:rsidRPr="004342A4" w:rsidRDefault="005933B5" w:rsidP="00164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11)</w:t>
            </w:r>
            <w:r w:rsidRPr="004342A4">
              <w:rPr>
                <w:rFonts w:ascii="Times New Roman" w:eastAsia="Times New Roman" w:hAnsi="Times New Roman" w:cs="Times New Roman"/>
                <w:lang w:val="uk-UA"/>
              </w:rPr>
              <w:t xml:space="preserve"> інші обґрунтовуючі матеріали.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BC9" w:rsidRDefault="00D16BC9" w:rsidP="00D16BC9">
            <w:pPr>
              <w:pStyle w:val="rvps2"/>
              <w:shd w:val="clear" w:color="auto" w:fill="FFFFFF"/>
              <w:spacing w:before="0" w:beforeAutospacing="0" w:after="0" w:afterAutospacing="0"/>
              <w:ind w:left="127"/>
              <w:jc w:val="both"/>
              <w:rPr>
                <w:b/>
                <w:lang w:eastAsia="en-US"/>
              </w:rPr>
            </w:pPr>
          </w:p>
          <w:p w:rsidR="00D16BC9" w:rsidRDefault="00D16BC9" w:rsidP="00D16BC9">
            <w:pPr>
              <w:pStyle w:val="rvps2"/>
              <w:shd w:val="clear" w:color="auto" w:fill="FFFFFF"/>
              <w:spacing w:before="0" w:beforeAutospacing="0" w:after="0" w:afterAutospacing="0"/>
              <w:ind w:left="127"/>
              <w:jc w:val="both"/>
              <w:rPr>
                <w:b/>
                <w:lang w:eastAsia="en-US"/>
              </w:rPr>
            </w:pPr>
            <w:r w:rsidRPr="00D16BC9">
              <w:rPr>
                <w:b/>
                <w:lang w:eastAsia="en-US"/>
              </w:rPr>
              <w:t>Секретаріат Energy Community</w:t>
            </w: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D16BC9" w:rsidRPr="004342A4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2.1. Для встановлення тарифу ліцензіат подає до НКРЕКП заяву за формою, наведеною в додатку 1 до цього Порядку, і такі документи у друкованій та електронній формах:</w:t>
            </w:r>
          </w:p>
          <w:p w:rsidR="00D16BC9" w:rsidRPr="004342A4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………………………………….</w:t>
            </w:r>
          </w:p>
          <w:p w:rsidR="00D16BC9" w:rsidRPr="005933B5" w:rsidRDefault="00D16BC9" w:rsidP="00D16BC9">
            <w:pPr>
              <w:pStyle w:val="rvps2"/>
              <w:shd w:val="clear" w:color="auto" w:fill="FFFFFF"/>
              <w:spacing w:before="0" w:beforeAutospacing="0" w:after="0" w:afterAutospacing="0"/>
              <w:ind w:left="127"/>
              <w:jc w:val="both"/>
              <w:rPr>
                <w:b/>
                <w:lang w:eastAsia="en-US"/>
              </w:rPr>
            </w:pPr>
          </w:p>
          <w:p w:rsidR="00D16BC9" w:rsidRPr="004342A4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3) розрахунок прогнозованого необхідного доходу ліцензіата від здійснення діяльності з передачі електричної енергії на регуляторний період (за формою, наведеною в додатку 3 до цього Порядку), у тому числі розрахунок операційних контрольованих витрат з передачі електричної енергії на кожен рік регуляторного періоду (за формою, наведеною в додатку 4 до цього Порядку), розрахунок фонду оплати праці ліцензіата з передачі електричної енергії (за формою, наведеною в додатку 5 до цього Порядку), розрахунок операційних неконтрольованих витрат з передачі електричної енергії на кожен рік регуляторного періоду (за формою, наведеною в додатку 6 до цього Порядку), розрахунок прибутку на регуляторну базу активів, що використовується при здійсненні діяльності з передачі електричної енергії (за формою, наведеною в додатку 7 до цього Порядку), розрахунок амортизації активів (що використовуються для здійснення діяльності з передачі електричної енергії), які утворені після переходу на стимулююче регулювання (за формою, наведеною в додатку 8 до цього Порядку), розрахунок річної амортизації на активи (що використовуються для здійснення ліцензованої діяльності з передачі електричної енергії), які були утворені на момент </w:t>
            </w: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lastRenderedPageBreak/>
              <w:t xml:space="preserve">переходу до стимулюючого регулювання (за формою, наведеною в додатку 9 до цього Порядку), розрахунок амортизації активів (що використовуються для здійснення ліцензованої діяльності з передачі електричної енергії), що були отримані ліцензіатом на безоплатній основі після переходу на стимулююче регулювання (за формою, наведеною в додатку 10 до цього Порядку), та розрахунок амортизації активів (що використовуються для здійснення ліцензованої діяльності з передачі електричної енергії), що були створені за рахунок отримання плати від приєднання електроустановок до електричних мереж після переходу на стимулююче регулювання (за формою, наведеною в додатку 11 до цього Порядку), із додаванням до додатків 8, 10, 11 деталізованого реєстру активів по кожній групі в електронному вигляді,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розрахунок прогнозованих виплат (внесків) з/до фонду ІТС відповідно до Договору ІТС; </w:t>
            </w:r>
          </w:p>
          <w:p w:rsidR="00D16BC9" w:rsidRPr="004342A4" w:rsidRDefault="00D16BC9" w:rsidP="00D16BC9">
            <w:pPr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t>...................................................................</w:t>
            </w:r>
          </w:p>
          <w:p w:rsidR="00D16BC9" w:rsidRDefault="00D16BC9" w:rsidP="00491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850C9" w:rsidRPr="006850C9" w:rsidRDefault="006850C9" w:rsidP="0087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uk-UA"/>
              </w:rPr>
            </w:pPr>
          </w:p>
          <w:p w:rsidR="006850C9" w:rsidRPr="006850C9" w:rsidRDefault="006850C9" w:rsidP="0087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uk-UA"/>
              </w:rPr>
            </w:pPr>
          </w:p>
          <w:p w:rsidR="006850C9" w:rsidRDefault="006850C9" w:rsidP="0087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850C9" w:rsidRDefault="006850C9" w:rsidP="0087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933B5" w:rsidRPr="00874E79" w:rsidRDefault="005933B5" w:rsidP="0087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НЕК «УКРЕНЕРГО» лист від 09.08.2022 № 01/33532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3B272A">
            <w:pPr>
              <w:spacing w:after="0" w:line="240" w:lineRule="auto"/>
              <w:ind w:right="128" w:firstLine="35"/>
              <w:jc w:val="both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8) динаміку технологічних витрат електричної енергії на її передачу електричними мережами, що виникли у системі передачі </w:t>
            </w:r>
            <w:r w:rsidRPr="00874E7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внаслідок </w:t>
            </w: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t>прийняття (передачі) міждержавних (транскордонних) перетоків електричної енергії, у тому числі, для забезпечення перетікання електричної енергії до/з країн ІТС.</w:t>
            </w:r>
          </w:p>
          <w:p w:rsidR="005933B5" w:rsidRPr="004342A4" w:rsidRDefault="005933B5" w:rsidP="003B272A">
            <w:pPr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  <w:p w:rsidR="005933B5" w:rsidRPr="004342A4" w:rsidRDefault="005933B5" w:rsidP="00F22C1A">
            <w:pPr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lang w:val="uk-UA"/>
              </w:rPr>
              <w:t>Обсяг прийняття (переміщення) електричної енергії розраховується на погодинній основі, та обирається як менша з величин абсолютного значення імпорту електричної енергії обсягу переміщеної електричної енергії</w:t>
            </w: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через міждержавні лінії електропередачі, зазначені в Договорі  ІТС, до  ОЕС України та обсягу переміщеної електричної енергії через міждержавні лінії електропередачі, зазначені в Договорі  ІТС, з  ОЕС України.</w:t>
            </w:r>
          </w:p>
          <w:p w:rsidR="005933B5" w:rsidRDefault="005933B5" w:rsidP="008E40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E04CF4" w:rsidRDefault="005933B5" w:rsidP="00E04CF4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E04CF4" w:rsidRDefault="005933B5" w:rsidP="00E0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E04CF4">
              <w:rPr>
                <w:rFonts w:ascii="Times New Roman" w:hAnsi="Times New Roman" w:cs="Times New Roman"/>
                <w:i/>
              </w:rPr>
              <w:lastRenderedPageBreak/>
              <w:t>Відповідно до Договору ІТС розрахунки проводяться не по перетинам, а по кожній міждержавній лінії окремо.</w:t>
            </w:r>
          </w:p>
          <w:p w:rsidR="005933B5" w:rsidRPr="003B272A" w:rsidRDefault="005933B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EB0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272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593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ТОВ «Д. ТРЕЙДІНГ» лист від 09.08.2022 № 187 </w:t>
            </w:r>
          </w:p>
          <w:p w:rsidR="00EB0215" w:rsidRPr="00EB0215" w:rsidRDefault="00EB0215" w:rsidP="00EB0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933B5" w:rsidRPr="004342A4" w:rsidRDefault="005933B5" w:rsidP="00B16A81">
            <w:pPr>
              <w:spacing w:after="0" w:line="240" w:lineRule="auto"/>
              <w:ind w:left="35" w:right="34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8) 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перетоків електричної енергії, у тому числі, для забезпечення перетікання електричної енергії до/з країн ІТС.</w:t>
            </w:r>
          </w:p>
          <w:p w:rsidR="005933B5" w:rsidRPr="004342A4" w:rsidRDefault="005933B5" w:rsidP="00B16A81">
            <w:pPr>
              <w:spacing w:after="0" w:line="240" w:lineRule="auto"/>
              <w:ind w:left="35" w:right="34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Обсяг таких технологічних витрат розраховується ENTSO-E шляхом обчислення різниці між обсягом фактичних технологічних витрат в системі передачі протягом відповідного періоду та розрахунковим обсягом витрат в системі передачі за відповідний період у випадку, якщо б прийняття (переміщення) електричної енергії не здійснювалось;</w:t>
            </w:r>
          </w:p>
          <w:p w:rsidR="005933B5" w:rsidRPr="004342A4" w:rsidRDefault="005933B5" w:rsidP="00B16A81">
            <w:pPr>
              <w:spacing w:after="0" w:line="240" w:lineRule="auto"/>
              <w:ind w:left="35" w:right="34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Обсяг прийняття (переміщення) електричної енергії розраховується на погодинній основі,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      </w:r>
          </w:p>
          <w:p w:rsidR="005933B5" w:rsidRPr="004342A4" w:rsidRDefault="005933B5" w:rsidP="00B16A81">
            <w:pPr>
              <w:spacing w:after="0" w:line="240" w:lineRule="auto"/>
              <w:ind w:left="35" w:right="34"/>
              <w:jc w:val="both"/>
              <w:rPr>
                <w:rFonts w:ascii="Times New Roman" w:eastAsia="Times New Roman" w:hAnsi="Times New Roman" w:cs="Times New Roman"/>
                <w:b/>
                <w:strike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strike/>
                <w:lang w:val="uk-UA"/>
              </w:rPr>
              <w:t>Для визначення обсягу прийняття (переміщення) 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 ІТС, з ОЕС України мають бути зменшені пропорційно частці пропускної спроможності, розподіленої у спосіб інший, ніж визначено статтею 39 Закону України «Про ринок електричної енергії».</w:t>
            </w:r>
          </w:p>
          <w:p w:rsidR="005933B5" w:rsidRDefault="005933B5" w:rsidP="00E04CF4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3B272A" w:rsidRDefault="005933B5" w:rsidP="00E04CF4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84F86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Обгрунтування </w:t>
            </w:r>
          </w:p>
          <w:p w:rsidR="005933B5" w:rsidRPr="00E04CF4" w:rsidRDefault="005933B5" w:rsidP="00E04CF4">
            <w:pPr>
              <w:spacing w:after="0" w:line="240" w:lineRule="auto"/>
              <w:ind w:right="34" w:hanging="17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E04CF4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Пропонуємо вилучити норму або конкуретизувати.</w:t>
            </w:r>
          </w:p>
          <w:p w:rsidR="005933B5" w:rsidRPr="00E04CF4" w:rsidRDefault="005933B5" w:rsidP="00E04CF4">
            <w:pPr>
              <w:spacing w:after="0" w:line="240" w:lineRule="auto"/>
              <w:ind w:right="128" w:hanging="17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E04CF4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Оскільки, розподілення пропускної спроможності у спосіб інший, ніж визначено статтею 39 Закону України «Про ринок електричної енергії» не передбачено законодавстом.</w:t>
            </w:r>
          </w:p>
          <w:p w:rsidR="005933B5" w:rsidRPr="004342A4" w:rsidRDefault="005933B5" w:rsidP="00D16ED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</w:p>
          <w:p w:rsidR="005933B5" w:rsidRPr="004342A4" w:rsidRDefault="005933B5" w:rsidP="00D16BC9">
            <w:pPr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D16BC9" w:rsidRPr="004342A4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D16BC9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D16BC9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D16BC9" w:rsidRPr="00D16EDD" w:rsidRDefault="00D16BC9" w:rsidP="00D16BC9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Суть та стиль однакові, але редакція НКРЕКП вбачається більш доцільною.</w:t>
            </w: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6652" w:rsidRDefault="00596652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D16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6850C9" w:rsidRDefault="006850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6850C9" w:rsidRDefault="006850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6850C9" w:rsidRDefault="006850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6850C9" w:rsidRDefault="006850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Default="00D16B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D16BC9">
              <w:rPr>
                <w:rFonts w:ascii="Times New Roman" w:eastAsia="Times New Roman" w:hAnsi="Times New Roman" w:cs="Times New Roman"/>
                <w:b/>
                <w:lang w:val="uk-UA"/>
              </w:rPr>
              <w:t>Загальна позиція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6850C9" w:rsidRPr="00A55269">
              <w:rPr>
                <w:rFonts w:ascii="Times New Roman" w:eastAsia="Times New Roman" w:hAnsi="Times New Roman" w:cs="Times New Roman"/>
                <w:b/>
                <w:lang w:val="uk-UA"/>
              </w:rPr>
              <w:t>до підпункту 8</w:t>
            </w:r>
          </w:p>
          <w:p w:rsidR="00D16BC9" w:rsidRDefault="00D16BC9" w:rsidP="00434151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D16BC9" w:rsidRPr="00874E79" w:rsidRDefault="00874E7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</w:t>
            </w:r>
            <w:r w:rsidR="00D16BC9"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раховано</w:t>
            </w:r>
            <w:r w:rsidRPr="006850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частково</w:t>
            </w:r>
          </w:p>
          <w:p w:rsidR="00D16BC9" w:rsidRPr="009C0BDF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Пропонується наступна редакція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br/>
            </w:r>
            <w:r w:rsidRPr="00E679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підпункту 8</w:t>
            </w:r>
            <w:r w:rsidRPr="004E748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:</w:t>
            </w:r>
          </w:p>
          <w:p w:rsidR="00D16BC9" w:rsidRPr="006850C9" w:rsidRDefault="00D16BC9" w:rsidP="00854B26">
            <w:pPr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6850C9">
              <w:rPr>
                <w:rFonts w:ascii="Times New Roman" w:hAnsi="Times New Roman" w:cs="Times New Roman"/>
                <w:lang w:val="uk-UA"/>
              </w:rPr>
              <w:t>«8) динаміку технологічних витрат електричної енергії на її передачу електричними мережами, що виникли у системі передачі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874E79">
              <w:rPr>
                <w:rFonts w:ascii="Times New Roman" w:hAnsi="Times New Roman" w:cs="Times New Roman"/>
                <w:b/>
                <w:lang w:val="uk-UA"/>
              </w:rPr>
              <w:t>внаслідок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850C9">
              <w:rPr>
                <w:rFonts w:ascii="Times New Roman" w:hAnsi="Times New Roman" w:cs="Times New Roman"/>
                <w:lang w:val="uk-UA"/>
              </w:rPr>
              <w:t xml:space="preserve">прийняття (передачі) міждержавних (транскордонних) перетоків електричної енергії, у тому числі для забезпечення перетікання електричної енергії до/з країн ІТС. </w:t>
            </w:r>
          </w:p>
          <w:p w:rsidR="00D16BC9" w:rsidRPr="00DF61C2" w:rsidRDefault="00D16BC9" w:rsidP="00854B26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6850C9">
              <w:rPr>
                <w:rFonts w:ascii="Times New Roman" w:hAnsi="Times New Roman" w:cs="Times New Roman"/>
                <w:lang w:val="uk-UA"/>
              </w:rPr>
              <w:t>Обсяг таких технологічних витрат розраховується ENTSO-E</w:t>
            </w:r>
            <w:r w:rsidRPr="009C0BDF">
              <w:rPr>
                <w:rFonts w:ascii="Times New Roman" w:hAnsi="Times New Roman" w:cs="Times New Roman"/>
                <w:b/>
                <w:lang w:val="uk-UA"/>
              </w:rPr>
              <w:t xml:space="preserve"> відповідно до Регламенту Комісії (ЄС) № 838/2010 від 23 вересня 2010 року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>.»</w:t>
            </w:r>
          </w:p>
          <w:p w:rsidR="00D16BC9" w:rsidRDefault="00D16BC9" w:rsidP="00D16BC9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16BC9" w:rsidRDefault="00D16BC9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9C0BDF" w:rsidRDefault="009C0BDF" w:rsidP="0039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9C0BDF" w:rsidRDefault="009C0BDF" w:rsidP="0039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D16ED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D16ED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6652" w:rsidRDefault="00596652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5933B5" w:rsidRPr="004342A4" w:rsidTr="004F1D81">
        <w:trPr>
          <w:trHeight w:val="451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9C0BDF" w:rsidRDefault="009C0BDF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9C0BDF" w:rsidRPr="004342A4" w:rsidRDefault="009C0BDF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5.9. Прогнозовані операційні неконтрольовані витрати з передачі електричної енергії на рік t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1C779AE8" wp14:editId="337E8721">
                  <wp:extent cx="427512" cy="117812"/>
                  <wp:effectExtent l="0" t="0" r="0" b="0"/>
                  <wp:docPr id="22" name="Рисунок 22" descr="C:\Users\KIRILE~1\AppData\Local\Temp\GK42288_img_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RILE~1\AppData\Local\Temp\GK42288_img_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612" cy="12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визначаються за формулою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BD7D9B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ОНВ</m:t>
                  </m:r>
                </m:e>
                <m:sub>
                  <m:r>
                    <w:rPr>
                      <w:rFonts w:ascii="Cambria Math" w:hAnsi="Cambria Math" w:cs="Times New Roman"/>
                      <w:lang w:val="uk-UA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val="uk-UA" w:eastAsia="uk-UA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ОНВ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val="uk-UA"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ФОП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val="uk-UA" w:eastAsia="uk-UA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фоп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i/>
                          <w:highlight w:val="lightGray"/>
                          <w:lang w:val="uk-UA" w:eastAsia="uk-UA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uk-UA" w:eastAsia="uk-UA"/>
                        </w:rPr>
                        <m:t>ІТС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en-US" w:eastAsia="uk-UA"/>
                        </w:rPr>
                        <m:t>n</m:t>
                      </m:r>
                    </m:sup>
                  </m:sSubSup>
                </m:e>
              </m:d>
              <m:r>
                <w:rPr>
                  <w:rFonts w:ascii="Cambria Math" w:hAnsi="Cambria Math" w:cs="Times New Roman"/>
                  <w:lang w:val="uk-UA" w:eastAsia="uk-UA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ІСЦ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lang w:val="uk-UA" w:eastAsia="uk-UA"/>
                    </w:rPr>
                    <m:t>100</m:t>
                  </m:r>
                </m:den>
              </m:f>
              <m:r>
                <w:rPr>
                  <w:rFonts w:ascii="Cambria Math" w:hAnsi="Cambria Math" w:cs="Times New Roman"/>
                  <w:lang w:val="uk-UA"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ФОП</m:t>
                  </m:r>
                </m:e>
                <m:sub>
                  <m:r>
                    <w:rPr>
                      <w:rFonts w:ascii="Cambria Math" w:hAnsi="Cambria Math" w:cs="Times New Roman"/>
                      <w:lang w:val="uk-UA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val="uk-UA" w:eastAsia="uk-UA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Н</m:t>
                  </m:r>
                </m:e>
                <m:sub>
                  <m:r>
                    <w:rPr>
                      <w:rFonts w:ascii="Cambria Math" w:hAnsi="Cambria Math" w:cs="Times New Roman"/>
                      <w:lang w:val="en-US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uk-UA" w:eastAsia="uk-UA"/>
                    </w:rPr>
                    <m:t>фоп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highlight w:val="lightGray"/>
                  <w:lang w:val="uk-UA"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highlight w:val="lightGray"/>
                      <w:lang w:val="uk-UA" w:eastAsia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en-US" w:eastAsia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color w:val="000000"/>
                <w:highlight w:val="lightGray"/>
                <w:lang w:val="uk-UA"/>
              </w:rPr>
              <w:t>,</w: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тис. грн, (6)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1812D675" wp14:editId="25B9F556">
                  <wp:extent cx="409699" cy="143395"/>
                  <wp:effectExtent l="0" t="0" r="0" b="0"/>
                  <wp:docPr id="23" name="Рисунок 23" descr="C:\Users\KIRILE~1\AppData\Local\Temp\GK42288_img_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IRILE~1\AppData\Local\Temp\GK42288_img_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435" cy="14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прогнозовані операційні неконтрольовані витрати в році t-1, тис. грн;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6A05ABDF" wp14:editId="769F7CB9">
                  <wp:extent cx="350520" cy="172085"/>
                  <wp:effectExtent l="0" t="0" r="0" b="0"/>
                  <wp:docPr id="24" name="Рисунок 24" descr="C:\Users\KIRILE~1\AppData\Local\Temp\GK42288_img_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RILE~1\AppData\Local\Temp\GK42288_img_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фактичний рівень єдиного внеску на загальнообов'язкове державне соціальне страхування у році t-1, відносні одиниці;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5F80C8EE" wp14:editId="6AA938E3">
                  <wp:extent cx="379730" cy="178435"/>
                  <wp:effectExtent l="0" t="0" r="1270" b="0"/>
                  <wp:docPr id="25" name="Рисунок 25" descr="C:\Users\KIRILE~1\AppData\Local\Temp\GK42288_img_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RILE~1\AppData\Local\Temp\GK42288_img_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прогнозований індекс споживчих цін для року t, %;</w:t>
            </w: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BD7D9B" w:rsidP="00164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Calibri" w:hAnsi="Times New Roman" w:cs="Times New Roman"/>
                <w:b/>
                <w:lang w:val="uk-UA"/>
              </w:rPr>
              <w:t xml:space="preserve"> – 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4342A4" w:rsidRDefault="00BD7D9B" w:rsidP="00164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t-1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Calibri" w:hAnsi="Times New Roman" w:cs="Times New Roman"/>
                <w:b/>
                <w:lang w:val="uk-UA"/>
              </w:rPr>
              <w:t>– витрати (доходи) за Договором ІТС, ураховані в тарифах на послуги з передачі електричної енергії в році t-1, тис. грн;».</w:t>
            </w:r>
          </w:p>
          <w:p w:rsidR="005933B5" w:rsidRPr="004342A4" w:rsidRDefault="005933B5" w:rsidP="00164B5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5933B5" w:rsidRPr="004342A4" w:rsidRDefault="005933B5" w:rsidP="00164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78F841EA" wp14:editId="6705ABF6">
                  <wp:extent cx="361950" cy="178435"/>
                  <wp:effectExtent l="0" t="0" r="0" b="0"/>
                  <wp:docPr id="32" name="Рисунок 32" descr="C:\Users\KIRILE~1\AppData\Local\Temp\GK42288_img_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IRILE~1\AppData\Local\Temp\GK42288_img_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рівень єдиного внеску на загальнообов'язкове державне соціальне страхування на рік t, відносні одиниці.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1E49A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5933B5" w:rsidRDefault="005933B5" w:rsidP="001E49A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5D0285">
              <w:rPr>
                <w:b/>
                <w:color w:val="000000"/>
              </w:rPr>
              <w:t>ГС «ПЕАУ» лист від 05.08.2022 № 04-42/2</w:t>
            </w:r>
          </w:p>
          <w:p w:rsidR="005D0285" w:rsidRPr="005D0285" w:rsidRDefault="005D0285" w:rsidP="001E49A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  <w:p w:rsidR="005933B5" w:rsidRPr="004342A4" w:rsidRDefault="005933B5" w:rsidP="00164B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5.9. Прогнозовані операційні неконтрольовані витрати з передачі електричної енергії на рік t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05737EC9" wp14:editId="3AD39DF7">
                  <wp:extent cx="427512" cy="117812"/>
                  <wp:effectExtent l="0" t="0" r="0" b="0"/>
                  <wp:docPr id="35" name="Рисунок 35" descr="C:\Users\KIRILE~1\AppData\Local\Temp\GK42288_img_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RILE~1\AppData\Local\Temp\GK42288_img_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612" cy="12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визначаються за формулою</w:t>
            </w:r>
          </w:p>
          <w:p w:rsidR="005933B5" w:rsidRPr="004342A4" w:rsidRDefault="00BD7D9B" w:rsidP="00164B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lang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eastAsia="uk-UA"/>
                    </w:rPr>
                    <m:t>ОНВ</m:t>
                  </m:r>
                </m:e>
                <m:sub>
                  <m:r>
                    <w:rPr>
                      <w:rFonts w:ascii="Cambria Math" w:hAnsi="Cambria Math" w:cs="Times New Roman"/>
                      <w:lang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eastAsia="uk-UA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eastAsia="uk-UA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ОНВ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ФОП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eastAsia="uk-UA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фоп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i/>
                          <w:highlight w:val="lightGray"/>
                          <w:lang w:eastAsia="uk-UA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eastAsia="uk-UA"/>
                        </w:rPr>
                        <m:t>ІТС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eastAsia="uk-UA"/>
                        </w:rPr>
                        <m:t>t-1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en-US" w:eastAsia="uk-UA"/>
                        </w:rPr>
                        <m:t>n</m:t>
                      </m:r>
                    </m:sup>
                  </m:sSubSup>
                </m:e>
              </m:d>
              <m:r>
                <w:rPr>
                  <w:rFonts w:ascii="Cambria Math" w:hAnsi="Cambria Math" w:cs="Times New Roman"/>
                  <w:lang w:eastAsia="uk-UA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eastAsia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ІСЦ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lang w:eastAsia="uk-UA"/>
                    </w:rPr>
                    <m:t>100</m:t>
                  </m:r>
                </m:den>
              </m:f>
              <m:r>
                <w:rPr>
                  <w:rFonts w:ascii="Cambria Math" w:hAnsi="Cambria Math" w:cs="Times New Roman"/>
                  <w:lang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eastAsia="uk-UA"/>
                    </w:rPr>
                    <m:t>ФОП</m:t>
                  </m:r>
                </m:e>
                <m:sub>
                  <m:r>
                    <w:rPr>
                      <w:rFonts w:ascii="Cambria Math" w:hAnsi="Cambria Math" w:cs="Times New Roman"/>
                      <w:lang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eastAsia="uk-UA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eastAsia="uk-UA"/>
                    </w:rPr>
                    <m:t>Н</m:t>
                  </m:r>
                </m:e>
                <m:sub>
                  <m:r>
                    <w:rPr>
                      <w:rFonts w:ascii="Cambria Math" w:hAnsi="Cambria Math" w:cs="Times New Roman"/>
                      <w:lang w:val="en-US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eastAsia="uk-UA"/>
                    </w:rPr>
                    <m:t>фоп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highlight w:val="lightGray"/>
                  <w:lang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highlight w:val="lightGray"/>
                      <w:lang w:eastAsia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eastAsia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eastAsia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en-US" w:eastAsia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color w:val="000000"/>
                <w:highlight w:val="lightGray"/>
              </w:rPr>
              <w:t>,</w: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тис. грн, (6)</w:t>
            </w:r>
          </w:p>
          <w:p w:rsidR="005933B5" w:rsidRPr="004342A4" w:rsidRDefault="005933B5" w:rsidP="00164B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30D7F82D" wp14:editId="6858ABC4">
                  <wp:extent cx="409699" cy="143395"/>
                  <wp:effectExtent l="0" t="0" r="0" b="0"/>
                  <wp:docPr id="36" name="Рисунок 36" descr="C:\Users\KIRILE~1\AppData\Local\Temp\GK42288_img_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IRILE~1\AppData\Local\Temp\GK42288_img_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435" cy="14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- прогнозовані операційні неконтрольовані витрати в році t-1, тис. грн;</w:t>
            </w:r>
          </w:p>
          <w:p w:rsidR="005933B5" w:rsidRPr="004342A4" w:rsidRDefault="005933B5" w:rsidP="00164B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2CC25ABE" wp14:editId="371FEB03">
                  <wp:extent cx="350520" cy="172085"/>
                  <wp:effectExtent l="0" t="0" r="0" b="0"/>
                  <wp:docPr id="37" name="Рисунок 37" descr="C:\Users\KIRILE~1\AppData\Local\Temp\GK42288_img_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RILE~1\AppData\Local\Temp\GK42288_img_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- фактичний рівень єдиного внеску на загальнообов'язкове державне соціальне страхування у році t-1, відносні одиниці;</w:t>
            </w:r>
          </w:p>
          <w:p w:rsidR="005D0285" w:rsidRPr="005D0285" w:rsidRDefault="005933B5" w:rsidP="00164B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5E87B093" wp14:editId="168DD31E">
                  <wp:extent cx="379730" cy="178435"/>
                  <wp:effectExtent l="0" t="0" r="1270" b="0"/>
                  <wp:docPr id="5" name="Рисунок 5" descr="C:\Users\KIRILE~1\AppData\Local\Temp\GK42288_img_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RILE~1\AppData\Local\Temp\GK42288_img_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- прогнозований індекс споживчих цін </w:t>
            </w:r>
            <w:proofErr w:type="gramStart"/>
            <w:r w:rsidRPr="004342A4">
              <w:rPr>
                <w:rFonts w:ascii="Times New Roman" w:eastAsia="Times New Roman" w:hAnsi="Times New Roman" w:cs="Times New Roman"/>
                <w:color w:val="000000"/>
              </w:rPr>
              <w:t>для року</w:t>
            </w:r>
            <w:proofErr w:type="gramEnd"/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t, %;</w:t>
            </w:r>
          </w:p>
          <w:p w:rsidR="005933B5" w:rsidRPr="004342A4" w:rsidRDefault="00BD7D9B" w:rsidP="00164B5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trike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bSup>
            </m:oMath>
            <w:r w:rsidR="005933B5" w:rsidRPr="004342A4">
              <w:rPr>
                <w:bCs/>
                <w:sz w:val="22"/>
                <w:szCs w:val="22"/>
              </w:rPr>
              <w:t xml:space="preserve"> – </w:t>
            </w:r>
            <w:r w:rsidR="005933B5" w:rsidRPr="004342A4">
              <w:rPr>
                <w:b/>
                <w:sz w:val="22"/>
                <w:szCs w:val="22"/>
              </w:rPr>
              <w:t xml:space="preserve">різниця </w:t>
            </w:r>
            <w:r w:rsidR="005933B5" w:rsidRPr="004342A4">
              <w:rPr>
                <w:rFonts w:eastAsiaTheme="minorHAnsi"/>
                <w:b/>
                <w:sz w:val="22"/>
                <w:szCs w:val="22"/>
                <w:lang w:eastAsia="en-US"/>
              </w:rPr>
              <w:t>прогнозованих витрат і доходів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4342A4" w:rsidRDefault="00BD7D9B" w:rsidP="00164B5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t-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bSup>
            </m:oMath>
            <w:r w:rsidR="005933B5" w:rsidRPr="004342A4">
              <w:rPr>
                <w:bCs/>
                <w:sz w:val="22"/>
                <w:szCs w:val="22"/>
              </w:rPr>
              <w:t xml:space="preserve">- </w:t>
            </w:r>
            <w:r w:rsidR="005933B5" w:rsidRPr="004342A4">
              <w:rPr>
                <w:b/>
                <w:sz w:val="22"/>
                <w:szCs w:val="22"/>
              </w:rPr>
              <w:t xml:space="preserve">різниця </w:t>
            </w:r>
            <w:r w:rsidR="005933B5" w:rsidRPr="004342A4">
              <w:rPr>
                <w:rFonts w:eastAsiaTheme="minorHAnsi"/>
                <w:b/>
                <w:sz w:val="22"/>
                <w:szCs w:val="22"/>
                <w:lang w:eastAsia="en-US"/>
              </w:rPr>
              <w:t>прогнозованих витрат і доходів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за Договором ІТС, ураховані в тарифах на послуги з передачі електричної енергії в році t-1, тис. грн;</w:t>
            </w:r>
          </w:p>
          <w:p w:rsidR="005933B5" w:rsidRPr="004342A4" w:rsidRDefault="005933B5" w:rsidP="00164B5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5933B5" w:rsidRDefault="00201434" w:rsidP="005D028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pict w14:anchorId="0AFFE534">
                <v:shape id="_x0000_i1026" type="#_x0000_t75" style="width:28.8pt;height:14.4pt;visibility:visible;mso-wrap-style:square">
                  <v:imagedata r:id="rId11" o:title="GK42288_img_028"/>
                </v:shape>
              </w:pic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 - рівень єдиного внеску на загальнообов'язкове державне соціальне страхування на рік t, відносні одиниці.</w:t>
            </w:r>
          </w:p>
          <w:p w:rsidR="005D0285" w:rsidRDefault="005D0285" w:rsidP="005D028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850C9" w:rsidRDefault="006850C9" w:rsidP="005D028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850C9" w:rsidRDefault="006850C9" w:rsidP="005D028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850C9" w:rsidRPr="005D0285" w:rsidRDefault="006850C9" w:rsidP="005D028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933B5" w:rsidRDefault="005933B5" w:rsidP="00390E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5D0285">
              <w:rPr>
                <w:b/>
                <w:color w:val="000000"/>
              </w:rPr>
              <w:t xml:space="preserve">ТОВ «Д. ТРЕЙДІНГ» лист від 09.08.2022 № 187 </w:t>
            </w:r>
          </w:p>
          <w:p w:rsidR="009C0BDF" w:rsidRPr="00390EB8" w:rsidRDefault="009C0BDF" w:rsidP="00390E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5.9. Прогнозовані операційні неконтрольовані витрати з передачі електричної енергії на рік t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430D3056" wp14:editId="6C043206">
                  <wp:extent cx="427512" cy="117812"/>
                  <wp:effectExtent l="0" t="0" r="0" b="0"/>
                  <wp:docPr id="4" name="Рисунок 4" descr="C:\Users\KIRILE~1\AppData\Local\Temp\GK42288_img_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RILE~1\AppData\Local\Temp\GK42288_img_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612" cy="12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визначаються за формулою</w:t>
            </w:r>
          </w:p>
          <w:p w:rsidR="005933B5" w:rsidRPr="004342A4" w:rsidRDefault="00BD7D9B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ОНВ</m:t>
                  </m:r>
                </m:e>
                <m:sub>
                  <m:r>
                    <w:rPr>
                      <w:rFonts w:ascii="Cambria Math" w:hAnsi="Cambria Math" w:cs="Times New Roman"/>
                      <w:lang w:val="uk-UA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val="uk-UA" w:eastAsia="uk-UA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ОНВ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val="uk-UA"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ФОП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lang w:val="uk-UA" w:eastAsia="uk-UA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eastAsia="uk-UA"/>
                        </w:rPr>
                        <m:t>фоп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i/>
                          <w:highlight w:val="lightGray"/>
                          <w:lang w:val="uk-UA" w:eastAsia="uk-UA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uk-UA" w:eastAsia="uk-UA"/>
                        </w:rPr>
                        <m:t>ІТС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uk-UA" w:eastAsia="uk-UA"/>
                        </w:rPr>
                        <m:t>t-1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highlight w:val="lightGray"/>
                          <w:lang w:val="en-US" w:eastAsia="uk-UA"/>
                        </w:rPr>
                        <m:t>n</m:t>
                      </m:r>
                    </m:sup>
                  </m:sSubSup>
                </m:e>
              </m:d>
              <m:r>
                <w:rPr>
                  <w:rFonts w:ascii="Cambria Math" w:hAnsi="Cambria Math" w:cs="Times New Roman"/>
                  <w:lang w:val="uk-UA" w:eastAsia="uk-UA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lang w:val="uk-UA" w:eastAsia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ІСЦ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uk-UA" w:eastAsia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val="en-US" w:eastAsia="uk-UA"/>
                        </w:rPr>
                        <m:t>n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lang w:val="uk-UA" w:eastAsia="uk-UA"/>
                    </w:rPr>
                    <m:t>100</m:t>
                  </m:r>
                </m:den>
              </m:f>
              <m:r>
                <w:rPr>
                  <w:rFonts w:ascii="Cambria Math" w:hAnsi="Cambria Math" w:cs="Times New Roman"/>
                  <w:lang w:val="uk-UA"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ФОП</m:t>
                  </m:r>
                </m:e>
                <m:sub>
                  <m:r>
                    <w:rPr>
                      <w:rFonts w:ascii="Cambria Math" w:hAnsi="Cambria Math" w:cs="Times New Roman"/>
                      <w:lang w:val="uk-UA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en-US" w:eastAsia="uk-UA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  <w:lang w:val="uk-UA" w:eastAsia="uk-UA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 w:eastAsia="uk-UA"/>
                    </w:rPr>
                    <m:t>Н</m:t>
                  </m:r>
                </m:e>
                <m:sub>
                  <m:r>
                    <w:rPr>
                      <w:rFonts w:ascii="Cambria Math" w:hAnsi="Cambria Math" w:cs="Times New Roman"/>
                      <w:lang w:val="en-US" w:eastAsia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uk-UA" w:eastAsia="uk-UA"/>
                    </w:rPr>
                    <m:t>фоп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highlight w:val="lightGray"/>
                  <w:lang w:val="uk-UA" w:eastAsia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highlight w:val="lightGray"/>
                      <w:lang w:val="uk-UA" w:eastAsia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uk-UA" w:eastAsia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highlight w:val="lightGray"/>
                      <w:lang w:val="en-US" w:eastAsia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color w:val="000000"/>
                <w:highlight w:val="lightGray"/>
                <w:lang w:val="uk-UA"/>
              </w:rPr>
              <w:t>,</w: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тис. грн, (6)</w:t>
            </w: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78ED07A9" wp14:editId="384BC62C">
                  <wp:extent cx="409699" cy="143395"/>
                  <wp:effectExtent l="0" t="0" r="0" b="0"/>
                  <wp:docPr id="14" name="Рисунок 14" descr="C:\Users\KIRILE~1\AppData\Local\Temp\GK42288_img_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IRILE~1\AppData\Local\Temp\GK42288_img_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435" cy="14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прогнозовані операційні неконтрольовані витрати в році t-1, тис. грн;</w:t>
            </w: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4DFE4F7D" wp14:editId="303C4F85">
                  <wp:extent cx="350520" cy="172085"/>
                  <wp:effectExtent l="0" t="0" r="0" b="0"/>
                  <wp:docPr id="6" name="Рисунок 6" descr="C:\Users\KIRILE~1\AppData\Local\Temp\GK42288_img_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RILE~1\AppData\Local\Temp\GK42288_img_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фактичний рівень єдиного внеску на загальнообов'язкове державне соціальне страхування у році t-1, відносні одиниці;</w:t>
            </w: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14C36461" wp14:editId="26EEA685">
                  <wp:extent cx="379730" cy="178435"/>
                  <wp:effectExtent l="0" t="0" r="1270" b="0"/>
                  <wp:docPr id="18" name="Рисунок 18" descr="C:\Users\KIRILE~1\AppData\Local\Temp\GK42288_img_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RILE~1\AppData\Local\Temp\GK42288_img_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прогнозований індекс споживчих цін для року t, %;</w:t>
            </w:r>
          </w:p>
          <w:p w:rsidR="005933B5" w:rsidRPr="004342A4" w:rsidRDefault="005933B5" w:rsidP="00184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BD7D9B" w:rsidP="001848F7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trike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lightGray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n</m:t>
                  </m:r>
                </m:sup>
              </m:sSubSup>
            </m:oMath>
            <w:r w:rsidR="005933B5" w:rsidRPr="004342A4">
              <w:rPr>
                <w:bCs/>
                <w:sz w:val="22"/>
                <w:szCs w:val="22"/>
              </w:rPr>
              <w:t xml:space="preserve"> - 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плати </w:t>
            </w:r>
            <w:r w:rsidR="005933B5" w:rsidRPr="004342A4">
              <w:rPr>
                <w:rFonts w:eastAsiaTheme="minorHAnsi"/>
                <w:b/>
                <w:sz w:val="22"/>
                <w:szCs w:val="22"/>
                <w:lang w:eastAsia="en-US"/>
              </w:rPr>
              <w:t>за доступ до системи  передачі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електричної енергії до/з країн периметру, з від’ємним значенням;</w:t>
            </w:r>
          </w:p>
          <w:p w:rsidR="005933B5" w:rsidRPr="004342A4" w:rsidRDefault="005933B5" w:rsidP="001848F7">
            <w:pPr>
              <w:pStyle w:val="rvps14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  <w:p w:rsidR="005933B5" w:rsidRPr="004342A4" w:rsidRDefault="00BD7D9B" w:rsidP="001848F7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lightGray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t-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n</m:t>
                  </m:r>
                </m:sup>
              </m:sSubSup>
            </m:oMath>
            <w:r w:rsidR="005933B5" w:rsidRPr="004342A4">
              <w:rPr>
                <w:bCs/>
                <w:sz w:val="22"/>
                <w:szCs w:val="22"/>
              </w:rPr>
              <w:t xml:space="preserve">- 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>витрати (доходи) за Договором ІТС, ураховані в тарифах на послуги з передачі електричної енергії в році t-1, тис. грн;</w:t>
            </w:r>
          </w:p>
          <w:p w:rsidR="005933B5" w:rsidRPr="004342A4" w:rsidRDefault="005933B5" w:rsidP="001848F7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F76769" w:rsidRPr="00F76769" w:rsidRDefault="005933B5" w:rsidP="00F767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noProof/>
                <w:color w:val="000000"/>
                <w:lang w:val="uk-UA" w:eastAsia="uk-UA"/>
              </w:rPr>
              <w:drawing>
                <wp:inline distT="0" distB="0" distL="0" distR="0" wp14:anchorId="2C770885" wp14:editId="6D8EA5BD">
                  <wp:extent cx="361950" cy="178435"/>
                  <wp:effectExtent l="0" t="0" r="0" b="0"/>
                  <wp:docPr id="8" name="Рисунок 8" descr="C:\Users\KIRILE~1\AppData\Local\Temp\GK42288_img_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IRILE~1\AppData\Local\Temp\GK42288_img_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  <w:t xml:space="preserve"> - рівень єдиного внеску на загальнообов'язкове державне соціальне страхування на рік t, відносні одиниці.</w:t>
            </w:r>
          </w:p>
          <w:p w:rsidR="00F76769" w:rsidRDefault="00F76769" w:rsidP="00125DBF">
            <w:pPr>
              <w:pStyle w:val="rvps2"/>
              <w:shd w:val="clear" w:color="auto" w:fill="FFFFFF"/>
              <w:spacing w:before="0" w:beforeAutospacing="0" w:after="0" w:afterAutospacing="0"/>
              <w:ind w:left="127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F76769" w:rsidRPr="00F76769" w:rsidRDefault="005933B5" w:rsidP="00F767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5933B5" w:rsidRPr="006850C9" w:rsidRDefault="005933B5" w:rsidP="005361F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lastRenderedPageBreak/>
              <w:t xml:space="preserve">5.9. Прогнозовані операційні неконтрольовані витрати з передачі електричної енергії на рік t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17BA3EFB" wp14:editId="5F0EDDF7">
                  <wp:extent cx="427512" cy="117812"/>
                  <wp:effectExtent l="0" t="0" r="0" b="0"/>
                  <wp:docPr id="28" name="Рисунок 28" descr="C:\Users\KIRILE~1\AppData\Local\Temp\GK42288_img_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RILE~1\AppData\Local\Temp\GK42288_img_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612" cy="12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визначаються за формулою</w:t>
            </w:r>
          </w:p>
          <w:p w:rsidR="005933B5" w:rsidRPr="004342A4" w:rsidRDefault="00BD7D9B" w:rsidP="005361F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ОНВ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t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n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ОНВ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n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ФОП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n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t-1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фоп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color w:val="000000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ІТС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t-1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n</m:t>
                      </m:r>
                    </m:sup>
                  </m:sSubSup>
                </m:e>
              </m:d>
              <m:r>
                <w:rPr>
                  <w:rFonts w:ascii="Cambria Math" w:eastAsia="Times New Roman" w:hAnsi="Cambria Math" w:cs="Times New Roman"/>
                  <w:color w:val="000000"/>
                </w:rPr>
                <m:t>×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ІСЦ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n</m:t>
                      </m:r>
                    </m:sup>
                  </m:sSubSup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100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ФОП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t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n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t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фоп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,</w: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тис. грн, (6)</w:t>
            </w:r>
          </w:p>
          <w:p w:rsidR="005933B5" w:rsidRPr="004342A4" w:rsidRDefault="005933B5" w:rsidP="005361F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58662675" wp14:editId="61DE30DE">
                  <wp:extent cx="409699" cy="143395"/>
                  <wp:effectExtent l="0" t="0" r="0" b="0"/>
                  <wp:docPr id="33" name="Рисунок 33" descr="C:\Users\KIRILE~1\AppData\Local\Temp\GK42288_img_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IRILE~1\AppData\Local\Temp\GK42288_img_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435" cy="14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- прогнозовані операційні неконтрольовані витрати в році t-1, тис. грн;</w:t>
            </w:r>
          </w:p>
          <w:p w:rsidR="005933B5" w:rsidRPr="004342A4" w:rsidRDefault="005933B5" w:rsidP="005361F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240590BD" wp14:editId="048E5F35">
                  <wp:extent cx="350520" cy="172085"/>
                  <wp:effectExtent l="0" t="0" r="0" b="0"/>
                  <wp:docPr id="34" name="Рисунок 34" descr="C:\Users\KIRILE~1\AppData\Local\Temp\GK42288_img_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RILE~1\AppData\Local\Temp\GK42288_img_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- фактичний рівень єдиного внеску на загальнообов'язкове державне соціальне страхування у році t-1, відносні одиниці;</w:t>
            </w:r>
          </w:p>
          <w:p w:rsidR="005933B5" w:rsidRPr="004342A4" w:rsidRDefault="005933B5" w:rsidP="005361F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noProof/>
                <w:color w:val="000000"/>
                <w:lang w:val="uk-UA" w:eastAsia="uk-UA"/>
              </w:rPr>
              <w:drawing>
                <wp:inline distT="0" distB="0" distL="0" distR="0" wp14:anchorId="64E71EBC" wp14:editId="11931221">
                  <wp:extent cx="379730" cy="178435"/>
                  <wp:effectExtent l="0" t="0" r="1270" b="0"/>
                  <wp:docPr id="38" name="Рисунок 38" descr="C:\Users\KIRILE~1\AppData\Local\Temp\GK42288_img_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RILE~1\AppData\Local\Temp\GK42288_img_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- прогнозований індекс споживчих цін для року t, %;</w:t>
            </w:r>
          </w:p>
          <w:p w:rsidR="005933B5" w:rsidRPr="004342A4" w:rsidRDefault="00BD7D9B" w:rsidP="005361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ITC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vertAlign w:val="superscript"/>
                      <w:lang w:val="uk-UA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 xml:space="preserve"> - прогнозовані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uk"/>
              </w:rPr>
              <w:t>виплати (внески) з/до фонду ІТС відповідно до Договору ІТС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, визначені з урахуванням розрахунку, отриманого від ENTSO-E та/або здійсненого ОСП, на прогнозний рік, тис. грн.</w:t>
            </w:r>
            <w:r w:rsidR="005933B5"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При розрахунку виплат (внесків) з/до фонду ІТС відповідно до Договору ІТС враховується дохід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125DBF" w:rsidRDefault="00BD7D9B" w:rsidP="00D94E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ITC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vertAlign w:val="superscript"/>
                      <w:lang w:val="uk-UA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t-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 xml:space="preserve">-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uk"/>
              </w:rPr>
              <w:t>виплати (внески) з/до фонду ІТС відповідно до Договору ІТС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, ураховані в тарифах на послуги з передачі електричної енергії в році t-1, тис. грн;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Default="005933B5" w:rsidP="001E49A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E49A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1E49A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Default="005933B5" w:rsidP="001E49A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646537" w:rsidRPr="00D16EDD" w:rsidRDefault="00646537" w:rsidP="00646537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Суть та стиль однакові, але редакція НКРЕКП вбачається більш доцільною.</w:t>
            </w: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D0285" w:rsidRDefault="005D028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D0285" w:rsidRDefault="005D028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9C0BDF" w:rsidRDefault="009C0BDF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6850C9" w:rsidRDefault="006850C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6850C9" w:rsidRDefault="006850C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6850C9" w:rsidRDefault="006850C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125DBF" w:rsidRDefault="005933B5" w:rsidP="00125DBF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125DBF" w:rsidRDefault="005933B5" w:rsidP="00125DBF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Pr="006850C9" w:rsidRDefault="005933B5" w:rsidP="0012286C">
            <w:pPr>
              <w:spacing w:line="240" w:lineRule="auto"/>
              <w:ind w:firstLine="268"/>
              <w:jc w:val="both"/>
              <w:rPr>
                <w:sz w:val="20"/>
                <w:szCs w:val="20"/>
                <w:lang w:val="uk-UA"/>
              </w:rPr>
            </w:pPr>
            <w:r w:rsidRPr="006850C9">
              <w:rPr>
                <w:rFonts w:ascii="Times New Roman" w:hAnsi="Times New Roman"/>
                <w:lang w:val="uk-UA"/>
              </w:rPr>
              <w:t>Відповідно до Регламенту 838/2010 дана ставка (</w:t>
            </w:r>
            <w:r w:rsidRPr="00125DBF">
              <w:rPr>
                <w:rFonts w:ascii="Times New Roman" w:hAnsi="Times New Roman"/>
                <w:lang w:val="en-US"/>
              </w:rPr>
              <w:t>perimeter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125DBF">
              <w:rPr>
                <w:rFonts w:ascii="Times New Roman" w:hAnsi="Times New Roman"/>
                <w:lang w:val="en-US"/>
              </w:rPr>
              <w:t>fee</w:t>
            </w:r>
            <w:r w:rsidRPr="006850C9">
              <w:rPr>
                <w:rFonts w:ascii="Times New Roman" w:hAnsi="Times New Roman"/>
                <w:lang w:val="uk-UA"/>
              </w:rPr>
              <w:t>) є платою за користування системою передачі для імпорту/експорту до країн периметру (</w:t>
            </w:r>
            <w:r w:rsidRPr="00125DBF">
              <w:rPr>
                <w:rFonts w:ascii="Times New Roman" w:hAnsi="Times New Roman"/>
                <w:lang w:val="en-US"/>
              </w:rPr>
              <w:t>transmission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125DBF">
              <w:rPr>
                <w:rFonts w:ascii="Times New Roman" w:hAnsi="Times New Roman"/>
                <w:lang w:val="en-US"/>
              </w:rPr>
              <w:t>system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125DBF">
              <w:rPr>
                <w:rFonts w:ascii="Times New Roman" w:hAnsi="Times New Roman"/>
                <w:lang w:val="en-US"/>
              </w:rPr>
              <w:t>use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125DBF">
              <w:rPr>
                <w:rFonts w:ascii="Times New Roman" w:hAnsi="Times New Roman"/>
                <w:lang w:val="en-US"/>
              </w:rPr>
              <w:t>fee</w:t>
            </w:r>
            <w:r w:rsidRPr="006850C9">
              <w:rPr>
                <w:rFonts w:ascii="Times New Roman" w:hAnsi="Times New Roman"/>
                <w:lang w:val="uk-UA"/>
              </w:rPr>
              <w:t>), що в національному законодавстві відповідає послугам з передачі електричної енергії</w:t>
            </w:r>
            <w:r w:rsidRPr="006850C9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D0285" w:rsidRDefault="005D028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F76769" w:rsidRDefault="00F7676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F76769" w:rsidRDefault="00F7676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F76769" w:rsidRDefault="00F7676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F76769" w:rsidRDefault="00F76769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125DBF" w:rsidRDefault="005933B5" w:rsidP="00125DBF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125DBF" w:rsidRDefault="005933B5" w:rsidP="00125DBF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982640" w:rsidRPr="00674BC1" w:rsidRDefault="00982640" w:rsidP="00982640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</w:rPr>
            </w:pPr>
            <w:r w:rsidRPr="00674BC1">
              <w:rPr>
                <w:rFonts w:ascii="Times New Roman" w:hAnsi="Times New Roman" w:cs="Times New Roman"/>
                <w:lang w:val="uk-UA"/>
              </w:rPr>
              <w:lastRenderedPageBreak/>
              <w:t>Суть та стиль однакові, але редакція НКРЕКП вбачається більш доцільною.</w:t>
            </w: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5933B5" w:rsidRPr="004342A4" w:rsidRDefault="005933B5" w:rsidP="001E49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</w:tr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7.1. Для встановлення тарифу ліцензіат подає до НКРЕКП заяву (за формою, наведеною в додатку 1 до цього Порядку), і такі документи у друкованій та електронній формах:</w:t>
            </w:r>
          </w:p>
          <w:p w:rsidR="005933B5" w:rsidRPr="004342A4" w:rsidRDefault="005933B5" w:rsidP="00584A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2541DF" w:rsidP="00584A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………………………………….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9) розрахунок прогнозованих витрат (доходів) за Договором ІТС;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707DF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………………………………………………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16) 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перетоків електричної енергії, у тому числі для забезпечення перетікання електричної енергії до/з країн ІТС. Обсяг таких технологічних витрат розраховується 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</w:rPr>
              <w:t>ENTSO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-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</w:rPr>
              <w:t>E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 шляхом обчислення різниці між обсягом фактичних технологічних витрат у системі передачі протягом відповідного періоду та розрахунковим обсягом витрат в системі передачі за відповідний період у випадку, якщо б прийняття (переміщення) електричної енергії не здійснювалось.</w:t>
            </w:r>
          </w:p>
          <w:p w:rsidR="005933B5" w:rsidRPr="004342A4" w:rsidRDefault="005933B5" w:rsidP="00584A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4342A4" w:rsidRDefault="005933B5" w:rsidP="00125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Обсяг прийняття (переміщення) електричної енергії розраховується на погодинній основі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      </w:r>
          </w:p>
          <w:p w:rsidR="005933B5" w:rsidRPr="004342A4" w:rsidRDefault="005933B5" w:rsidP="00584A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E72DBD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Для визначення обсягу прийняття (переміщення)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ІТС, з ОЕС України мають бути зменшені пропорційно частці пропускної спроможності, розподіленої у спосіб інший ніж визначено статтею 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</w:rPr>
              <w:t>39 Закону України «Про ринок електричної енергії».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125DB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707DF5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707DF5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707DF5" w:rsidRPr="00707DF5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12"/>
                <w:lang w:eastAsia="en-US"/>
              </w:rPr>
            </w:pPr>
          </w:p>
          <w:p w:rsidR="00707DF5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707DF5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707DF5" w:rsidRPr="00541377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………………………………….</w:t>
            </w:r>
          </w:p>
          <w:p w:rsidR="00707DF5" w:rsidRPr="00541377" w:rsidRDefault="00707DF5" w:rsidP="00707DF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 w:rsidRPr="00541377">
              <w:rPr>
                <w:b/>
                <w:sz w:val="22"/>
                <w:szCs w:val="22"/>
                <w:u w:val="single"/>
              </w:rPr>
              <w:t>9) прогнозовані виплати (внески) з/до фонду ІТС відповідно до Договору ІТС;</w:t>
            </w:r>
          </w:p>
          <w:p w:rsidR="00707DF5" w:rsidRDefault="00707DF5" w:rsidP="00707D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A65E7" w:rsidRDefault="000A65E7" w:rsidP="00707D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0A65E7" w:rsidRDefault="000A65E7" w:rsidP="00707D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0A65E7" w:rsidRDefault="000A65E7" w:rsidP="00707D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0A65E7" w:rsidRDefault="000A65E7" w:rsidP="00707D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707DF5" w:rsidRPr="0023595C" w:rsidRDefault="00707DF5" w:rsidP="00707D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65E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Коментар</w:t>
            </w:r>
            <w:r w:rsidRPr="002359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щодо:</w:t>
            </w:r>
          </w:p>
          <w:p w:rsidR="00707DF5" w:rsidRDefault="00707DF5" w:rsidP="0070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359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16) 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перетоків електричної енергії, у тому числі для забезпечення перетікання електричної енергії до/з країн ІТС. Обсяг таких технологічних витрат розраховується </w:t>
            </w:r>
            <w:r w:rsidRPr="002359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ENTSO</w:t>
            </w:r>
            <w:r w:rsidRPr="002359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2359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2359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шляхом обчислення різниці між обсягом фактичних технологічних витрат у системі передачі протягом відповідного періоду та розрахунковим обсягом витрат в системі передачі за відповідний період у випадку, якщо б прийняття (переміщення) електричної енергії не здійснювалось.</w:t>
            </w:r>
          </w:p>
          <w:p w:rsidR="00707DF5" w:rsidRPr="0023595C" w:rsidRDefault="00707DF5" w:rsidP="0070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707DF5" w:rsidRDefault="00707DF5" w:rsidP="00707D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595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Рекомендовано зробити посилання на методику ENTSO-E, радше ніж не наводити деталі тут</w:t>
            </w:r>
          </w:p>
          <w:p w:rsidR="00707DF5" w:rsidRPr="0023595C" w:rsidRDefault="00707DF5" w:rsidP="00707D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5933B5" w:rsidRDefault="005933B5" w:rsidP="00125DB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НЕК «УКРЕНЕРГО» лист від 09.08.2022  № 01/33532</w:t>
            </w:r>
          </w:p>
          <w:p w:rsidR="005933B5" w:rsidRPr="009C0BDF" w:rsidRDefault="009C0BDF" w:rsidP="00125DB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9C0BDF">
              <w:rPr>
                <w:lang w:eastAsia="en-US"/>
              </w:rPr>
              <w:t>………………………….</w:t>
            </w:r>
          </w:p>
          <w:p w:rsidR="009C0BDF" w:rsidRPr="009C0BDF" w:rsidRDefault="009C0BDF" w:rsidP="00125DB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5933B5" w:rsidRPr="004342A4" w:rsidRDefault="005933B5" w:rsidP="00D02CEE">
            <w:pPr>
              <w:tabs>
                <w:tab w:val="left" w:pos="3587"/>
              </w:tabs>
              <w:spacing w:after="0" w:line="240" w:lineRule="auto"/>
              <w:ind w:left="-99"/>
              <w:jc w:val="both"/>
              <w:rPr>
                <w:rFonts w:ascii="Times New Roman" w:eastAsia="Times New Roman" w:hAnsi="Times New Roman" w:cs="Times New Roman"/>
                <w:color w:val="000000"/>
                <w:lang w:val="uk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16) динаміку технологічних витрат електричної енергії на її передачу електричними мережами, що виникли у системі передачі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внаслідок</w:t>
            </w: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 прийняття (передачі) міждержавних (транскордонних) перетоків електричної енергії, у тому числі, для забезпечення перетікання електричної енергії до/з країн ІТС.</w:t>
            </w:r>
          </w:p>
          <w:p w:rsidR="005933B5" w:rsidRPr="004342A4" w:rsidRDefault="005933B5" w:rsidP="00D02CEE">
            <w:pPr>
              <w:tabs>
                <w:tab w:val="left" w:pos="3587"/>
              </w:tabs>
              <w:spacing w:after="0"/>
              <w:rPr>
                <w:rFonts w:ascii="Times New Roman" w:hAnsi="Times New Roman" w:cs="Times New Roman"/>
                <w:lang w:val="uk"/>
              </w:rPr>
            </w:pPr>
          </w:p>
          <w:p w:rsidR="005933B5" w:rsidRPr="006850C9" w:rsidRDefault="005933B5" w:rsidP="00E72DBD">
            <w:pPr>
              <w:tabs>
                <w:tab w:val="left" w:pos="3587"/>
              </w:tabs>
              <w:spacing w:after="0" w:line="240" w:lineRule="auto"/>
              <w:ind w:left="-99"/>
              <w:jc w:val="both"/>
              <w:rPr>
                <w:rFonts w:ascii="Times New Roman" w:eastAsia="Times New Roman" w:hAnsi="Times New Roman" w:cs="Times New Roman"/>
                <w:color w:val="000000"/>
                <w:lang w:val="uk"/>
              </w:rPr>
            </w:pPr>
            <w:r w:rsidRPr="006850C9">
              <w:rPr>
                <w:rFonts w:ascii="Times New Roman" w:eastAsia="Times New Roman" w:hAnsi="Times New Roman" w:cs="Times New Roman"/>
                <w:color w:val="000000"/>
                <w:lang w:val="uk"/>
              </w:rPr>
              <w:t xml:space="preserve">Обсяг прийняття (переміщення) електричної енергії розраховується на погодинній основі, та обирається як менша з величин абсолютного значення імпорту електричної енергії </w:t>
            </w:r>
            <w:r w:rsidRPr="006850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обсягу переміщеної електричної енергії через міждержавні лінії електропередачі, зазначені в Договорі  ІТС, до  ОЕС України та обсягу переміщеної електричної енергії через міждержавні лінії електропередачі, зазначені в Договорі  ІТС, з  ОЕС України.</w:t>
            </w:r>
          </w:p>
          <w:p w:rsidR="00E72DBD" w:rsidRPr="006850C9" w:rsidRDefault="00E72DBD" w:rsidP="00E72DBD">
            <w:pPr>
              <w:tabs>
                <w:tab w:val="left" w:pos="3587"/>
              </w:tabs>
              <w:spacing w:after="0" w:line="240" w:lineRule="auto"/>
              <w:ind w:left="-99"/>
              <w:jc w:val="both"/>
              <w:rPr>
                <w:rFonts w:ascii="Times New Roman" w:eastAsia="Times New Roman" w:hAnsi="Times New Roman" w:cs="Times New Roman"/>
                <w:color w:val="000000"/>
                <w:lang w:val="uk"/>
              </w:rPr>
            </w:pPr>
          </w:p>
          <w:p w:rsidR="00E72DBD" w:rsidRPr="006850C9" w:rsidRDefault="00E72DBD" w:rsidP="00E72DBD">
            <w:pPr>
              <w:tabs>
                <w:tab w:val="left" w:pos="3587"/>
              </w:tabs>
              <w:spacing w:after="0" w:line="240" w:lineRule="auto"/>
              <w:ind w:left="-99"/>
              <w:jc w:val="both"/>
              <w:rPr>
                <w:rFonts w:ascii="Times New Roman" w:eastAsia="Times New Roman" w:hAnsi="Times New Roman" w:cs="Times New Roman"/>
                <w:color w:val="000000"/>
                <w:lang w:val="uk"/>
              </w:rPr>
            </w:pPr>
          </w:p>
          <w:p w:rsidR="005933B5" w:rsidRPr="00125DBF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ТОВ «Д. ТРЕЙДІНГ» лист від 09.08.2022 № 187 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>....................................................................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16) динаміку технологічних витрат електричної енергії на її передачу електричними мережами, що виникли у системі 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lastRenderedPageBreak/>
              <w:t xml:space="preserve">передачі від прийняття (передачі) міждержавних (транскордонних) перетоків електричної енергії, у тому числі, для забезпечення перетікання електричної енергії до/з країн ІТС. Обсяг таких технологічних витрат розраховується ENTSO-E шляхом обчислення різниці між обсягом фактичних технологічних витрат в системі передачі протягом відповідного періоду та розрахунковим обсягом витрат в системі передачі за відповідний період у випадку, якщо б прийняття (переміщення) </w:t>
            </w: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електричної енергії не здійснювалось;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>Обсяг прийняття (переміщення) електричної енергії розраховується на погодинній основі,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      </w:r>
          </w:p>
          <w:p w:rsidR="005933B5" w:rsidRDefault="005933B5" w:rsidP="00D02CEE">
            <w:pPr>
              <w:jc w:val="both"/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  <w:t>Для визначення обсягу прийняття (переміщення) 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ІТС, з ОЕС України мають бути зменшені пропорційно частці пропускної спроможності, розподіленої у спосіб інший, ніж визначено статтею 39 Закону України «Про ринок електричної енергії».</w:t>
            </w:r>
          </w:p>
          <w:p w:rsidR="005933B5" w:rsidRDefault="005933B5" w:rsidP="0023595C">
            <w:pPr>
              <w:pStyle w:val="rvps2"/>
              <w:shd w:val="clear" w:color="auto" w:fill="FFFFFF"/>
              <w:spacing w:before="0" w:beforeAutospacing="0" w:after="0" w:afterAutospacing="0"/>
              <w:ind w:left="127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5933B5" w:rsidRPr="004342A4" w:rsidRDefault="005933B5" w:rsidP="0070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BD" w:rsidRDefault="00E72DBD" w:rsidP="00E72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Pr="004342A4" w:rsidRDefault="00707DF5" w:rsidP="00707DF5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707DF5" w:rsidRDefault="00707DF5" w:rsidP="00707DF5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707DF5" w:rsidRPr="00D16EDD" w:rsidRDefault="00707DF5" w:rsidP="00707DF5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Суть та стиль однакові, але редакція НКРЕКП вбачається більш доцільною.</w:t>
            </w: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07DF5" w:rsidRDefault="00707DF5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E72DBD" w:rsidRDefault="00E72DBD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D16BC9">
              <w:rPr>
                <w:rFonts w:ascii="Times New Roman" w:eastAsia="Times New Roman" w:hAnsi="Times New Roman" w:cs="Times New Roman"/>
                <w:b/>
                <w:lang w:val="uk-UA"/>
              </w:rPr>
              <w:t>Загальна позиція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0A65E7">
              <w:rPr>
                <w:rFonts w:ascii="Times New Roman" w:eastAsia="Times New Roman" w:hAnsi="Times New Roman" w:cs="Times New Roman"/>
                <w:b/>
                <w:lang w:val="uk-UA"/>
              </w:rPr>
              <w:t>до</w:t>
            </w:r>
            <w:r w:rsidR="000A65E7" w:rsidRPr="00E679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 підпункту </w:t>
            </w:r>
            <w:r w:rsidR="000A65E7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16</w:t>
            </w:r>
          </w:p>
          <w:p w:rsidR="00E72DBD" w:rsidRDefault="00E72DBD" w:rsidP="00E72DBD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E72DBD" w:rsidRPr="00874E79" w:rsidRDefault="00E72DBD" w:rsidP="00E72DB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</w:t>
            </w:r>
            <w:r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раховано</w:t>
            </w:r>
            <w:r w:rsidRPr="006850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частково</w:t>
            </w:r>
          </w:p>
          <w:p w:rsidR="00E72DBD" w:rsidRPr="009C0BDF" w:rsidRDefault="00E72DBD" w:rsidP="00E72DB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Пропонується наступна редакція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br/>
            </w:r>
            <w:r w:rsidRPr="00E679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підпункту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16</w:t>
            </w:r>
            <w:r w:rsidRPr="004E748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:</w:t>
            </w:r>
          </w:p>
          <w:p w:rsidR="00E72DBD" w:rsidRPr="000A65E7" w:rsidRDefault="00E72DBD" w:rsidP="00E72D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F61C2">
              <w:rPr>
                <w:rFonts w:ascii="Times New Roman" w:hAnsi="Times New Roman" w:cs="Times New Roman"/>
                <w:b/>
                <w:lang w:val="uk-UA"/>
              </w:rPr>
              <w:t>«</w:t>
            </w:r>
            <w:r w:rsidRPr="000A65E7">
              <w:rPr>
                <w:rFonts w:ascii="Times New Roman" w:hAnsi="Times New Roman" w:cs="Times New Roman"/>
                <w:lang w:val="uk-UA"/>
              </w:rPr>
              <w:t>16) динаміку технологічних витрат електричної енергії на її передачу електричними мережами, що виникли у системі передачі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>внаслідок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0A65E7">
              <w:rPr>
                <w:rFonts w:ascii="Times New Roman" w:hAnsi="Times New Roman" w:cs="Times New Roman"/>
                <w:lang w:val="uk-UA"/>
              </w:rPr>
              <w:t xml:space="preserve">прийняття (передачі) міждержавних (транскордонних) перетоків електричної енергії, у тому числі для забезпечення перетікання електричної енергії до/з країн ІТС. </w:t>
            </w:r>
          </w:p>
          <w:p w:rsidR="00E72DBD" w:rsidRPr="00DF61C2" w:rsidRDefault="00E72DBD" w:rsidP="00E72DBD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0A65E7">
              <w:rPr>
                <w:rFonts w:ascii="Times New Roman" w:hAnsi="Times New Roman" w:cs="Times New Roman"/>
                <w:lang w:val="uk-UA"/>
              </w:rPr>
              <w:t>Обсяг таких технологічних витрат розраховується ENTSO-E</w:t>
            </w:r>
            <w:r w:rsidRPr="009C0BDF">
              <w:rPr>
                <w:rFonts w:ascii="Times New Roman" w:hAnsi="Times New Roman" w:cs="Times New Roman"/>
                <w:b/>
                <w:lang w:val="uk-UA"/>
              </w:rPr>
              <w:t xml:space="preserve"> відповідно до Регламенту Комісії (ЄС) № 838/2010 від 23 вересня 2010 року</w:t>
            </w:r>
            <w:r w:rsidRPr="00DF61C2">
              <w:rPr>
                <w:rFonts w:ascii="Times New Roman" w:hAnsi="Times New Roman" w:cs="Times New Roman"/>
                <w:b/>
                <w:lang w:val="uk-UA"/>
              </w:rPr>
              <w:t>.»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4A3821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833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125DBF">
            <w:pPr>
              <w:spacing w:after="0" w:line="240" w:lineRule="auto"/>
              <w:ind w:firstLine="40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B1281A" w:rsidRDefault="00B1281A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E72DBD" w:rsidRDefault="00E72DBD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F76769" w:rsidRDefault="00F76769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23595C" w:rsidRDefault="005933B5" w:rsidP="0023595C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933B5" w:rsidRPr="004342A4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7.20. Розрахунок операційних витрат: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1) операційні витрати для забезпечення діяльності з передачі електричної енергії визначаються за такими економічними елементами та їх окремими складовими і розраховуються за формулою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BD7D9B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ОВ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МВ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ОП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ВСЗ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>УО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vertAlign w:val="superscript"/>
                      <w:lang w:val="uk-UA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 xml:space="preserve">+ 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highlight w:val="lightGray"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  <w:lang w:val="uk-UA"/>
                    </w:rPr>
                    <m:t>ITC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  <w:vertAlign w:val="superscript"/>
                      <w:lang w:val="uk-UA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  <w:lang w:val="uk-UA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ІВ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  <w:lang w:val="uk-UA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lang w:val="uk-U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КД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</m:sSub>
            </m:oMath>
            <w:r w:rsidR="005933B5" w:rsidRPr="004342A4"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="005933B5" w:rsidRPr="004342A4">
              <w:rPr>
                <w:rFonts w:ascii="Times New Roman" w:hAnsi="Times New Roman" w:cs="Times New Roman"/>
                <w:lang w:val="uk-UA"/>
              </w:rPr>
              <w:t xml:space="preserve"> тис. грн, (23)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lastRenderedPageBreak/>
              <w:t xml:space="preserve">де 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7D9C76FA" wp14:editId="768D5A44">
                  <wp:extent cx="230075" cy="113255"/>
                  <wp:effectExtent l="0" t="0" r="0" b="0"/>
                  <wp:docPr id="48" name="Рисунок 48" descr="C:\Users\KIRILE~1\AppData\Local\Temp\GK42288_img_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IRILE~1\AppData\Local\Temp\GK42288_img_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14" cy="1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- матеріальні витрати на провадження діяльності з передачі електричної енергії на прогнозний рік, тис. грн, які розраховуються за формулою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27CCCFE0" wp14:editId="774F90E0">
                  <wp:extent cx="2305685" cy="153137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80" cy="1541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>, тис. грн, (24)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………………………………………..............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............................................................................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4275CCAC" wp14:editId="3C39C085">
                  <wp:extent cx="149726" cy="167501"/>
                  <wp:effectExtent l="0" t="0" r="0" b="0"/>
                  <wp:docPr id="50" name="Рисунок 50" descr="C:\Users\KIRILE~1\AppData\Local\Temp\GK42288_img_1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IRILE~1\AppData\Local\Temp\GK42288_img_1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7" cy="183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- амортизація на прогнозний рік, тис. грн;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0E9B8696" wp14:editId="7F86DAEA">
                  <wp:extent cx="257175" cy="164397"/>
                  <wp:effectExtent l="0" t="0" r="0" b="0"/>
                  <wp:docPr id="2" name="Рисунок 2" descr="C:\Users\KIRILE~1\AppData\Local\Temp\GK42288_img_1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IRILE~1\AppData\Local\Temp\GK42288_img_1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63" cy="16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- прогнозні витрати (доходи) від управління обмеженнями з розподілу пропускної спроможності міждержавного перетину на прогнозний рік, тис. грн;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BD7D9B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ІТС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lang w:val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–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4342A4" w:rsidRDefault="005933B5" w:rsidP="00584A70">
            <w:pPr>
              <w:pStyle w:val="rvps14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73894C93" wp14:editId="754B901F">
                  <wp:extent cx="235109" cy="200346"/>
                  <wp:effectExtent l="0" t="0" r="0" b="0"/>
                  <wp:docPr id="47" name="Рисунок 47" descr="C:\Users\KIRILE~1\AppData\Local\Temp\GK42288_img_1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IRILE~1\AppData\Local\Temp\GK42288_img_1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58" cy="2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- інші операційні витрати на прогнозний рік, тис. грн;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380D0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380D08">
              <w:rPr>
                <w:b/>
                <w:lang w:eastAsia="en-US"/>
              </w:rPr>
              <w:lastRenderedPageBreak/>
              <w:t>ГС «ПЕАУ» лист від 05.08.2022 № 04-42/2</w:t>
            </w:r>
          </w:p>
          <w:p w:rsidR="005933B5" w:rsidRPr="00380D08" w:rsidRDefault="005933B5" w:rsidP="00380D0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7.20. Розрахунок операційних витрат: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1) операційні витрати для забезпечення діяльності з передачі електричної енергії визначаються за такими економічними елементами та їх окремими складовими і розраховуються за формулою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BD7D9B" w:rsidP="00584A70">
            <w:pPr>
              <w:jc w:val="both"/>
              <w:rPr>
                <w:rFonts w:ascii="Times New Roman" w:hAnsi="Times New Roman" w:cs="Times New Roman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ОВ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МВ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ВТ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ОП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ВСЗ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УО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 xml:space="preserve">+ </m:t>
              </m:r>
              <m:sSubSup>
                <m:sSubSupPr>
                  <m:ctrlPr>
                    <w:rPr>
                      <w:rFonts w:ascii="Cambria Math" w:hAnsi="Cambria Math" w:cs="Times New Roman"/>
                      <w:highlight w:val="lightGray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highlight w:val="lightGray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highlight w:val="lightGray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highlight w:val="lightGray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highlight w:val="lightGray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ІВ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w:rPr>
                  <w:rFonts w:ascii="Cambria Math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КД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</m:t>
                  </m:r>
                </m:sub>
              </m:sSub>
            </m:oMath>
            <w:r w:rsidR="005933B5" w:rsidRPr="004342A4">
              <w:rPr>
                <w:rFonts w:ascii="Times New Roman" w:hAnsi="Times New Roman" w:cs="Times New Roman"/>
              </w:rPr>
              <w:t xml:space="preserve">, тис. </w:t>
            </w:r>
            <w:proofErr w:type="gramStart"/>
            <w:r w:rsidR="005933B5" w:rsidRPr="004342A4">
              <w:rPr>
                <w:rFonts w:ascii="Times New Roman" w:hAnsi="Times New Roman" w:cs="Times New Roman"/>
              </w:rPr>
              <w:t xml:space="preserve">грн,   </w:t>
            </w:r>
            <w:proofErr w:type="gramEnd"/>
            <w:r w:rsidR="005933B5" w:rsidRPr="004342A4">
              <w:rPr>
                <w:rFonts w:ascii="Times New Roman" w:hAnsi="Times New Roman" w:cs="Times New Roman"/>
              </w:rPr>
              <w:t xml:space="preserve">        (23)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lastRenderedPageBreak/>
              <w:t xml:space="preserve">де 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6E3072C7" wp14:editId="53B02F15">
                  <wp:extent cx="230075" cy="113255"/>
                  <wp:effectExtent l="0" t="0" r="0" b="0"/>
                  <wp:docPr id="9" name="Рисунок 9" descr="C:\Users\KIRILE~1\AppData\Local\Temp\GK42288_img_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IRILE~1\AppData\Local\Temp\GK42288_img_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14" cy="1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</w:rPr>
              <w:t xml:space="preserve"> - матеріальні витрати на провадження діяльності з передачі електричної енергії на прогнозний рік, тис. грн, які розраховуються за формулою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290B1CF6" wp14:editId="2A62C529">
                  <wp:extent cx="2305685" cy="153137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80" cy="1541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</w:rPr>
              <w:t>, тис. грн, (24)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</w:rPr>
              <w:t>……………………………………….</w:t>
            </w:r>
            <w:r w:rsidRPr="004342A4">
              <w:rPr>
                <w:rFonts w:ascii="Times New Roman" w:hAnsi="Times New Roman" w:cs="Times New Roman"/>
                <w:lang w:val="uk-UA"/>
              </w:rPr>
              <w:t>......................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2A328DC9" wp14:editId="70763454">
                  <wp:extent cx="149726" cy="167501"/>
                  <wp:effectExtent l="0" t="0" r="0" b="0"/>
                  <wp:docPr id="11" name="Рисунок 11" descr="C:\Users\KIRILE~1\AppData\Local\Temp\GK42288_img_1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IRILE~1\AppData\Local\Temp\GK42288_img_1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7" cy="183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</w:rPr>
              <w:t xml:space="preserve"> - амортизація на прогнозний рік, тис. грн;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01C27255" wp14:editId="1BA8C514">
                  <wp:extent cx="257175" cy="164397"/>
                  <wp:effectExtent l="0" t="0" r="0" b="0"/>
                  <wp:docPr id="12" name="Рисунок 12" descr="C:\Users\KIRILE~1\AppData\Local\Temp\GK42288_img_1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IRILE~1\AppData\Local\Temp\GK42288_img_1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63" cy="16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</w:rPr>
              <w:t xml:space="preserve"> - прогнозні витрати (доходи) від управління обмеженнями з розподілу пропускної спроможності міждержавного перетину на прогнозний рік, тис. грн;</w:t>
            </w:r>
          </w:p>
          <w:p w:rsidR="005933B5" w:rsidRPr="004342A4" w:rsidRDefault="00BD7D9B" w:rsidP="00584A7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bSup>
            </m:oMath>
            <w:r w:rsidR="005933B5" w:rsidRPr="004342A4">
              <w:rPr>
                <w:sz w:val="22"/>
                <w:szCs w:val="22"/>
              </w:rPr>
              <w:t xml:space="preserve"> - </w:t>
            </w:r>
            <w:r w:rsidR="005933B5" w:rsidRPr="004342A4">
              <w:rPr>
                <w:b/>
                <w:sz w:val="22"/>
                <w:szCs w:val="22"/>
              </w:rPr>
              <w:t xml:space="preserve">різниця </w:t>
            </w:r>
            <w:r w:rsidR="005933B5" w:rsidRPr="004342A4">
              <w:rPr>
                <w:rFonts w:eastAsiaTheme="minorHAnsi"/>
                <w:b/>
                <w:sz w:val="22"/>
                <w:szCs w:val="22"/>
                <w:lang w:eastAsia="en-US"/>
              </w:rPr>
              <w:t>прогнозованих витрат і доходів</w:t>
            </w:r>
            <w:r w:rsidR="005933B5" w:rsidRPr="004342A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5933B5" w:rsidRPr="004342A4">
              <w:rPr>
                <w:rFonts w:eastAsiaTheme="minorHAnsi"/>
                <w:sz w:val="22"/>
                <w:szCs w:val="22"/>
                <w:lang w:eastAsia="en-US"/>
              </w:rPr>
              <w:t>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4342A4" w:rsidRDefault="005933B5" w:rsidP="00584A7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349D4B76" wp14:editId="1164CB62">
                  <wp:extent cx="235109" cy="200346"/>
                  <wp:effectExtent l="0" t="0" r="0" b="0"/>
                  <wp:docPr id="13" name="Рисунок 13" descr="C:\Users\KIRILE~1\AppData\Local\Temp\GK42288_img_1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IRILE~1\AppData\Local\Temp\GK42288_img_1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58" cy="2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</w:rPr>
              <w:t xml:space="preserve"> - інші операційні витрати на прогнозний рік, тис. грн;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380D08" w:rsidRDefault="005933B5" w:rsidP="00380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Обгрунтування </w:t>
            </w:r>
          </w:p>
          <w:p w:rsidR="005933B5" w:rsidRPr="00380D08" w:rsidRDefault="005933B5" w:rsidP="00380D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lang w:val="uk-UA"/>
              </w:rPr>
              <w:t>(</w:t>
            </w:r>
            <w:r w:rsidRPr="00380D08">
              <w:rPr>
                <w:rFonts w:ascii="Times New Roman" w:hAnsi="Times New Roman" w:cs="Times New Roman"/>
                <w:bCs/>
                <w:i/>
              </w:rPr>
              <w:t>Редакційне уточнення.</w:t>
            </w:r>
            <w:r>
              <w:rPr>
                <w:rFonts w:ascii="Times New Roman" w:hAnsi="Times New Roman" w:cs="Times New Roman"/>
                <w:bCs/>
                <w:i/>
                <w:lang w:val="uk-UA"/>
              </w:rPr>
              <w:t>)</w:t>
            </w:r>
          </w:p>
          <w:p w:rsidR="009C0BDF" w:rsidRPr="00380D08" w:rsidRDefault="009C0BDF" w:rsidP="00380D0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5933B5" w:rsidRDefault="005933B5" w:rsidP="00380D0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380D08">
              <w:rPr>
                <w:b/>
                <w:lang w:eastAsia="en-US"/>
              </w:rPr>
              <w:t>ТОВ «Д. ТРЕЙДІНГ» лист від 09.08.2022 № 187</w:t>
            </w:r>
          </w:p>
          <w:p w:rsidR="009C0BDF" w:rsidRPr="00380D08" w:rsidRDefault="009C0BDF" w:rsidP="00380D0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7.20. Розрахунок операційних витрат:</w:t>
            </w:r>
          </w:p>
          <w:p w:rsidR="005933B5" w:rsidRPr="004342A4" w:rsidRDefault="005933B5" w:rsidP="00584A70">
            <w:pPr>
              <w:pStyle w:val="rvps1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342A4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5933B5" w:rsidRPr="004342A4" w:rsidRDefault="00BD7D9B" w:rsidP="00584A7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ITC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lightGray"/>
                    </w:rPr>
                    <m:t>n</m:t>
                  </m:r>
                </m:sup>
              </m:sSubSup>
            </m:oMath>
            <w:r w:rsidR="005933B5" w:rsidRPr="004342A4">
              <w:rPr>
                <w:sz w:val="22"/>
                <w:szCs w:val="22"/>
                <w:highlight w:val="lightGray"/>
              </w:rPr>
              <w:t xml:space="preserve"> -</w:t>
            </w:r>
            <w:r w:rsidR="005933B5" w:rsidRPr="004342A4">
              <w:rPr>
                <w:sz w:val="22"/>
                <w:szCs w:val="22"/>
              </w:rPr>
              <w:t xml:space="preserve"> </w:t>
            </w:r>
            <w:r w:rsidR="005933B5" w:rsidRPr="004342A4">
              <w:rPr>
                <w:rFonts w:eastAsiaTheme="minorHAnsi"/>
                <w:sz w:val="22"/>
                <w:szCs w:val="22"/>
                <w:lang w:eastAsia="en-US"/>
              </w:rPr>
              <w:t xml:space="preserve">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</w:t>
            </w:r>
            <w:r w:rsidR="005933B5" w:rsidRPr="004342A4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плати за доступ до системи</w:t>
            </w:r>
            <w:r w:rsidR="005933B5" w:rsidRPr="004342A4">
              <w:rPr>
                <w:rFonts w:eastAsiaTheme="minorHAnsi"/>
                <w:sz w:val="22"/>
                <w:szCs w:val="22"/>
                <w:lang w:eastAsia="en-US"/>
              </w:rPr>
              <w:t xml:space="preserve">  передачі електричної енергії до/з країн периметру, з від’ємним значенням;</w:t>
            </w:r>
          </w:p>
          <w:p w:rsidR="00B1281A" w:rsidRDefault="00B1281A" w:rsidP="00584A7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1281A" w:rsidRPr="004342A4" w:rsidRDefault="00B1281A" w:rsidP="00584A70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5933B5" w:rsidRPr="00125DBF" w:rsidRDefault="005933B5" w:rsidP="00674BC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5933B5" w:rsidRPr="00674BC1" w:rsidRDefault="005933B5" w:rsidP="00584A70">
            <w:pPr>
              <w:pStyle w:val="rvps14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7.20. Розрахунок операційних витрат: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1) операційні витрати для забезпечення діяльності з передачі електричної енергії визначаються за такими економічними елементами та їх окремими складовими і розраховуються за формулою</w:t>
            </w:r>
          </w:p>
          <w:p w:rsidR="005933B5" w:rsidRPr="004342A4" w:rsidRDefault="00BD7D9B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ОВ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МВ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ОП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ВСЗ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УО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+ 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highlight w:val="lightGray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</w:rPr>
                    <m:t>ITC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  <w:vertAlign w:val="superscript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highlight w:val="lightGray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ІВ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КД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</m:sSub>
            </m:oMath>
            <w:r w:rsidR="005933B5" w:rsidRPr="004342A4">
              <w:rPr>
                <w:rFonts w:ascii="Times New Roman" w:hAnsi="Times New Roman" w:cs="Times New Roman"/>
                <w:b/>
                <w:bCs/>
                <w:lang w:val="uk"/>
              </w:rPr>
              <w:t>,</w:t>
            </w:r>
            <w:r w:rsidR="005933B5" w:rsidRPr="004342A4">
              <w:rPr>
                <w:rFonts w:ascii="Times New Roman" w:hAnsi="Times New Roman" w:cs="Times New Roman"/>
                <w:lang w:val="uk"/>
              </w:rPr>
              <w:t xml:space="preserve"> тис. грн, (23)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 xml:space="preserve">де 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46354A81" wp14:editId="057806D1">
                  <wp:extent cx="230075" cy="113255"/>
                  <wp:effectExtent l="0" t="0" r="0" b="0"/>
                  <wp:docPr id="65" name="Рисунок 65" descr="C:\Users\KIRILE~1\AppData\Local\Temp\GK42288_img_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IRILE~1\AppData\Local\Temp\GK42288_img_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14" cy="1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"/>
              </w:rPr>
              <w:t xml:space="preserve"> - матеріальні витрати на провадження діяльності з передачі електричної енергії на прогнозний рік, тис. грн, які розраховуються за формулою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68AA2C22" wp14:editId="636BF4A2">
                  <wp:extent cx="2305685" cy="153137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80" cy="1541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"/>
              </w:rPr>
              <w:t>, тис. грн, (24)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……………………………………….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3F94D45A" wp14:editId="4BA350F1">
                  <wp:extent cx="149726" cy="167501"/>
                  <wp:effectExtent l="0" t="0" r="0" b="0"/>
                  <wp:docPr id="67" name="Рисунок 67" descr="C:\Users\KIRILE~1\AppData\Local\Temp\GK42288_img_1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IRILE~1\AppData\Local\Temp\GK42288_img_1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7" cy="183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"/>
              </w:rPr>
              <w:t xml:space="preserve"> - амортизація на прогнозний рік, тис. грн;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 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2BC64AD9" wp14:editId="71322997">
                  <wp:extent cx="257175" cy="164397"/>
                  <wp:effectExtent l="0" t="0" r="0" b="0"/>
                  <wp:docPr id="68" name="Рисунок 68" descr="C:\Users\KIRILE~1\AppData\Local\Temp\GK42288_img_1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IRILE~1\AppData\Local\Temp\GK42288_img_1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63" cy="16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"/>
              </w:rPr>
              <w:t xml:space="preserve"> - прогнозні витрати (доходи) від управління обмеженнями з розподілу пропускної спроможності міждержавного перетину на прогнозний рік, тис. грн;</w:t>
            </w:r>
          </w:p>
          <w:p w:rsidR="005933B5" w:rsidRPr="004342A4" w:rsidRDefault="005933B5" w:rsidP="00201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</w:p>
          <w:p w:rsidR="005933B5" w:rsidRPr="004342A4" w:rsidRDefault="00BD7D9B" w:rsidP="002016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lang w:val="uk-UA"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highlight w:val="lightGray"/>
                      <w:lang w:val="uk-UA" w:eastAsia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highlight w:val="lightGray"/>
                      <w:lang w:val="uk-UA" w:eastAsia="uk-UA"/>
                    </w:rPr>
                    <m:t>ITC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highlight w:val="lightGray"/>
                      <w:vertAlign w:val="superscript"/>
                      <w:lang w:val="uk-UA" w:eastAsia="uk-UA"/>
                    </w:rPr>
                    <m:t xml:space="preserve">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highlight w:val="lightGray"/>
                      <w:lang w:val="uk-UA" w:eastAsia="uk-UA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highlight w:val="lightGray"/>
                      <w:lang w:val="uk-UA" w:eastAsia="uk-UA"/>
                    </w:rPr>
                    <m:t>n</m:t>
                  </m:r>
                </m:sup>
              </m:sSubSup>
            </m:oMath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 - прогнозовані </w:t>
            </w:r>
            <w:r w:rsidR="005933B5" w:rsidRPr="00674BC1">
              <w:rPr>
                <w:rFonts w:ascii="Times New Roman" w:eastAsia="Times New Roman" w:hAnsi="Times New Roman" w:cs="Times New Roman"/>
                <w:b/>
                <w:bCs/>
                <w:highlight w:val="lightGray"/>
                <w:u w:val="single"/>
                <w:lang w:val="uk" w:eastAsia="uk-UA"/>
              </w:rPr>
              <w:t>виплати (внески) з/до фонду ІТС відповідно до Договору ІТС</w:t>
            </w:r>
            <w:r w:rsidR="005933B5" w:rsidRPr="00674BC1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uk" w:eastAsia="uk-UA"/>
              </w:rPr>
              <w:t>,</w:t>
            </w:r>
            <w:r w:rsidR="005933B5" w:rsidRPr="00674BC1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>визначені з урахуванням розрахунку, отриманого від ENTSO-E та/або здійсненого ОСП, на прогнозний рік, тис. грн.</w:t>
            </w:r>
            <w:r w:rsidR="005933B5" w:rsidRPr="004342A4">
              <w:rPr>
                <w:rFonts w:ascii="Times New Roman" w:eastAsia="Times New Roman" w:hAnsi="Times New Roman" w:cs="Times New Roman"/>
                <w:lang w:val="uk" w:eastAsia="uk-UA"/>
              </w:rPr>
              <w:t xml:space="preserve"> 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При розрахунку </w:t>
            </w:r>
            <w:r w:rsidR="005933B5" w:rsidRPr="00674BC1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uk" w:eastAsia="uk-UA"/>
              </w:rPr>
              <w:t>в</w:t>
            </w:r>
            <w:r w:rsidR="005933B5" w:rsidRPr="00674BC1">
              <w:rPr>
                <w:rFonts w:ascii="Times New Roman" w:eastAsia="Times New Roman" w:hAnsi="Times New Roman" w:cs="Times New Roman"/>
                <w:b/>
                <w:bCs/>
                <w:highlight w:val="lightGray"/>
                <w:u w:val="single"/>
                <w:lang w:val="uk" w:eastAsia="uk-UA"/>
              </w:rPr>
              <w:t>иплат (внесків) з/до фонду ІТС відповідно до Договору ІТС</w:t>
            </w:r>
            <w:r w:rsidR="005933B5"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 враховується дохід від застосування ліцензіатом ставки плати за послуги з передачі електричної енергії до/з країн периметру, з від’ємним значенням;</w:t>
            </w:r>
          </w:p>
          <w:p w:rsidR="005933B5" w:rsidRPr="004342A4" w:rsidRDefault="005933B5" w:rsidP="00201698">
            <w:pPr>
              <w:pStyle w:val="rvps14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342A4">
              <w:rPr>
                <w:rFonts w:eastAsiaTheme="minorHAnsi"/>
                <w:sz w:val="22"/>
                <w:szCs w:val="22"/>
                <w:lang w:val="uk" w:eastAsia="en-US"/>
              </w:rPr>
              <w:t> </w:t>
            </w:r>
            <w:r w:rsidRPr="004342A4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C727FFD" wp14:editId="3FA4E9BF">
                  <wp:extent cx="235109" cy="200346"/>
                  <wp:effectExtent l="0" t="0" r="0" b="0"/>
                  <wp:docPr id="69" name="Рисунок 69" descr="C:\Users\KIRILE~1\AppData\Local\Temp\GK42288_img_1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IRILE~1\AppData\Local\Temp\GK42288_img_1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58" cy="21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eastAsiaTheme="minorHAnsi"/>
                <w:sz w:val="22"/>
                <w:szCs w:val="22"/>
                <w:lang w:val="uk" w:eastAsia="en-US"/>
              </w:rPr>
              <w:t xml:space="preserve"> - інші операційні витрати на прогнозний рік, тис. грн;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Default="005933B5" w:rsidP="00380D0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Default="005933B5" w:rsidP="00B12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125DBF" w:rsidRDefault="005933B5" w:rsidP="00380D0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125DBF" w:rsidRDefault="005933B5" w:rsidP="00380D0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1281A" w:rsidRDefault="00B1281A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0A65E7" w:rsidRDefault="000A65E7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0A65E7" w:rsidRDefault="000A65E7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125DBF" w:rsidRDefault="005933B5" w:rsidP="00380D0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Pr="00B1281A" w:rsidRDefault="005933B5" w:rsidP="00B1281A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Pr="006850C9" w:rsidRDefault="005933B5" w:rsidP="00380D08">
            <w:pPr>
              <w:spacing w:line="240" w:lineRule="auto"/>
              <w:jc w:val="both"/>
              <w:rPr>
                <w:lang w:val="uk-UA"/>
              </w:rPr>
            </w:pPr>
            <w:r w:rsidRPr="006850C9">
              <w:rPr>
                <w:rFonts w:ascii="Times New Roman" w:hAnsi="Times New Roman"/>
                <w:lang w:val="uk-UA"/>
              </w:rPr>
              <w:t>Відповідно до Регламенту 838/2010 дана ставка (</w:t>
            </w:r>
            <w:r w:rsidRPr="00380D08">
              <w:rPr>
                <w:rFonts w:ascii="Times New Roman" w:hAnsi="Times New Roman"/>
                <w:lang w:val="en-US"/>
              </w:rPr>
              <w:t>perimeter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380D08">
              <w:rPr>
                <w:rFonts w:ascii="Times New Roman" w:hAnsi="Times New Roman"/>
                <w:lang w:val="en-US"/>
              </w:rPr>
              <w:t>fee</w:t>
            </w:r>
            <w:r w:rsidRPr="006850C9">
              <w:rPr>
                <w:rFonts w:ascii="Times New Roman" w:hAnsi="Times New Roman"/>
                <w:lang w:val="uk-UA"/>
              </w:rPr>
              <w:t>) є платою за користування системою передачі для імпорту/експорту до країн периметру (</w:t>
            </w:r>
            <w:r w:rsidRPr="00380D08">
              <w:rPr>
                <w:rFonts w:ascii="Times New Roman" w:hAnsi="Times New Roman"/>
                <w:lang w:val="en-US"/>
              </w:rPr>
              <w:t>transmission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380D08">
              <w:rPr>
                <w:rFonts w:ascii="Times New Roman" w:hAnsi="Times New Roman"/>
                <w:lang w:val="en-US"/>
              </w:rPr>
              <w:t>system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380D08">
              <w:rPr>
                <w:rFonts w:ascii="Times New Roman" w:hAnsi="Times New Roman"/>
                <w:lang w:val="en-US"/>
              </w:rPr>
              <w:t>use</w:t>
            </w:r>
            <w:r w:rsidRPr="006850C9">
              <w:rPr>
                <w:rFonts w:ascii="Times New Roman" w:hAnsi="Times New Roman"/>
                <w:lang w:val="uk-UA"/>
              </w:rPr>
              <w:t xml:space="preserve"> </w:t>
            </w:r>
            <w:r w:rsidRPr="00380D08">
              <w:rPr>
                <w:rFonts w:ascii="Times New Roman" w:hAnsi="Times New Roman"/>
                <w:lang w:val="en-US"/>
              </w:rPr>
              <w:t>fee</w:t>
            </w:r>
            <w:r w:rsidRPr="006850C9">
              <w:rPr>
                <w:rFonts w:ascii="Times New Roman" w:hAnsi="Times New Roman"/>
                <w:lang w:val="uk-UA"/>
              </w:rPr>
              <w:t>), що в національному законодавстві відповідає послугам з передачі електричної енергії.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C0BDF" w:rsidRDefault="009C0BDF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125DBF" w:rsidRDefault="005933B5" w:rsidP="00674BC1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lastRenderedPageBreak/>
              <w:t>Не враховано</w:t>
            </w:r>
          </w:p>
          <w:p w:rsidR="005933B5" w:rsidRPr="00674BC1" w:rsidRDefault="005933B5" w:rsidP="00674BC1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5933B5" w:rsidRPr="00674BC1" w:rsidRDefault="005933B5" w:rsidP="00674B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674BC1" w:rsidRDefault="005933B5" w:rsidP="00441482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</w:rPr>
            </w:pPr>
            <w:r w:rsidRPr="00674BC1">
              <w:rPr>
                <w:rFonts w:ascii="Times New Roman" w:hAnsi="Times New Roman" w:cs="Times New Roman"/>
                <w:lang w:val="uk-UA"/>
              </w:rPr>
              <w:t>Суть та стиль однакові, але редакція НКРЕКП вбачається більш доцільною.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933B5" w:rsidRPr="004342A4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bookmarkStart w:id="2" w:name="_Hlk101287420"/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4342A4">
              <w:rPr>
                <w:rFonts w:ascii="Times New Roman" w:hAnsi="Times New Roman" w:cs="Times New Roman"/>
                <w:i/>
                <w:lang w:val="uk-UA"/>
              </w:rPr>
              <w:t>8. Розрахунок тарифу (у тому числі на перехідний період)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Тариф на послуги з передачі електричної енергії для користувачів системи (крім підприємств «зеленої» електрометалургії) на прогнозний рік (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Cs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uk-UA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lang w:val="uk-UA"/>
                    </w:rPr>
                    <m:t>1</m:t>
                  </m:r>
                </m:sup>
              </m:sSubSup>
            </m:oMath>
            <w:r w:rsidRPr="004342A4">
              <w:rPr>
                <w:rFonts w:ascii="Times New Roman" w:hAnsi="Times New Roman" w:cs="Times New Roman"/>
                <w:lang w:val="uk-UA"/>
              </w:rPr>
              <w:t>) розраховується за формулою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BD7D9B" w:rsidP="00584A7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uk-UA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uk-UA"/>
                      </w:rPr>
                      <m:t xml:space="preserve"> t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uk-UA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18"/>
                    <w:szCs w:val="18"/>
                    <w:lang w:val="uk-UA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Cs/>
                        <w:sz w:val="18"/>
                        <w:szCs w:val="18"/>
                        <w:lang w:val="uk-U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18"/>
                            <w:szCs w:val="18"/>
                            <w:lang w:val="uk-UA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Calibri" w:hAnsi="Cambria Math" w:cs="Times New Roman"/>
                                <w:bCs/>
                                <w:sz w:val="18"/>
                                <w:szCs w:val="18"/>
                                <w:lang w:val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НД 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n</m:t>
                            </m:r>
                          </m:sup>
                        </m:sSub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  <w:lang w:val="uk-UA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 w:cs="Times New Roman"/>
                                <w:bCs/>
                                <w:sz w:val="18"/>
                                <w:szCs w:val="18"/>
                                <w:lang w:val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ЗІ 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n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eastAsia="Calibri" w:hAnsi="Cambria Math" w:cs="Times New Roman"/>
                                <w:bCs/>
                                <w:sz w:val="18"/>
                                <w:szCs w:val="18"/>
                                <w:lang w:val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n</m:t>
                            </m:r>
                          </m:sup>
                        </m:sSubSup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uk-UA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18"/>
                            <w:szCs w:val="18"/>
                            <w:lang w:val="uk-UA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Calibri" w:hAnsi="Cambria Math" w:cs="Times New Roman"/>
                                <w:bCs/>
                                <w:sz w:val="18"/>
                                <w:szCs w:val="18"/>
                                <w:lang w:val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ЗІ 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 n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  <w:lang w:val="uk-UA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 w:cs="Times New Roman"/>
                                <w:bCs/>
                                <w:sz w:val="18"/>
                                <w:szCs w:val="18"/>
                                <w:lang w:val="uk-UA"/>
                              </w:rPr>
                            </m:ctrlPr>
                          </m:sSubSupP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 w:cs="Times New Roman"/>
                                    <w:bCs/>
                                    <w:sz w:val="18"/>
                                    <w:szCs w:val="18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  <m:t xml:space="preserve">W 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  <m:t xml:space="preserve"> n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 xml:space="preserve">-W 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  <w:lang w:val="uk-UA"/>
                              </w:rPr>
                              <m:t>t</m:t>
                            </m:r>
                          </m:sub>
                          <m:sup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  <w:lang w:val="uk-UA"/>
                                  </w:rPr>
                                  <m:t>м</m:t>
                                </m:r>
                              </m:sub>
                            </m:sSub>
                          </m:sup>
                        </m:sSub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  <w:lang w:val="uk-UA"/>
                          </w:rPr>
                          <m:t>)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val="uk-UA"/>
                  </w:rPr>
                  <m:t>х 1000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18"/>
                    <w:szCs w:val="18"/>
                    <w:lang w:val="uk-UA"/>
                  </w:rPr>
                  <m:t>,г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val="uk-UA"/>
                  </w:rPr>
                  <m:t>рн/МВт·год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18"/>
                    <w:szCs w:val="18"/>
                    <w:lang w:val="uk-UA"/>
                  </w:rPr>
                  <m:t xml:space="preserve">, 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Cs/>
                        <w:sz w:val="18"/>
                        <w:szCs w:val="18"/>
                        <w:lang w:val="uk-U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uk-UA"/>
                      </w:rPr>
                      <m:t>26</m:t>
                    </m: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uk-UA" w:eastAsia="ru-RU"/>
                      </w:rPr>
                    </m:ctrlPr>
                  </m:e>
                </m:d>
              </m:oMath>
            </m:oMathPara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ЗІ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зел </m:t>
                  </m:r>
                  <m: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lang w:val="uk-UA"/>
                    </w:rPr>
                    <m:t>n</m:t>
                  </m:r>
                </m:sup>
              </m:sSubSup>
            </m:oMath>
            <w:r w:rsidRPr="004342A4">
              <w:rPr>
                <w:rFonts w:ascii="Times New Roman" w:hAnsi="Times New Roman" w:cs="Times New Roman"/>
                <w:lang w:val="uk-UA"/>
              </w:rPr>
              <w:t xml:space="preserve"> – прогнозовані витрати на виконання спеціальних обов’язків із забезпечення збільшення частки виробництва електричної енергії з альтернативних джерел енергії (для приватних домогосподарств та крім приватних домогосподарств) на прогнозний рік, тис. грн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hAnsi="Times New Roman" w:cs="Times New Roman"/>
                <w:b/>
                <w:lang w:val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lang w:val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W 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 n</m:t>
                  </m:r>
                </m:sup>
              </m:sSubSup>
            </m:oMath>
            <w:r w:rsidRPr="004342A4">
              <w:rPr>
                <w:rFonts w:ascii="Times New Roman" w:hAnsi="Times New Roman" w:cs="Times New Roman"/>
                <w:b/>
                <w:lang w:val="uk-UA"/>
              </w:rPr>
              <w:t xml:space="preserve"> – прогнозований обсяг передачі електричної енергії, на прогнозний рік, МВт·год;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BD7D9B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lang w:val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W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uk-UA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uk-UA"/>
                    </w:rPr>
                    <m:t xml:space="preserve"> n_м</m:t>
                  </m:r>
                </m:sup>
              </m:sSubSup>
            </m:oMath>
            <w:r w:rsidR="005933B5" w:rsidRPr="004342A4">
              <w:rPr>
                <w:rFonts w:ascii="Times New Roman" w:hAnsi="Times New Roman" w:cs="Times New Roman"/>
                <w:lang w:val="uk-UA"/>
              </w:rPr>
              <w:t xml:space="preserve"> – прогнозований обсяг споживання підприємств «зеленої» електрометалургії на прогнозний рік, МВт·год.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……………………………….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 xml:space="preserve">Тариф на послуги з передачі електричної енергії для підприємств "зеленої" електрометалургії на прогнозний рік </w:t>
            </w:r>
            <w:r w:rsidRPr="004342A4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 wp14:anchorId="313F5235" wp14:editId="65418A3A">
                  <wp:extent cx="240632" cy="139202"/>
                  <wp:effectExtent l="0" t="0" r="0" b="0"/>
                  <wp:docPr id="1" name="Рисунок 1" descr="C:\Users\KIRILE~1\AppData\Local\Temp\GK42288_IMG_1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RILE~1\AppData\Local\Temp\GK42288_IMG_1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4" cy="141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розраховується за формулою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tbl>
            <w:tblPr>
              <w:tblW w:w="2561" w:type="dxa"/>
              <w:tblLayout w:type="fixed"/>
              <w:tblLook w:val="0000" w:firstRow="0" w:lastRow="0" w:firstColumn="0" w:lastColumn="0" w:noHBand="0" w:noVBand="0"/>
            </w:tblPr>
            <w:tblGrid>
              <w:gridCol w:w="2561"/>
            </w:tblGrid>
            <w:tr w:rsidR="005933B5" w:rsidRPr="006850C9" w:rsidTr="00F300AD">
              <w:trPr>
                <w:trHeight w:val="412"/>
              </w:trPr>
              <w:tc>
                <w:tcPr>
                  <w:tcW w:w="2561" w:type="dxa"/>
                </w:tcPr>
                <w:p w:rsidR="005933B5" w:rsidRPr="004342A4" w:rsidRDefault="005933B5" w:rsidP="00584A7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4342A4">
                    <w:rPr>
                      <w:rFonts w:ascii="Times New Roman" w:hAnsi="Times New Roman" w:cs="Times New Roman"/>
                      <w:b/>
                      <w:noProof/>
                      <w:lang w:val="uk-UA" w:eastAsia="uk-UA"/>
                    </w:rPr>
                    <w:drawing>
                      <wp:inline distT="0" distB="0" distL="0" distR="0" wp14:anchorId="1E60BE25" wp14:editId="006B5A93">
                        <wp:extent cx="1387971" cy="248774"/>
                        <wp:effectExtent l="0" t="0" r="0" b="0"/>
                        <wp:docPr id="3" name="Рисунок 3" descr="C:\Users\KIRILE~1\AppData\Local\Temp\GK42288_IMG_13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KIRILE~1\AppData\Local\Temp\GK42288_IMG_13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243" cy="291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42A4">
                    <w:rPr>
                      <w:rFonts w:ascii="Times New Roman" w:hAnsi="Times New Roman" w:cs="Times New Roman"/>
                      <w:b/>
                      <w:lang w:val="uk-UA"/>
                    </w:rPr>
                    <w:t> </w:t>
                  </w:r>
                </w:p>
              </w:tc>
            </w:tr>
          </w:tbl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>грн/МВт·год, (27)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9C0BDF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 xml:space="preserve">Прогнозований обсяг передачі електричної енергії визначається з урахуванням затвердженого Прогнозного балансу електроенергії об'єднаної енергосистеми України на відповідний рік, </w:t>
            </w:r>
            <w:r w:rsidRPr="004342A4">
              <w:rPr>
                <w:rFonts w:ascii="Times New Roman" w:hAnsi="Times New Roman" w:cs="Times New Roman"/>
                <w:b/>
                <w:lang w:val="uk-UA"/>
              </w:rPr>
              <w:t xml:space="preserve">Кодексу системи передачі, </w:t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інформації, наданої ліцензіатом, щодо прогнозованих та/або очікуваних фактичних (у базовому році) обсягів передачі </w:t>
            </w:r>
            <w:r w:rsidRPr="004342A4">
              <w:rPr>
                <w:rFonts w:ascii="Times New Roman" w:hAnsi="Times New Roman" w:cs="Times New Roman"/>
                <w:b/>
                <w:strike/>
                <w:lang w:val="uk-UA"/>
              </w:rPr>
              <w:t>у</w:t>
            </w:r>
            <w:r w:rsidRPr="004342A4">
              <w:rPr>
                <w:rFonts w:ascii="Times New Roman" w:hAnsi="Times New Roman" w:cs="Times New Roman"/>
                <w:lang w:val="uk-UA"/>
              </w:rPr>
              <w:t xml:space="preserve"> електричної енергії на прогнозний рік.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4342A4">
              <w:rPr>
                <w:rFonts w:ascii="Times New Roman" w:hAnsi="Times New Roman" w:cs="Times New Roman"/>
                <w:i/>
                <w:lang w:val="uk-UA"/>
              </w:rPr>
              <w:t>…..........................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342A4">
              <w:rPr>
                <w:rFonts w:ascii="Times New Roman" w:hAnsi="Times New Roman" w:cs="Times New Roman"/>
                <w:lang w:val="uk-UA"/>
              </w:rPr>
              <w:t xml:space="preserve">У разі відсутності у НКРЕКП довідки, передбаченої частиною п'ятою статті 33 Закону України "Про ринок електричної енергії", яка є підставою для встановлення НКРЕКП тарифу на послуги з передачі електричної енергії для підприємства "зеленої" </w:t>
            </w:r>
            <w:r w:rsidRPr="004342A4">
              <w:rPr>
                <w:rFonts w:ascii="Times New Roman" w:hAnsi="Times New Roman" w:cs="Times New Roman"/>
                <w:lang w:val="uk-UA"/>
              </w:rPr>
              <w:lastRenderedPageBreak/>
              <w:t>електрометалургії, тариф на послуги з передачі електричної енергії розраховується за формулою 26 цієї глави.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674BC1" w:rsidRDefault="005933B5" w:rsidP="00674BC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674BC1">
              <w:rPr>
                <w:b/>
                <w:lang w:eastAsia="en-US"/>
              </w:rPr>
              <w:t>НЕК «УКРЕНЕРГО» лист від 09.08.2022 № 01/33532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155E0" w:rsidRPr="004342A4" w:rsidRDefault="002155E0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674BC1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42A4">
              <w:rPr>
                <w:rFonts w:ascii="Times New Roman" w:hAnsi="Times New Roman" w:cs="Times New Roman"/>
                <w:b/>
                <w:bCs/>
              </w:rPr>
              <w:t>Тариф на послуги з передачі електричної енергії до/з країн периметру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3</m:t>
                  </m:r>
                </m:sup>
              </m:sSubSup>
            </m:oMath>
            <w:r w:rsidRPr="004342A4">
              <w:rPr>
                <w:rFonts w:ascii="Times New Roman" w:hAnsi="Times New Roman" w:cs="Times New Roman"/>
                <w:b/>
                <w:bCs/>
              </w:rPr>
              <w:t xml:space="preserve">) встановлюється на рівні </w:t>
            </w:r>
            <w:r w:rsidRPr="004342A4">
              <w:rPr>
                <w:rFonts w:ascii="Times New Roman" w:hAnsi="Times New Roman" w:cs="Times New Roman"/>
              </w:rPr>
              <w:t xml:space="preserve"> </w:t>
            </w:r>
            <w:r w:rsidRPr="004342A4">
              <w:rPr>
                <w:rFonts w:ascii="Times New Roman" w:hAnsi="Times New Roman" w:cs="Times New Roman"/>
                <w:b/>
                <w:bCs/>
              </w:rPr>
              <w:t xml:space="preserve">ставки плати за послуги з передачі електричної енергії до/з країн </w:t>
            </w:r>
            <w:r w:rsidRPr="004342A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периметру, отриманої оператором системи передачі від ENTSO-E (євро/МВт·год); </w:t>
            </w:r>
          </w:p>
          <w:p w:rsidR="005933B5" w:rsidRPr="004342A4" w:rsidRDefault="005933B5" w:rsidP="00674BC1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933B5" w:rsidRDefault="005933B5" w:rsidP="00674BC1">
            <w:pPr>
              <w:spacing w:after="0" w:line="240" w:lineRule="auto"/>
              <w:ind w:firstLine="13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42A4">
              <w:rPr>
                <w:rFonts w:ascii="Times New Roman" w:hAnsi="Times New Roman" w:cs="Times New Roman"/>
                <w:b/>
                <w:bCs/>
              </w:rPr>
              <w:t xml:space="preserve">Тариф на послуги з передачі електричної енергії до/з країн периметру застосовується до учасників ринку, які здійснюють експорт/імпорт електричної енергії до/з країн периметру, в обсягах експорту/імпорту </w:t>
            </w:r>
            <w:proofErr w:type="gramStart"/>
            <w:r w:rsidRPr="004342A4">
              <w:rPr>
                <w:rFonts w:ascii="Times New Roman" w:hAnsi="Times New Roman" w:cs="Times New Roman"/>
                <w:b/>
                <w:bCs/>
              </w:rPr>
              <w:t>електричної  енергії</w:t>
            </w:r>
            <w:proofErr w:type="gramEnd"/>
            <w:r w:rsidRPr="004342A4">
              <w:rPr>
                <w:rFonts w:ascii="Times New Roman" w:hAnsi="Times New Roman" w:cs="Times New Roman"/>
                <w:b/>
                <w:bCs/>
              </w:rPr>
              <w:t xml:space="preserve"> до/з країн периметру.</w:t>
            </w:r>
          </w:p>
          <w:p w:rsidR="002A7EF0" w:rsidRPr="004342A4" w:rsidRDefault="002A7EF0" w:rsidP="00674BC1">
            <w:pPr>
              <w:spacing w:after="0" w:line="240" w:lineRule="auto"/>
              <w:ind w:firstLine="13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933B5" w:rsidRDefault="005933B5" w:rsidP="00674BC1">
            <w:pPr>
              <w:spacing w:after="0" w:line="240" w:lineRule="auto"/>
              <w:ind w:firstLine="13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42A4">
              <w:rPr>
                <w:rFonts w:ascii="Times New Roman" w:hAnsi="Times New Roman" w:cs="Times New Roman"/>
                <w:b/>
                <w:bCs/>
              </w:rPr>
              <w:t xml:space="preserve">Дохід від тарифу на послуги з передачі електричної енергії </w:t>
            </w:r>
            <w:proofErr w:type="gramStart"/>
            <w:r w:rsidRPr="004342A4">
              <w:rPr>
                <w:rFonts w:ascii="Times New Roman" w:hAnsi="Times New Roman" w:cs="Times New Roman"/>
                <w:b/>
                <w:bCs/>
              </w:rPr>
              <w:t>до/з</w:t>
            </w:r>
            <w:proofErr w:type="gramEnd"/>
            <w:r w:rsidRPr="004342A4">
              <w:rPr>
                <w:rFonts w:ascii="Times New Roman" w:hAnsi="Times New Roman" w:cs="Times New Roman"/>
                <w:b/>
                <w:bCs/>
              </w:rPr>
              <w:t xml:space="preserve"> країн периметру враховується при розрахунку суми внеску оператора системи передачі до фонду ІТС.</w:t>
            </w:r>
          </w:p>
          <w:p w:rsidR="005933B5" w:rsidRDefault="005933B5" w:rsidP="00674BC1">
            <w:pPr>
              <w:spacing w:after="0" w:line="240" w:lineRule="auto"/>
              <w:ind w:firstLine="13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933B5" w:rsidRPr="00380D08" w:rsidRDefault="005933B5" w:rsidP="00674B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Обгрунтування </w:t>
            </w:r>
          </w:p>
          <w:p w:rsidR="005933B5" w:rsidRPr="00674BC1" w:rsidRDefault="005933B5" w:rsidP="00674B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74BC1">
              <w:rPr>
                <w:rFonts w:ascii="Times New Roman" w:hAnsi="Times New Roman" w:cs="Times New Roman"/>
                <w:i/>
              </w:rPr>
              <w:t>Не враховане положення</w:t>
            </w:r>
          </w:p>
          <w:p w:rsidR="005933B5" w:rsidRPr="004342A4" w:rsidRDefault="005933B5" w:rsidP="00684F8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Pr="00125DBF" w:rsidRDefault="005933B5" w:rsidP="00684F86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2155E0" w:rsidRPr="002155E0" w:rsidRDefault="005933B5" w:rsidP="002155E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3749BE" w:rsidRPr="002A7EF0" w:rsidRDefault="002155E0" w:rsidP="002155E0">
            <w:pPr>
              <w:pStyle w:val="rvps2"/>
              <w:shd w:val="clear" w:color="auto" w:fill="FFFFFF"/>
              <w:spacing w:before="0" w:beforeAutospacing="0" w:after="0" w:afterAutospacing="0"/>
              <w:ind w:right="85" w:firstLine="268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7EF0">
              <w:rPr>
                <w:rFonts w:eastAsiaTheme="minorHAnsi"/>
                <w:sz w:val="22"/>
                <w:szCs w:val="22"/>
                <w:lang w:eastAsia="en-US"/>
              </w:rPr>
              <w:t>Ставк</w:t>
            </w:r>
            <w:r w:rsidR="000A65E7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2A7EF0">
              <w:rPr>
                <w:rFonts w:eastAsiaTheme="minorHAnsi"/>
                <w:sz w:val="22"/>
                <w:szCs w:val="22"/>
                <w:lang w:eastAsia="en-US"/>
              </w:rPr>
              <w:t xml:space="preserve"> плати за послуги з передачі електричної енергії до/з країн периметру розраховується ENTSO-E відповідно до Регламенту Комісії (ЄС)  </w:t>
            </w:r>
            <w:r w:rsidRPr="002A7EF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№ 838/2010 від 23 вересня 2010 року та встановлення тарифу на послуги з передачі електричної енергії до/з країн периметру </w:t>
            </w:r>
            <w:r w:rsidR="003749BE" w:rsidRPr="002A7EF0">
              <w:rPr>
                <w:rFonts w:eastAsiaTheme="minorHAnsi"/>
                <w:sz w:val="22"/>
                <w:szCs w:val="22"/>
                <w:lang w:eastAsia="en-US"/>
              </w:rPr>
              <w:t>є недоцільним</w:t>
            </w:r>
            <w:r w:rsidRPr="002A7EF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5933B5" w:rsidRPr="002A7EF0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3749BE" w:rsidRDefault="003749BE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2A7EF0" w:rsidRDefault="002A7EF0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3749BE" w:rsidRPr="002155E0" w:rsidRDefault="003749BE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155E0">
              <w:rPr>
                <w:rFonts w:ascii="Times New Roman" w:hAnsi="Times New Roman" w:cs="Times New Roman"/>
                <w:lang w:val="uk-UA"/>
              </w:rPr>
              <w:t>Дублює норму</w:t>
            </w:r>
            <w:r w:rsidR="000A65E7">
              <w:rPr>
                <w:rFonts w:ascii="Times New Roman" w:hAnsi="Times New Roman" w:cs="Times New Roman"/>
                <w:lang w:val="uk-UA"/>
              </w:rPr>
              <w:t>,</w:t>
            </w:r>
            <w:r w:rsidRPr="002155E0">
              <w:rPr>
                <w:rFonts w:ascii="Times New Roman" w:hAnsi="Times New Roman" w:cs="Times New Roman"/>
                <w:lang w:val="uk-UA"/>
              </w:rPr>
              <w:t xml:space="preserve"> передбачену </w:t>
            </w:r>
            <w:r w:rsidR="002155E0">
              <w:rPr>
                <w:rFonts w:ascii="Times New Roman" w:hAnsi="Times New Roman" w:cs="Times New Roman"/>
                <w:lang w:val="uk-UA"/>
              </w:rPr>
              <w:t>в</w:t>
            </w:r>
            <w:r w:rsidRPr="002155E0">
              <w:rPr>
                <w:rFonts w:ascii="Times New Roman" w:hAnsi="Times New Roman" w:cs="Times New Roman"/>
                <w:lang w:val="uk-UA"/>
              </w:rPr>
              <w:t xml:space="preserve"> пункті 7.20</w:t>
            </w: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bookmarkEnd w:id="2"/>
      <w:tr w:rsidR="005933B5" w:rsidRPr="004342A4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4342A4">
              <w:rPr>
                <w:rFonts w:ascii="Times New Roman" w:hAnsi="Times New Roman" w:cs="Times New Roman"/>
                <w:i/>
                <w:lang w:val="uk-UA"/>
              </w:rPr>
              <w:lastRenderedPageBreak/>
              <w:t>Додаток 14 до Порядку встановлення (формування) тарифу на послуги з передачі електричної енергії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3"/>
              <w:gridCol w:w="1669"/>
              <w:gridCol w:w="567"/>
              <w:gridCol w:w="283"/>
              <w:gridCol w:w="284"/>
              <w:gridCol w:w="317"/>
            </w:tblGrid>
            <w:tr w:rsidR="005933B5" w:rsidRPr="004342A4" w:rsidTr="001553EE">
              <w:tc>
                <w:tcPr>
                  <w:tcW w:w="623" w:type="dxa"/>
                </w:tcPr>
                <w:p w:rsidR="005933B5" w:rsidRPr="004342A4" w:rsidRDefault="005933B5" w:rsidP="00584A70">
                  <w:pPr>
                    <w:jc w:val="center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 w:rsidRPr="004342A4">
                    <w:rPr>
                      <w:rFonts w:ascii="Times New Roman" w:hAnsi="Times New Roman" w:cs="Times New Roman"/>
                      <w:b/>
                      <w:lang w:val="en-US"/>
                    </w:rPr>
                    <w:t>1.7</w:t>
                  </w:r>
                </w:p>
              </w:tc>
              <w:tc>
                <w:tcPr>
                  <w:tcW w:w="1669" w:type="dxa"/>
                </w:tcPr>
                <w:p w:rsidR="005933B5" w:rsidRPr="004342A4" w:rsidRDefault="005933B5" w:rsidP="00584A70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4342A4">
                    <w:rPr>
                      <w:rFonts w:ascii="Times New Roman" w:hAnsi="Times New Roman" w:cs="Times New Roman"/>
                      <w:b/>
                      <w:lang w:val="uk-UA"/>
                    </w:rPr>
                    <w:t>Витрати (доходи) за Договором ІТС</w:t>
                  </w:r>
                </w:p>
              </w:tc>
              <w:tc>
                <w:tcPr>
                  <w:tcW w:w="567" w:type="dxa"/>
                </w:tcPr>
                <w:p w:rsidR="005933B5" w:rsidRPr="004342A4" w:rsidRDefault="005933B5" w:rsidP="00584A70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4342A4">
                    <w:rPr>
                      <w:rFonts w:ascii="Times New Roman" w:hAnsi="Times New Roman" w:cs="Times New Roman"/>
                      <w:b/>
                      <w:lang w:val="uk-UA"/>
                    </w:rPr>
                    <w:t>тис. грн</w:t>
                  </w:r>
                </w:p>
              </w:tc>
              <w:tc>
                <w:tcPr>
                  <w:tcW w:w="283" w:type="dxa"/>
                </w:tcPr>
                <w:p w:rsidR="005933B5" w:rsidRPr="004342A4" w:rsidRDefault="005933B5" w:rsidP="00584A70">
                  <w:pPr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284" w:type="dxa"/>
                </w:tcPr>
                <w:p w:rsidR="005933B5" w:rsidRPr="004342A4" w:rsidRDefault="005933B5" w:rsidP="00584A70">
                  <w:pPr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317" w:type="dxa"/>
                </w:tcPr>
                <w:p w:rsidR="005933B5" w:rsidRPr="004342A4" w:rsidRDefault="005933B5" w:rsidP="00584A70">
                  <w:pPr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</w:tr>
          </w:tbl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4342A4">
              <w:rPr>
                <w:rFonts w:ascii="Times New Roman" w:hAnsi="Times New Roman" w:cs="Times New Roman"/>
                <w:b/>
                <w:lang w:val="uk-UA"/>
              </w:rPr>
              <w:t>пункт 8 «Обсяг передачі електричної енергії»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125DBF" w:rsidRDefault="005933B5" w:rsidP="00E04CF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5933B5" w:rsidRPr="00674BC1" w:rsidRDefault="005933B5" w:rsidP="00E04CF4">
            <w:pPr>
              <w:pStyle w:val="rvps14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342A4">
              <w:rPr>
                <w:rFonts w:ascii="Times New Roman" w:hAnsi="Times New Roman" w:cs="Times New Roman"/>
                <w:i/>
                <w:iCs/>
                <w:lang w:val="uk"/>
              </w:rPr>
              <w:t>Додаток 14 до Порядку встановлення (формування) тарифу на послуги з передачі електричної енергії</w:t>
            </w:r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  <w:lang w:val="uk"/>
              </w:rPr>
              <w:t>після пункту 1.6 доповнити новим пунком 1.7 у такій редакції</w:t>
            </w:r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342A4">
              <w:rPr>
                <w:rFonts w:ascii="Times New Roman" w:hAnsi="Times New Roman" w:cs="Times New Roman"/>
                <w:b/>
                <w:bCs/>
                <w:lang w:val="uk"/>
              </w:rPr>
              <w:t>«1.</w:t>
            </w:r>
            <w:bookmarkStart w:id="3" w:name="_Hlk107918338"/>
            <w:r w:rsidRPr="004342A4">
              <w:rPr>
                <w:rFonts w:ascii="Times New Roman" w:hAnsi="Times New Roman" w:cs="Times New Roman"/>
                <w:b/>
                <w:bCs/>
                <w:lang w:val="uk"/>
              </w:rPr>
              <w:t>7 «</w:t>
            </w:r>
            <w:r w:rsidRPr="00E04CF4">
              <w:rPr>
                <w:rFonts w:ascii="Times New Roman" w:hAnsi="Times New Roman" w:cs="Times New Roman"/>
                <w:b/>
                <w:bCs/>
                <w:highlight w:val="lightGray"/>
                <w:u w:val="single"/>
                <w:lang w:val="uk"/>
              </w:rPr>
              <w:t>Виплати (внески) з/до фонду ІТС відповідно до Договору ІТС</w:t>
            </w:r>
            <w:r w:rsidRPr="00E04CF4">
              <w:rPr>
                <w:rFonts w:ascii="Times New Roman" w:hAnsi="Times New Roman" w:cs="Times New Roman"/>
                <w:b/>
                <w:bCs/>
                <w:lang w:val="uk"/>
              </w:rPr>
              <w:t xml:space="preserve">, </w:t>
            </w:r>
            <w:r w:rsidRPr="004342A4">
              <w:rPr>
                <w:rFonts w:ascii="Times New Roman" w:hAnsi="Times New Roman" w:cs="Times New Roman"/>
                <w:b/>
                <w:bCs/>
                <w:lang w:val="uk"/>
              </w:rPr>
              <w:t>тис. грн»</w:t>
            </w:r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" w:name="_Hlk108514418"/>
            <w:bookmarkEnd w:id="3"/>
            <w:r w:rsidRPr="004342A4">
              <w:rPr>
                <w:rFonts w:ascii="Times New Roman" w:hAnsi="Times New Roman" w:cs="Times New Roman"/>
                <w:b/>
                <w:bCs/>
                <w:lang w:val="uk"/>
              </w:rPr>
              <w:t>У зв’язку з цим пункти 1.7 та 1.8 вважати пунктами 1.8 та 1.9 відповідно</w:t>
            </w:r>
            <w:bookmarkEnd w:id="4"/>
          </w:p>
          <w:p w:rsidR="005933B5" w:rsidRPr="004342A4" w:rsidRDefault="005933B5" w:rsidP="00DD10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3B5" w:rsidRPr="00125DBF" w:rsidRDefault="005933B5" w:rsidP="00E04CF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Default="005933B5" w:rsidP="00E04CF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3749BE" w:rsidRDefault="003749BE" w:rsidP="00E04CF4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982640" w:rsidRPr="00674BC1" w:rsidRDefault="00982640" w:rsidP="00982640">
            <w:pPr>
              <w:spacing w:line="240" w:lineRule="auto"/>
              <w:ind w:firstLine="270"/>
              <w:jc w:val="both"/>
              <w:rPr>
                <w:rFonts w:ascii="Times New Roman" w:hAnsi="Times New Roman" w:cs="Times New Roman"/>
              </w:rPr>
            </w:pPr>
            <w:r w:rsidRPr="00674BC1">
              <w:rPr>
                <w:rFonts w:ascii="Times New Roman" w:hAnsi="Times New Roman" w:cs="Times New Roman"/>
                <w:lang w:val="uk-UA"/>
              </w:rPr>
              <w:t>Суть та стиль однакові, але редакція НКРЕКП вбачається більш доцільною.</w:t>
            </w:r>
          </w:p>
          <w:p w:rsidR="005933B5" w:rsidRPr="004342A4" w:rsidRDefault="005933B5" w:rsidP="00584A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04A0" w:rsidRPr="004342A4" w:rsidTr="004F1D81">
        <w:tc>
          <w:tcPr>
            <w:tcW w:w="15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4A0" w:rsidRPr="003504A0" w:rsidRDefault="003504A0" w:rsidP="003504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"/>
              </w:rPr>
              <w:t>Постанова НКРЕКП від 22.04.2019 № 586 «Про затвердження Порядку формування тарифу на послуги з диспетчерського (оперативно-технологічного) управління»</w:t>
            </w:r>
          </w:p>
        </w:tc>
      </w:tr>
      <w:tr w:rsidR="005933B5" w:rsidRPr="004342A4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Default="005933B5" w:rsidP="005410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  <w:p w:rsidR="005933B5" w:rsidRDefault="005933B5" w:rsidP="005410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  <w:p w:rsidR="005933B5" w:rsidRPr="004342A4" w:rsidRDefault="005933B5" w:rsidP="005410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 Загальні положення</w:t>
            </w: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>1.2. У цьому Порядку терміни вживаються в таких значеннях:</w:t>
            </w:r>
          </w:p>
          <w:p w:rsidR="005933B5" w:rsidRPr="004342A4" w:rsidRDefault="005933B5" w:rsidP="00584A70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sz w:val="22"/>
                <w:szCs w:val="22"/>
                <w:lang w:val="ru-RU" w:eastAsia="en-US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-UA"/>
              </w:rPr>
              <w:t>……….</w:t>
            </w:r>
          </w:p>
          <w:p w:rsidR="005933B5" w:rsidRPr="004342A4" w:rsidRDefault="005933B5" w:rsidP="00584A7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 w:cs="Times New Roman"/>
                <w:b/>
                <w:lang w:val="uk-UA"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  <w:lang w:val="uk-UA"/>
              </w:rPr>
              <w:t>тариф на послуги з диспетчерського (оперативно-технологічного) управління (далі – тариф) – розмір плати в розрахунку на одиницю обсягу передачі електричної енергії та обсягу відпущеної електричної енергії виробниками електричної енергії, визначених згідно з цим Порядком, що забезпечує відшкодування суб'єкту господарювання обґрунтованих витрат на провадження діяльності з оперативно-технологічного управління ОЕС України, а також отримання прибутку.»;</w:t>
            </w: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………………………………………</w:t>
            </w: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5933B5" w:rsidRPr="004342A4" w:rsidRDefault="005933B5" w:rsidP="001312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C76" w:rsidRDefault="00264C76" w:rsidP="00264C7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264C76" w:rsidRDefault="00264C76" w:rsidP="00264C7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B72CBC">
              <w:rPr>
                <w:b/>
                <w:lang w:eastAsia="en-US"/>
              </w:rPr>
              <w:t>НЕК «УКРЕНЕРГО» лист від 09.08.2022  № 01/33532</w:t>
            </w:r>
          </w:p>
          <w:p w:rsidR="00264C76" w:rsidRPr="00B72CBC" w:rsidRDefault="00264C76" w:rsidP="00264C7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264C76" w:rsidRPr="004342A4" w:rsidRDefault="00264C76" w:rsidP="00264C76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>1.2. У цьому Порядку терміни вживаються в таких значеннях:</w:t>
            </w:r>
          </w:p>
          <w:p w:rsidR="00264C76" w:rsidRPr="006600E1" w:rsidRDefault="00264C76" w:rsidP="00264C76">
            <w:pPr>
              <w:spacing w:after="0" w:line="240" w:lineRule="auto"/>
              <w:ind w:left="-113" w:right="-104" w:firstLine="11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  <w:r w:rsidRPr="006600E1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.....................................................</w:t>
            </w:r>
          </w:p>
          <w:p w:rsidR="00264C76" w:rsidRDefault="00264C76" w:rsidP="00264C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  <w:t xml:space="preserve">Тариф на послуги з диспетчерського (оперативно-технологічного) управління (далі - тариф) – розмір плати в розрахунку на одиницю обсягу передачі електричної енергії та обсягу відпущеної електричної енергії виробниками електричної енергії, визначених згідно з цим Порядком, що забезпечує відшкодування суб'єкту господарювання обґрунтованих витрат на провадження діяльності з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>диспетчерського (</w:t>
            </w:r>
            <w:r w:rsidRPr="004342A4"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  <w:t>оперативно-технологічного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>)</w:t>
            </w:r>
            <w:r w:rsidRPr="004342A4"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  <w:t xml:space="preserve"> управління ОЕС України, а також отримання прибутку.</w:t>
            </w:r>
          </w:p>
          <w:p w:rsidR="00264C76" w:rsidRDefault="00264C76" w:rsidP="00264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264C76" w:rsidRPr="00B72CBC" w:rsidRDefault="00264C76" w:rsidP="00264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Обгрунтування </w:t>
            </w:r>
          </w:p>
          <w:p w:rsidR="00264C76" w:rsidRDefault="00264C76" w:rsidP="00264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1B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Приведено у відповідність </w:t>
            </w:r>
            <w:proofErr w:type="gramStart"/>
            <w:r w:rsidRPr="001B1B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до пункту</w:t>
            </w:r>
            <w:proofErr w:type="gramEnd"/>
            <w:r w:rsidRPr="001B1B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12 частини третьої статті 33 Закону України «Про ринок електричної енергії».</w:t>
            </w:r>
          </w:p>
          <w:p w:rsidR="00264C76" w:rsidRDefault="00264C76" w:rsidP="00B7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64C76" w:rsidRDefault="00264C76" w:rsidP="00B7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64C76" w:rsidRDefault="00264C76" w:rsidP="00B7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64C76" w:rsidRDefault="00264C76" w:rsidP="00B7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933B5" w:rsidRPr="00B72CBC" w:rsidRDefault="005933B5" w:rsidP="00B7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ГС «ПЕАУ» лист від 05.08.2022 № 04-42/2</w:t>
            </w:r>
          </w:p>
          <w:p w:rsidR="005933B5" w:rsidRPr="004342A4" w:rsidRDefault="005933B5" w:rsidP="00B72C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 Загальні положення</w:t>
            </w:r>
          </w:p>
          <w:p w:rsidR="005933B5" w:rsidRPr="004342A4" w:rsidRDefault="005933B5" w:rsidP="00B72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>1.2. У цьому Порядку терміни вживаються в таких значеннях:</w:t>
            </w:r>
          </w:p>
          <w:p w:rsidR="005933B5" w:rsidRPr="00B72CBC" w:rsidRDefault="005933B5" w:rsidP="00584A7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val="uk-UA"/>
              </w:rPr>
            </w:pPr>
            <w:r w:rsidRPr="00B72CBC">
              <w:rPr>
                <w:rFonts w:ascii="Times New Roman" w:eastAsia="Times New Roman" w:hAnsi="Times New Roman" w:cs="Times New Roman"/>
                <w:iCs/>
                <w:color w:val="000000"/>
                <w:lang w:val="uk-UA"/>
              </w:rPr>
              <w:t>..............</w:t>
            </w:r>
          </w:p>
          <w:p w:rsidR="005933B5" w:rsidRPr="004342A4" w:rsidRDefault="005933B5" w:rsidP="00584A70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B72CBC">
              <w:rPr>
                <w:b/>
                <w:bCs/>
                <w:sz w:val="22"/>
                <w:szCs w:val="22"/>
                <w:lang w:eastAsia="en-US"/>
              </w:rPr>
              <w:t>Тарифи</w:t>
            </w:r>
            <w:r w:rsidRPr="00B72CBC">
              <w:rPr>
                <w:sz w:val="22"/>
                <w:szCs w:val="22"/>
                <w:lang w:eastAsia="en-US"/>
              </w:rPr>
              <w:t xml:space="preserve"> на послуги з диспетчерського (оперативно-технологічного) управління (далі - </w:t>
            </w:r>
            <w:r w:rsidRPr="00B72CBC">
              <w:rPr>
                <w:b/>
                <w:bCs/>
                <w:sz w:val="22"/>
                <w:szCs w:val="22"/>
                <w:lang w:eastAsia="en-US"/>
              </w:rPr>
              <w:t>тарифи</w:t>
            </w:r>
            <w:r w:rsidRPr="00B72CBC">
              <w:rPr>
                <w:sz w:val="22"/>
                <w:szCs w:val="22"/>
                <w:lang w:eastAsia="en-US"/>
              </w:rPr>
              <w:t xml:space="preserve">) – </w:t>
            </w:r>
            <w:r w:rsidRPr="00B72CBC">
              <w:rPr>
                <w:b/>
                <w:bCs/>
                <w:sz w:val="22"/>
                <w:szCs w:val="22"/>
                <w:lang w:eastAsia="en-US"/>
              </w:rPr>
              <w:t>розмір</w:t>
            </w:r>
            <w:r w:rsidRPr="00B72CBC">
              <w:rPr>
                <w:sz w:val="22"/>
                <w:szCs w:val="22"/>
                <w:lang w:eastAsia="en-US"/>
              </w:rPr>
              <w:t xml:space="preserve"> плати в розрахунку на одиницю обсягу передачі електричної енергії </w:t>
            </w:r>
            <w:r w:rsidRPr="00B72CBC">
              <w:rPr>
                <w:b/>
                <w:bCs/>
                <w:sz w:val="22"/>
                <w:szCs w:val="22"/>
                <w:lang w:eastAsia="en-US"/>
              </w:rPr>
              <w:t>або</w:t>
            </w:r>
            <w:r w:rsidRPr="00B72CBC">
              <w:rPr>
                <w:sz w:val="22"/>
                <w:szCs w:val="22"/>
                <w:lang w:eastAsia="en-US"/>
              </w:rPr>
              <w:t xml:space="preserve"> обсягу відпущеної електричної енергії виробниками електричної</w:t>
            </w:r>
            <w:r w:rsidRPr="004342A4">
              <w:rPr>
                <w:sz w:val="22"/>
                <w:szCs w:val="22"/>
                <w:lang w:eastAsia="en-US"/>
              </w:rPr>
              <w:t xml:space="preserve"> енергії, визначених згідно з цим Порядком, що забезпечує відшкодування суб'єкту господарювання обґрунтованих витрат на провадження діяльності з оперативно-технологічного управління ОЕС України, а також отримання прибутку.</w:t>
            </w:r>
          </w:p>
          <w:p w:rsidR="005933B5" w:rsidRDefault="005933B5" w:rsidP="00B72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5933B5" w:rsidRPr="00B72CBC" w:rsidRDefault="005933B5" w:rsidP="00B72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Обгрунтування </w:t>
            </w:r>
          </w:p>
          <w:p w:rsidR="005933B5" w:rsidRPr="002F3E4C" w:rsidRDefault="005933B5" w:rsidP="00B72CBC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2F3E4C">
              <w:rPr>
                <w:rFonts w:ascii="Times New Roman" w:hAnsi="Times New Roman" w:cs="Times New Roman"/>
                <w:i/>
              </w:rPr>
              <w:t xml:space="preserve">Послуги з диспетчерського (оперативно-технологічного) управління не мають сплачуватись при експорті /імпорті електричної енергії, як після, так і до впровадження </w:t>
            </w:r>
            <w:r w:rsidRPr="002F3E4C">
              <w:rPr>
                <w:rFonts w:ascii="Times New Roman" w:hAnsi="Times New Roman" w:cs="Times New Roman"/>
                <w:i/>
                <w:lang w:val="en-US"/>
              </w:rPr>
              <w:t>ITC</w:t>
            </w:r>
            <w:r w:rsidRPr="002F3E4C">
              <w:rPr>
                <w:rFonts w:ascii="Times New Roman" w:hAnsi="Times New Roman" w:cs="Times New Roman"/>
                <w:i/>
              </w:rPr>
              <w:t>-механізму.  Їх сплата за змістом є обмеженням міждержавної торгівлі електроенергією, протирічить енергетичному законодавству ЄС та зобов’язанням Україн</w:t>
            </w:r>
            <w:r>
              <w:rPr>
                <w:rFonts w:ascii="Times New Roman" w:hAnsi="Times New Roman" w:cs="Times New Roman"/>
                <w:i/>
                <w:lang w:val="uk-UA"/>
              </w:rPr>
              <w:t>и.</w:t>
            </w:r>
          </w:p>
          <w:p w:rsidR="005933B5" w:rsidRPr="00B72CBC" w:rsidRDefault="005933B5" w:rsidP="00B72CB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72CBC">
              <w:rPr>
                <w:rFonts w:ascii="Times New Roman" w:hAnsi="Times New Roman" w:cs="Times New Roman"/>
                <w:i/>
              </w:rPr>
              <w:t>Відповідно до Керівництва зі спільного регуляторного підходу до стягування платежів за передачу (Частина В Додатку до Регламенту ЄС 838/2010)), платежі за передачу для виробників мають визначатись без врахування вартості платежів за допоміжні послуги. Відповідно, тарифи на послуги з диспетчерського (оперативно-технологічного) управління, до яких в Україні включається вартість допоміжних послуг, мають відрізнятись для виробників і інших користувачів системи.</w:t>
            </w:r>
          </w:p>
          <w:p w:rsidR="008904AC" w:rsidRPr="002F3E4C" w:rsidRDefault="008904AC" w:rsidP="008904A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8904AC" w:rsidRDefault="008904AC" w:rsidP="008904A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2F3E4C">
              <w:rPr>
                <w:b/>
                <w:lang w:eastAsia="en-US"/>
              </w:rPr>
              <w:t>ТОВ «Д. ТРЕЙДІНГ» лист від 09.08.2022 № 187</w:t>
            </w:r>
          </w:p>
          <w:p w:rsidR="008904AC" w:rsidRDefault="008904AC" w:rsidP="00890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8904AC" w:rsidRPr="008904AC" w:rsidRDefault="008904AC" w:rsidP="008904AC">
            <w:pPr>
              <w:spacing w:after="0" w:line="240" w:lineRule="auto"/>
              <w:jc w:val="both"/>
              <w:rPr>
                <w:rStyle w:val="fontstyle01"/>
                <w:b/>
              </w:rPr>
            </w:pPr>
            <w:r w:rsidRPr="008904AC">
              <w:rPr>
                <w:rStyle w:val="fontstyle01"/>
                <w:b/>
              </w:rPr>
              <w:t>Коментар</w:t>
            </w:r>
            <w:r>
              <w:rPr>
                <w:rStyle w:val="fontstyle01"/>
                <w:rFonts w:asciiTheme="minorHAnsi" w:hAnsiTheme="minorHAnsi"/>
                <w:b/>
                <w:lang w:val="uk-UA"/>
              </w:rPr>
              <w:t xml:space="preserve"> </w:t>
            </w:r>
            <w:proofErr w:type="gramStart"/>
            <w:r w:rsidRPr="008904AC">
              <w:rPr>
                <w:rStyle w:val="fontstyle01"/>
              </w:rPr>
              <w:t>до</w:t>
            </w:r>
            <w:r>
              <w:rPr>
                <w:rStyle w:val="fontstyle01"/>
                <w:rFonts w:asciiTheme="minorHAnsi" w:hAnsiTheme="minorHAnsi"/>
                <w:lang w:val="uk-UA"/>
              </w:rPr>
              <w:t xml:space="preserve"> </w:t>
            </w:r>
            <w:r w:rsidRPr="008904AC">
              <w:rPr>
                <w:rStyle w:val="fontstyle01"/>
              </w:rPr>
              <w:t>пункту</w:t>
            </w:r>
            <w:proofErr w:type="gramEnd"/>
            <w:r w:rsidRPr="008904AC">
              <w:rPr>
                <w:rStyle w:val="fontstyle01"/>
              </w:rPr>
              <w:t xml:space="preserve"> 1.2</w:t>
            </w:r>
          </w:p>
          <w:p w:rsidR="005933B5" w:rsidRPr="00A631E0" w:rsidRDefault="008904AC" w:rsidP="00A631E0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i/>
                <w:sz w:val="22"/>
                <w:szCs w:val="22"/>
                <w:lang w:val="ru-RU" w:eastAsia="en-US"/>
              </w:rPr>
            </w:pPr>
            <w:r w:rsidRPr="002F3E4C">
              <w:rPr>
                <w:i/>
                <w:color w:val="000000"/>
              </w:rPr>
              <w:t>Не можливість встановлення плати що є еквівалентної до мита при здійсненні експортно-імпортних операцій</w:t>
            </w:r>
          </w:p>
          <w:p w:rsidR="008904AC" w:rsidRPr="004342A4" w:rsidRDefault="008904AC" w:rsidP="008904AC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ru-RU" w:eastAsia="en-US"/>
              </w:rPr>
            </w:pPr>
          </w:p>
          <w:p w:rsidR="008904AC" w:rsidRDefault="008904AC" w:rsidP="008904A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8904AC" w:rsidRPr="00125DBF" w:rsidRDefault="008904AC" w:rsidP="008904A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8904AC" w:rsidRPr="004342A4" w:rsidRDefault="008904AC" w:rsidP="00890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>1.2. У цьому Порядку терміни вживаються в таких значеннях:</w:t>
            </w:r>
          </w:p>
          <w:p w:rsidR="008904AC" w:rsidRPr="004342A4" w:rsidRDefault="008904AC" w:rsidP="00890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lang w:val="uk"/>
              </w:rPr>
              <w:t>……….</w:t>
            </w:r>
          </w:p>
          <w:p w:rsidR="008904AC" w:rsidRPr="000F06A7" w:rsidRDefault="008904AC" w:rsidP="008904AC">
            <w:pPr>
              <w:widowControl w:val="0"/>
              <w:shd w:val="clear" w:color="auto" w:fill="FFFFFF"/>
              <w:spacing w:after="0" w:line="240" w:lineRule="auto"/>
              <w:ind w:firstLine="210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тариф на послуги з диспетчерського (оперативно-технологічного) управління (далі - тариф) – розмір плати в розрахунку на одиницю обсягу передачі електричної енергії та обсягу електричної енергії, відпущеної виробниками електричної енергії </w:t>
            </w:r>
            <w:r w:rsidRPr="002F3E4C">
              <w:rPr>
                <w:rFonts w:ascii="Times New Roman" w:eastAsia="Times New Roman" w:hAnsi="Times New Roman" w:cs="Times New Roman"/>
                <w:b/>
                <w:bCs/>
                <w:highlight w:val="lightGray"/>
                <w:u w:val="single"/>
                <w:lang w:val="uk" w:eastAsia="uk-UA"/>
              </w:rPr>
              <w:t>в систему передачі</w:t>
            </w:r>
            <w:r w:rsidRPr="002F3E4C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uk" w:eastAsia="uk-UA"/>
              </w:rPr>
              <w:t>,</w:t>
            </w:r>
            <w:r w:rsidRPr="002F3E4C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>визначених згідно з цим Порядком, що забезпечує відшкодування суб'єкту господарювання обґрунтованих витрат на провадження діяльності з оперативно-технологічного управління ОЕС України, а також отримання прибутку.</w:t>
            </w:r>
          </w:p>
          <w:p w:rsidR="008904AC" w:rsidRPr="00BB2541" w:rsidRDefault="008904AC" w:rsidP="00890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………………………………………</w:t>
            </w:r>
          </w:p>
          <w:p w:rsidR="008904AC" w:rsidRDefault="008904AC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val="uk-UA"/>
              </w:rPr>
            </w:pPr>
          </w:p>
          <w:p w:rsidR="008904AC" w:rsidRDefault="008904AC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val="uk-UA"/>
              </w:rPr>
            </w:pPr>
          </w:p>
          <w:p w:rsidR="00264C76" w:rsidRDefault="00264C76" w:rsidP="0058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val="uk-UA"/>
              </w:rPr>
            </w:pPr>
          </w:p>
          <w:p w:rsidR="005933B5" w:rsidRPr="00131255" w:rsidRDefault="005933B5" w:rsidP="00DA47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C76" w:rsidRDefault="00264C76" w:rsidP="00264C76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264C76" w:rsidRDefault="00264C76" w:rsidP="00264C76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264C76" w:rsidRDefault="00264C76" w:rsidP="00264C76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264C76" w:rsidRDefault="00264C76" w:rsidP="00264C76">
            <w:pPr>
              <w:pStyle w:val="rvps2"/>
              <w:widowControl w:val="0"/>
              <w:shd w:val="clear" w:color="auto" w:fill="FFFFFF"/>
              <w:spacing w:before="0" w:beforeAutospacing="0" w:after="0" w:afterAutospacing="0"/>
              <w:ind w:firstLine="2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Враховано</w:t>
            </w: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64C76" w:rsidRDefault="00264C76" w:rsidP="00264C7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8904AC" w:rsidRDefault="008904AC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904AC">
              <w:rPr>
                <w:rFonts w:ascii="Times New Roman" w:hAnsi="Times New Roman" w:cs="Times New Roman"/>
                <w:b/>
                <w:lang w:val="uk-UA"/>
              </w:rPr>
              <w:lastRenderedPageBreak/>
              <w:t xml:space="preserve">Загальна позиція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до пункту 1.2</w:t>
            </w:r>
          </w:p>
          <w:p w:rsidR="008904AC" w:rsidRPr="00125DBF" w:rsidRDefault="008904AC" w:rsidP="008904AC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8904AC" w:rsidRDefault="008904AC" w:rsidP="008904AC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8904AC" w:rsidRPr="008904AC" w:rsidRDefault="008904AC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8904AC" w:rsidRPr="00E341F8" w:rsidRDefault="001D08A3" w:rsidP="008904AC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 </w:t>
            </w:r>
            <w:r w:rsidR="008904AC" w:rsidRPr="00E341F8">
              <w:rPr>
                <w:rFonts w:ascii="Times New Roman" w:hAnsi="Times New Roman" w:cs="Times New Roman"/>
                <w:lang w:val="uk-UA"/>
              </w:rPr>
              <w:t xml:space="preserve">НКРЕКП не виступала стороною або третьою особою у справі № 910/9627/20 за позовом Акціонерного товариства «ДТЕК Західенерго» до </w:t>
            </w:r>
            <w:r w:rsidR="008904AC">
              <w:rPr>
                <w:rFonts w:ascii="Times New Roman" w:hAnsi="Times New Roman" w:cs="Times New Roman"/>
                <w:lang w:val="uk-UA"/>
              </w:rPr>
              <w:t>НЕК</w:t>
            </w:r>
            <w:r w:rsidR="008904AC" w:rsidRPr="00E341F8">
              <w:rPr>
                <w:rFonts w:ascii="Times New Roman" w:hAnsi="Times New Roman" w:cs="Times New Roman"/>
                <w:lang w:val="uk-UA"/>
              </w:rPr>
              <w:t xml:space="preserve">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8904AC" w:rsidRPr="00E341F8" w:rsidRDefault="008904AC" w:rsidP="008904AC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E341F8">
              <w:rPr>
                <w:rFonts w:ascii="Times New Roman" w:hAnsi="Times New Roman" w:cs="Times New Roman"/>
                <w:lang w:val="uk-UA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 640/3041/20.</w:t>
            </w:r>
          </w:p>
          <w:p w:rsidR="008904AC" w:rsidRPr="00E341F8" w:rsidRDefault="008904AC" w:rsidP="008904AC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E341F8">
              <w:rPr>
                <w:rFonts w:ascii="Times New Roman" w:hAnsi="Times New Roman" w:cs="Times New Roman"/>
                <w:lang w:val="uk-UA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8904AC" w:rsidRDefault="008904AC" w:rsidP="008904AC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i/>
              </w:rPr>
            </w:pPr>
          </w:p>
          <w:p w:rsidR="008904AC" w:rsidRDefault="001D08A3" w:rsidP="001D08A3">
            <w:pPr>
              <w:spacing w:after="0" w:line="240" w:lineRule="auto"/>
              <w:ind w:firstLine="266"/>
              <w:jc w:val="both"/>
              <w:rPr>
                <w:rStyle w:val="fontstyle01"/>
                <w:rFonts w:asciiTheme="minorHAnsi" w:hAnsiTheme="minorHAnsi"/>
                <w:i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2. </w:t>
            </w:r>
            <w:r w:rsidR="008904AC" w:rsidRPr="007C689A">
              <w:rPr>
                <w:rFonts w:ascii="Times New Roman" w:hAnsi="Times New Roman" w:cs="Times New Roman"/>
                <w:lang w:val="uk-UA"/>
              </w:rPr>
              <w:t xml:space="preserve">Відпвідно до </w:t>
            </w:r>
            <w:r w:rsidR="008904AC" w:rsidRPr="007C689A">
              <w:rPr>
                <w:rFonts w:ascii="Times New Roman" w:hAnsi="Times New Roman" w:cs="Times New Roman"/>
              </w:rPr>
              <w:t>Частин</w:t>
            </w:r>
            <w:r w:rsidR="008904AC" w:rsidRPr="007C689A">
              <w:rPr>
                <w:rFonts w:ascii="Times New Roman" w:hAnsi="Times New Roman" w:cs="Times New Roman"/>
                <w:lang w:val="uk-UA"/>
              </w:rPr>
              <w:t>и</w:t>
            </w:r>
            <w:r w:rsidR="008904AC" w:rsidRPr="007C689A">
              <w:rPr>
                <w:rFonts w:ascii="Times New Roman" w:hAnsi="Times New Roman" w:cs="Times New Roman"/>
              </w:rPr>
              <w:t xml:space="preserve"> В Додатку до Регламенту ЄС 838/2010</w:t>
            </w:r>
            <w:r w:rsidR="008904AC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8904AC" w:rsidRPr="00D945AD">
              <w:rPr>
                <w:rStyle w:val="fontstyle01"/>
              </w:rPr>
              <w:t>с</w:t>
            </w:r>
            <w:r w:rsidR="008904AC">
              <w:rPr>
                <w:rStyle w:val="fontstyle01"/>
              </w:rPr>
              <w:t>ередньорічна плата за передачу електроенергії, що сплачується виробниками в кожній</w:t>
            </w:r>
            <w:r w:rsidR="008904AC">
              <w:rPr>
                <w:rFonts w:ascii="TimesNewRomanPSMT" w:hAnsi="TimesNewRomanPSMT"/>
                <w:color w:val="000000"/>
              </w:rPr>
              <w:br/>
            </w:r>
            <w:r w:rsidR="008904AC">
              <w:rPr>
                <w:rStyle w:val="fontstyle01"/>
              </w:rPr>
              <w:lastRenderedPageBreak/>
              <w:t xml:space="preserve">державі-члені, повинна бути в межах діапазонів, визначених у пункті 3 </w:t>
            </w:r>
            <w:r w:rsidR="008904AC" w:rsidRPr="007C689A">
              <w:rPr>
                <w:rStyle w:val="fontstyle01"/>
                <w:rFonts w:asciiTheme="minorHAnsi" w:hAnsiTheme="minorHAnsi"/>
                <w:i/>
                <w:lang w:val="uk-UA"/>
              </w:rPr>
              <w:t>(</w:t>
            </w:r>
            <w:r w:rsidR="008904AC" w:rsidRPr="007C689A">
              <w:rPr>
                <w:rStyle w:val="fontstyle01"/>
                <w:i/>
              </w:rPr>
              <w:t>від 0 до 0,5 євро/ МВт</w:t>
            </w:r>
            <w:r w:rsidR="008904AC" w:rsidRPr="007C689A">
              <w:rPr>
                <w:rStyle w:val="fontstyle01"/>
                <w:rFonts w:ascii="Tahoma" w:hAnsi="Tahoma" w:cs="Tahoma"/>
                <w:i/>
              </w:rPr>
              <w:t>⸱</w:t>
            </w:r>
            <w:r w:rsidR="008904AC" w:rsidRPr="007C689A">
              <w:rPr>
                <w:rStyle w:val="fontstyle01"/>
                <w:i/>
              </w:rPr>
              <w:t>год, за винятком плати, що застосовується в</w:t>
            </w:r>
            <w:r w:rsidR="008904AC" w:rsidRPr="007C689A">
              <w:rPr>
                <w:rFonts w:ascii="TimesNewRomanPSMT" w:hAnsi="TimesNewRomanPSMT"/>
                <w:i/>
                <w:color w:val="000000"/>
              </w:rPr>
              <w:br/>
            </w:r>
            <w:r w:rsidR="008904AC" w:rsidRPr="007C689A">
              <w:rPr>
                <w:rStyle w:val="fontstyle01"/>
                <w:i/>
              </w:rPr>
              <w:t>Данії, Швеції, Фінляндії, Румунії, Ірландії, Великій Британії та Північній Ірландії</w:t>
            </w:r>
            <w:r w:rsidR="008904AC" w:rsidRPr="007C689A">
              <w:rPr>
                <w:rStyle w:val="fontstyle01"/>
                <w:rFonts w:asciiTheme="minorHAnsi" w:hAnsiTheme="minorHAnsi"/>
                <w:i/>
                <w:lang w:val="uk-UA"/>
              </w:rPr>
              <w:t>)</w:t>
            </w:r>
            <w:r w:rsidR="008904AC">
              <w:rPr>
                <w:rStyle w:val="fontstyle01"/>
                <w:rFonts w:asciiTheme="minorHAnsi" w:hAnsiTheme="minorHAnsi"/>
                <w:i/>
                <w:lang w:val="uk-UA"/>
              </w:rPr>
              <w:t>.</w:t>
            </w:r>
          </w:p>
          <w:p w:rsidR="005933B5" w:rsidRPr="00DA475C" w:rsidRDefault="000A65E7" w:rsidP="00DA475C">
            <w:pPr>
              <w:spacing w:after="0" w:line="240" w:lineRule="auto"/>
              <w:ind w:firstLine="266"/>
              <w:jc w:val="both"/>
              <w:rPr>
                <w:rFonts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Виходячи з витрат та обсягів </w:t>
            </w:r>
            <w:r w:rsidR="00A55269">
              <w:rPr>
                <w:rFonts w:ascii="Times New Roman" w:hAnsi="Times New Roman" w:cs="Times New Roman"/>
                <w:b/>
                <w:lang w:val="uk-UA"/>
              </w:rPr>
              <w:t>електричної енергії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врахованих в діючому тарифі на </w:t>
            </w:r>
            <w:r w:rsidR="00A55269"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>послуги з диспетчерського (оперативно-технологічного) управління</w:t>
            </w:r>
            <w:r w:rsidR="00264C76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="00D945AD" w:rsidRPr="00D945AD">
              <w:rPr>
                <w:rStyle w:val="fontstyle01"/>
                <w:lang w:val="uk-UA"/>
              </w:rPr>
              <w:t>середньорічна плата, що сплачується виробниками</w:t>
            </w:r>
            <w:r w:rsidR="00D945AD">
              <w:rPr>
                <w:rStyle w:val="fontstyle01"/>
                <w:rFonts w:asciiTheme="minorHAnsi" w:hAnsiTheme="minorHAnsi"/>
                <w:lang w:val="uk-UA"/>
              </w:rPr>
              <w:t xml:space="preserve">, </w:t>
            </w:r>
            <w:r w:rsidR="00D945AD" w:rsidRPr="004E6E70">
              <w:rPr>
                <w:rFonts w:ascii="Times New Roman" w:hAnsi="Times New Roman" w:cs="Times New Roman"/>
                <w:b/>
                <w:lang w:val="uk-UA"/>
              </w:rPr>
              <w:t>складає</w:t>
            </w:r>
            <w:r w:rsidR="00D945AD">
              <w:rPr>
                <w:rFonts w:ascii="Times New Roman" w:hAnsi="Times New Roman" w:cs="Times New Roman"/>
                <w:b/>
                <w:lang w:val="uk-UA"/>
              </w:rPr>
              <w:t xml:space="preserve"> близько</w:t>
            </w:r>
            <w:r w:rsidR="00D945AD" w:rsidRPr="004E6E7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3510A1">
              <w:rPr>
                <w:rFonts w:ascii="Times New Roman" w:hAnsi="Times New Roman" w:cs="Times New Roman"/>
                <w:b/>
                <w:lang w:val="uk-UA"/>
              </w:rPr>
              <w:br/>
            </w:r>
            <w:r w:rsidR="00D945AD" w:rsidRPr="004E6E70">
              <w:rPr>
                <w:rFonts w:ascii="Times New Roman" w:hAnsi="Times New Roman" w:cs="Times New Roman"/>
                <w:b/>
                <w:i/>
                <w:lang w:val="uk-UA"/>
              </w:rPr>
              <w:t>0,26</w:t>
            </w:r>
            <w:r w:rsidR="00D945AD" w:rsidRPr="006850C9">
              <w:rPr>
                <w:rStyle w:val="fontstyle01"/>
                <w:b/>
                <w:i/>
                <w:lang w:val="uk-UA"/>
              </w:rPr>
              <w:t xml:space="preserve"> євро/МВт</w:t>
            </w:r>
            <w:r w:rsidR="00D945AD" w:rsidRPr="004E6E70">
              <w:rPr>
                <w:rStyle w:val="fontstyle01"/>
                <w:rFonts w:ascii="Tahoma" w:hAnsi="Tahoma" w:cs="Tahoma"/>
                <w:b/>
                <w:i/>
              </w:rPr>
              <w:t>⸱</w:t>
            </w:r>
            <w:r w:rsidR="00D945AD" w:rsidRPr="006850C9">
              <w:rPr>
                <w:rStyle w:val="fontstyle01"/>
                <w:b/>
                <w:i/>
                <w:lang w:val="uk-UA"/>
              </w:rPr>
              <w:t>год</w:t>
            </w:r>
            <w:r w:rsidR="00D945AD" w:rsidRPr="004E6E70">
              <w:rPr>
                <w:rStyle w:val="fontstyle01"/>
                <w:rFonts w:asciiTheme="minorHAnsi" w:hAnsiTheme="minorHAnsi"/>
                <w:b/>
                <w:i/>
                <w:lang w:val="uk-UA"/>
              </w:rPr>
              <w:t>.</w:t>
            </w:r>
            <w:r w:rsidR="00D945AD">
              <w:rPr>
                <w:rFonts w:cs="Times New Roman"/>
                <w:lang w:val="uk-UA"/>
              </w:rPr>
              <w:t xml:space="preserve"> </w:t>
            </w:r>
            <w:r w:rsidR="00D945AD">
              <w:rPr>
                <w:rFonts w:cs="Times New Roman"/>
                <w:sz w:val="24"/>
                <w:lang w:val="uk-UA"/>
              </w:rPr>
              <w:t>(</w:t>
            </w:r>
            <w:r w:rsidR="00D945AD" w:rsidRPr="004E6E70">
              <w:rPr>
                <w:rFonts w:ascii="Times New Roman" w:hAnsi="Times New Roman" w:cs="Times New Roman"/>
                <w:lang w:val="uk-UA"/>
              </w:rPr>
              <w:t>визначен</w:t>
            </w:r>
            <w:r w:rsidR="00264C76">
              <w:rPr>
                <w:rFonts w:ascii="Times New Roman" w:hAnsi="Times New Roman" w:cs="Times New Roman"/>
                <w:lang w:val="uk-UA"/>
              </w:rPr>
              <w:t>а</w:t>
            </w:r>
            <w:r w:rsidR="00D945A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945AD" w:rsidRPr="004E6E70">
              <w:rPr>
                <w:rFonts w:ascii="Times New Roman" w:hAnsi="Times New Roman" w:cs="Times New Roman"/>
                <w:lang w:val="uk-UA"/>
              </w:rPr>
              <w:t xml:space="preserve">без </w:t>
            </w:r>
            <w:r w:rsidR="00D945AD">
              <w:rPr>
                <w:rFonts w:ascii="Times New Roman" w:hAnsi="Times New Roman" w:cs="Times New Roman"/>
                <w:lang w:val="uk-UA"/>
              </w:rPr>
              <w:t xml:space="preserve">урахування складової витрат на </w:t>
            </w:r>
            <w:r w:rsidR="00D945AD" w:rsidRPr="006850C9">
              <w:rPr>
                <w:rFonts w:ascii="Times New Roman" w:hAnsi="Times New Roman" w:cs="Times New Roman"/>
                <w:lang w:val="uk-UA"/>
              </w:rPr>
              <w:t>допоміжні послуги</w:t>
            </w:r>
            <w:r w:rsidR="00D945AD">
              <w:rPr>
                <w:rFonts w:ascii="Times New Roman" w:hAnsi="Times New Roman" w:cs="Times New Roman"/>
                <w:lang w:val="uk-UA"/>
              </w:rPr>
              <w:t xml:space="preserve"> на підставі обсягу  </w:t>
            </w:r>
            <w:r w:rsidR="00D945AD" w:rsidRPr="00E078A6">
              <w:rPr>
                <w:rFonts w:ascii="Times New Roman" w:hAnsi="Times New Roman" w:cs="Times New Roman"/>
                <w:lang w:val="uk-UA"/>
              </w:rPr>
              <w:t>виробництва (відпуску) електричної енергії</w:t>
            </w:r>
            <w:r w:rsidR="00D945AD">
              <w:rPr>
                <w:rFonts w:ascii="Times New Roman" w:hAnsi="Times New Roman" w:cs="Times New Roman"/>
                <w:lang w:val="uk-UA"/>
              </w:rPr>
              <w:t>), що відповідає межам діапазону, визначеного Регламентом.</w:t>
            </w:r>
          </w:p>
        </w:tc>
      </w:tr>
      <w:tr w:rsidR="00546255" w:rsidRPr="004342A4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2CE" w:rsidRDefault="004042CE" w:rsidP="001312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4042CE" w:rsidRDefault="004042CE" w:rsidP="001312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131255" w:rsidRPr="004342A4" w:rsidRDefault="00131255" w:rsidP="001312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color w:val="000000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</w:t>
            </w:r>
          </w:p>
          <w:p w:rsidR="00131255" w:rsidRPr="004342A4" w:rsidRDefault="00131255" w:rsidP="0013125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t>«Обсяг передачі електричної енергії визначається:</w:t>
            </w: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t>у період до приєднання оператора системи передачі України до ІТС механізму як сума обсягу передачі (споживання) електричної енергії та обсягу експорту електричної енергії;</w:t>
            </w: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t>у період після приєднання оператора системи передачі України до ІТС механізму як обсяг передачі (споживання) електричної енергії.</w:t>
            </w: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t>Обсяг відпущеної електричної енергії виробниками електричної енергії визначається:</w:t>
            </w: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lastRenderedPageBreak/>
              <w:t>у період до приєднання оператора системи передачі України до ІТС механізму як сума обсягу відпущеної електричної енергії виробниками електричної енергії з генеруючими одиницями типу В, С, D та обсягу імпорту електричної енергії;</w:t>
            </w:r>
          </w:p>
          <w:p w:rsidR="00131255" w:rsidRPr="004342A4" w:rsidRDefault="00131255" w:rsidP="00131255">
            <w:pPr>
              <w:spacing w:after="0"/>
              <w:ind w:firstLine="45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2A4">
              <w:rPr>
                <w:rFonts w:ascii="Times New Roman" w:eastAsiaTheme="minorEastAsia" w:hAnsi="Times New Roman" w:cs="Times New Roman"/>
                <w:b/>
              </w:rPr>
              <w:t>у період після приєднання оператора системи передачі України до ІТС механізму як обсяг відпущеної електричної енергії виробниками електричної енергії з генеруючими одиницями типу В, С, D.».</w:t>
            </w:r>
          </w:p>
          <w:p w:rsidR="00131255" w:rsidRPr="004342A4" w:rsidRDefault="00131255" w:rsidP="0013125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55" w:rsidRPr="004342A4" w:rsidRDefault="0054625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2CE" w:rsidRPr="00BB2541" w:rsidRDefault="004042CE" w:rsidP="004042C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2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НЕК «УКРЕНЕРГО» лист від 09.08.2022 № 01/33532</w:t>
            </w:r>
          </w:p>
          <w:p w:rsidR="004042CE" w:rsidRPr="005364DC" w:rsidRDefault="004042CE" w:rsidP="00404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</w:t>
            </w:r>
          </w:p>
          <w:p w:rsidR="004042CE" w:rsidRPr="005364DC" w:rsidRDefault="004042CE" w:rsidP="004042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 передачі електричної енергії визначається:</w:t>
            </w:r>
          </w:p>
          <w:p w:rsidR="004042CE" w:rsidRPr="005364DC" w:rsidRDefault="004042CE" w:rsidP="004042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у період до приєднання оператора системи передачі </w:t>
            </w:r>
            <w:r w:rsidRPr="00770DA6"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  <w:t>України</w:t>
            </w: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до ІТС механізму як сума обсягу передачі (споживання) електричної енергії та обсягу експорту електричної енергії;</w:t>
            </w:r>
          </w:p>
          <w:p w:rsidR="004042CE" w:rsidRPr="008E4BBC" w:rsidRDefault="004042CE" w:rsidP="004042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у період після приєднання оператора системи передачі </w:t>
            </w:r>
            <w:r w:rsidRPr="00770DA6"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  <w:t>України</w:t>
            </w: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до ІТС механізму </w:t>
            </w:r>
            <w:r w:rsidRPr="008E4BB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як обсяг передачі (споживання) електричної енергії.</w:t>
            </w:r>
          </w:p>
          <w:p w:rsidR="004042CE" w:rsidRPr="005364DC" w:rsidRDefault="004042CE" w:rsidP="004042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 відпущеної електричної енергії виробниками електричної енергії визначається:</w:t>
            </w:r>
          </w:p>
          <w:p w:rsidR="004042CE" w:rsidRPr="005364DC" w:rsidRDefault="004042CE" w:rsidP="004042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у період до приєднання оператора системи передачі </w:t>
            </w:r>
            <w:r w:rsidRPr="00770DA6"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  <w:t>України</w:t>
            </w: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до ІТС механізму як сума обсягу відпущеної електричної енергії виробниками електричної енергії з генеруючими одиницями типу В, С, D та обсягу імпорту електричної енергії;</w:t>
            </w:r>
          </w:p>
          <w:p w:rsidR="004042CE" w:rsidRDefault="004042CE" w:rsidP="004042C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 xml:space="preserve">у період після приєднання оператора системи передачі </w:t>
            </w:r>
            <w:r w:rsidRPr="00770DA6">
              <w:rPr>
                <w:rFonts w:ascii="Times New Roman" w:eastAsia="Times New Roman" w:hAnsi="Times New Roman" w:cs="Times New Roman"/>
                <w:b/>
                <w:strike/>
                <w:color w:val="000000"/>
                <w:lang w:val="uk-UA"/>
              </w:rPr>
              <w:t>України</w:t>
            </w:r>
            <w:r w:rsidRPr="005364D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до ІТС механізму </w:t>
            </w:r>
            <w:r w:rsidRPr="008E4BB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як обсяг відпущеної електричної енергії виробниками електричної енергії з генеруючими одиницями типу В, С, D.</w:t>
            </w:r>
          </w:p>
          <w:p w:rsidR="004042CE" w:rsidRDefault="004042CE" w:rsidP="001312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31255" w:rsidRPr="00BB2541" w:rsidRDefault="00131255" w:rsidP="001312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2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ГС «ПЕАУ» лист від 05.08.2022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Pr="00BB2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04-42/2</w:t>
            </w:r>
          </w:p>
          <w:p w:rsidR="00131255" w:rsidRPr="004342A4" w:rsidRDefault="00131255" w:rsidP="0013125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</w:t>
            </w:r>
          </w:p>
          <w:p w:rsidR="00131255" w:rsidRPr="00D723D2" w:rsidRDefault="00131255" w:rsidP="00D723D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</w:rPr>
              <w:t xml:space="preserve">Обсяг передачі електричної енергії визначається </w:t>
            </w:r>
            <w:r w:rsidRPr="00BB25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як обсяг передачі (споживання) електричної енергії</w:t>
            </w:r>
            <w:r w:rsidRPr="00BB2541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131255" w:rsidRPr="005364DC" w:rsidRDefault="00131255" w:rsidP="001312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Обсяг відпущеної електричної енергії виробниками  електричної енергії визначається </w:t>
            </w:r>
            <w:r w:rsidRPr="005364DC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як обсяг відпущеної електричної енергії виробниками електричної енергії з генеруючими одиницями типу В, С, </w:t>
            </w:r>
            <w:r w:rsidRPr="005364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</w:t>
            </w:r>
            <w:r w:rsidRPr="005364DC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>;</w:t>
            </w:r>
          </w:p>
          <w:p w:rsidR="00131255" w:rsidRDefault="00131255" w:rsidP="0013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uk-UA"/>
              </w:rPr>
            </w:pPr>
          </w:p>
          <w:p w:rsidR="00D723D2" w:rsidRDefault="00D723D2" w:rsidP="0013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uk-UA"/>
              </w:rPr>
            </w:pPr>
          </w:p>
          <w:p w:rsidR="00D723D2" w:rsidRPr="00770DA6" w:rsidRDefault="00D723D2" w:rsidP="00D723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0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ТОВ «Д. ТРЕЙДІНГ» лист від 09.08.2022 № 187</w:t>
            </w:r>
          </w:p>
          <w:p w:rsidR="00D723D2" w:rsidRPr="004342A4" w:rsidRDefault="00D723D2" w:rsidP="00D72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Cs/>
                <w:color w:val="000000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Обсяг передачі електричної енергії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визначається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як обсяг передачі (споживання) електричної енергії.</w:t>
            </w:r>
          </w:p>
          <w:p w:rsidR="00D723D2" w:rsidRPr="004342A4" w:rsidRDefault="00D723D2" w:rsidP="00D723D2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  <w:p w:rsidR="00D723D2" w:rsidRDefault="00D723D2" w:rsidP="00D723D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125DBF">
              <w:rPr>
                <w:b/>
                <w:lang w:eastAsia="en-US"/>
              </w:rPr>
              <w:t>Секретаріат Energy Community</w:t>
            </w:r>
          </w:p>
          <w:p w:rsidR="00D723D2" w:rsidRDefault="00D723D2" w:rsidP="00D723D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  <w:p w:rsidR="00D723D2" w:rsidRPr="006850C9" w:rsidRDefault="00D723D2" w:rsidP="00D72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color w:val="000000"/>
                <w:lang w:val="uk"/>
              </w:rPr>
              <w:t>1.4. Вартісні показники в розрахунках надаються в тис. грн з округленням до цілого числа, обсяг електричної енергії - у МВт·год з округленням до цілого числа, тариф - у грн/МВт·год з округленням до двох знаків після коми.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lastRenderedPageBreak/>
              <w:t>Обсяг передачі електричної енергії (Wп) визначається: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у період до приєднання оператора системи передачі України до ІТС механізму як сума обсягу передачі (споживання) електричної енергії та обсягу експорту електричної енергії;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у період після приєднання оператора системи передачі України до ІТС механізму як обсяг передачі (споживання) електричної енергії.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 xml:space="preserve">Обсяг електричної енергії, </w:t>
            </w:r>
            <w:r w:rsidRPr="007C629F">
              <w:rPr>
                <w:rFonts w:ascii="Times New Roman" w:eastAsia="Times New Roman" w:hAnsi="Times New Roman" w:cs="Times New Roman"/>
                <w:b/>
                <w:bCs/>
                <w:highlight w:val="lightGray"/>
                <w:u w:val="single"/>
                <w:lang w:val="uk"/>
              </w:rPr>
              <w:t>відпущеної в систему передачі</w:t>
            </w:r>
            <w:r w:rsidRPr="007C629F">
              <w:rPr>
                <w:rFonts w:ascii="Times New Roman" w:eastAsia="Times New Roman" w:hAnsi="Times New Roman" w:cs="Times New Roman"/>
                <w:b/>
                <w:bCs/>
                <w:lang w:val="uk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виробниками електричної енергії, (Wг) визначається:</w:t>
            </w:r>
          </w:p>
          <w:p w:rsidR="00D723D2" w:rsidRPr="004342A4" w:rsidRDefault="00D723D2" w:rsidP="00D723D2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у період до приєднання оператора системи передачі України до ІТС механізму як сума обсягу відпущеної електричної енергії виробниками електричної енергії з генеруючими одиницями типу В, С, D та обсягу імпорту електричної енергії;</w:t>
            </w:r>
          </w:p>
          <w:p w:rsidR="00546255" w:rsidRPr="002C1D35" w:rsidRDefault="00D723D2" w:rsidP="002C1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uk-UA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"/>
              </w:rPr>
              <w:t>у період після приєднання оператора системи передачі України до ІТС механізму як обсяг відпущеної електричної енергії виробниками електричної енергії з генеруючими одиницями типу В, С, D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CE" w:rsidRDefault="004042CE" w:rsidP="004042C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Pr="00125DBF" w:rsidRDefault="004042CE" w:rsidP="004042CE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В</w:t>
            </w: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раховано</w:t>
            </w: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042CE" w:rsidRDefault="004042CE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C1D35" w:rsidRDefault="002C1D35" w:rsidP="002C1D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723D2" w:rsidRDefault="00D723D2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904AC">
              <w:rPr>
                <w:rFonts w:ascii="Times New Roman" w:hAnsi="Times New Roman" w:cs="Times New Roman"/>
                <w:b/>
                <w:lang w:val="uk-UA"/>
              </w:rPr>
              <w:t xml:space="preserve">Загальна позиція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до пункту 1.4</w:t>
            </w:r>
          </w:p>
          <w:p w:rsidR="00D723D2" w:rsidRPr="00125DBF" w:rsidRDefault="00D723D2" w:rsidP="00D723D2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D723D2" w:rsidRDefault="00D723D2" w:rsidP="00D723D2">
            <w:pPr>
              <w:spacing w:after="0" w:line="240" w:lineRule="auto"/>
              <w:ind w:firstLine="268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D723D2" w:rsidRPr="008904AC" w:rsidRDefault="00D723D2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723D2" w:rsidRPr="00E341F8" w:rsidRDefault="00D723D2" w:rsidP="00D723D2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E341F8">
              <w:rPr>
                <w:rFonts w:ascii="Times New Roman" w:hAnsi="Times New Roman" w:cs="Times New Roman"/>
                <w:lang w:val="uk-UA"/>
              </w:rPr>
              <w:t xml:space="preserve">НКРЕКП не виступала стороною або третьою особою у справі № 910/9627/20 за позовом Акціонерного товариства «ДТЕК Західенерго» до </w:t>
            </w:r>
            <w:r>
              <w:rPr>
                <w:rFonts w:ascii="Times New Roman" w:hAnsi="Times New Roman" w:cs="Times New Roman"/>
                <w:lang w:val="uk-UA"/>
              </w:rPr>
              <w:t>НЕК</w:t>
            </w:r>
            <w:r w:rsidRPr="00E341F8">
              <w:rPr>
                <w:rFonts w:ascii="Times New Roman" w:hAnsi="Times New Roman" w:cs="Times New Roman"/>
                <w:lang w:val="uk-UA"/>
              </w:rPr>
              <w:t xml:space="preserve">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D723D2" w:rsidRPr="00E341F8" w:rsidRDefault="00D723D2" w:rsidP="00D723D2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E341F8">
              <w:rPr>
                <w:rFonts w:ascii="Times New Roman" w:hAnsi="Times New Roman" w:cs="Times New Roman"/>
                <w:lang w:val="uk-UA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 640/3041/20.</w:t>
            </w:r>
          </w:p>
          <w:p w:rsidR="00D723D2" w:rsidRPr="00E341F8" w:rsidRDefault="00D723D2" w:rsidP="00D723D2">
            <w:pPr>
              <w:tabs>
                <w:tab w:val="left" w:pos="567"/>
                <w:tab w:val="left" w:pos="851"/>
              </w:tabs>
              <w:spacing w:after="0" w:line="240" w:lineRule="auto"/>
              <w:ind w:firstLine="268"/>
              <w:jc w:val="both"/>
              <w:rPr>
                <w:rFonts w:ascii="Times New Roman" w:hAnsi="Times New Roman" w:cs="Times New Roman"/>
                <w:lang w:val="uk-UA"/>
              </w:rPr>
            </w:pPr>
            <w:r w:rsidRPr="00E341F8">
              <w:rPr>
                <w:rFonts w:ascii="Times New Roman" w:hAnsi="Times New Roman" w:cs="Times New Roman"/>
                <w:lang w:val="uk-UA"/>
              </w:rPr>
              <w:t xml:space="preserve">При цьому, станом на сьогодні, постанова НКРЕКП від 07.02.2020 № </w:t>
            </w:r>
            <w:r w:rsidRPr="00E341F8">
              <w:rPr>
                <w:rFonts w:ascii="Times New Roman" w:hAnsi="Times New Roman" w:cs="Times New Roman"/>
                <w:lang w:val="uk-UA"/>
              </w:rPr>
              <w:lastRenderedPageBreak/>
              <w:t>360 чинна та не скасована у судовому порядку.</w:t>
            </w:r>
          </w:p>
          <w:p w:rsidR="00D723D2" w:rsidRDefault="00D723D2" w:rsidP="00D723D2">
            <w:pPr>
              <w:spacing w:line="240" w:lineRule="auto"/>
              <w:ind w:firstLine="268"/>
              <w:jc w:val="both"/>
              <w:rPr>
                <w:rFonts w:ascii="Times New Roman" w:hAnsi="Times New Roman" w:cs="Times New Roman"/>
                <w:i/>
              </w:rPr>
            </w:pPr>
          </w:p>
          <w:p w:rsidR="00546255" w:rsidRDefault="00546255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0A319E" w:rsidRDefault="000A319E" w:rsidP="002C1D35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</w:tr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4342A4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933B5" w:rsidRPr="00B442B3" w:rsidRDefault="005933B5" w:rsidP="00584A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t>1.5. Розрахунок тарифу на послуги</w:t>
            </w:r>
            <w:r w:rsidRPr="00B442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442B3">
              <w:rPr>
                <w:rFonts w:ascii="Times New Roman" w:hAnsi="Times New Roman" w:cs="Times New Roman"/>
                <w:bCs/>
              </w:rPr>
              <w:t>диспетчерського (оперативно-техноло-гічного) управління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42A4">
              <w:rPr>
                <w:rFonts w:ascii="Times New Roman" w:hAnsi="Times New Roman" w:cs="Times New Roman"/>
              </w:rPr>
              <w:t>та всіх його складових здійснюється без урахування податку на додану вартість.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B442B3" w:rsidRDefault="005933B5" w:rsidP="00584A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4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ГС «ПЕАУ» лист від 05.08.2022 № 04-42/2</w:t>
            </w:r>
          </w:p>
          <w:p w:rsidR="005933B5" w:rsidRPr="004342A4" w:rsidRDefault="005933B5" w:rsidP="00584A70">
            <w:pPr>
              <w:jc w:val="both"/>
              <w:rPr>
                <w:rFonts w:ascii="Times New Roman" w:hAnsi="Times New Roman" w:cs="Times New Roman"/>
              </w:rPr>
            </w:pPr>
            <w:r w:rsidRPr="004342A4">
              <w:rPr>
                <w:rFonts w:ascii="Times New Roman" w:hAnsi="Times New Roman" w:cs="Times New Roman"/>
              </w:rPr>
              <w:t xml:space="preserve">1.5. Розрахунок </w:t>
            </w:r>
            <w:r w:rsidRPr="00B442B3">
              <w:rPr>
                <w:rFonts w:ascii="Times New Roman" w:hAnsi="Times New Roman" w:cs="Times New Roman"/>
                <w:b/>
                <w:bCs/>
              </w:rPr>
              <w:t>тарифів на послуги з диспетчерського (оперативно-техноло-гічного) управління</w:t>
            </w:r>
            <w:r w:rsidRPr="004342A4">
              <w:rPr>
                <w:rFonts w:ascii="Times New Roman" w:hAnsi="Times New Roman" w:cs="Times New Roman"/>
              </w:rPr>
              <w:t xml:space="preserve"> та всіх його складових здійснюється без урахування податку на додану вартість</w:t>
            </w:r>
          </w:p>
          <w:p w:rsidR="005933B5" w:rsidRPr="00B72CBC" w:rsidRDefault="005933B5" w:rsidP="00B442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Обгрунтування </w:t>
            </w:r>
          </w:p>
          <w:p w:rsidR="005933B5" w:rsidRPr="00EB205B" w:rsidRDefault="005933B5" w:rsidP="00584A7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B205B">
              <w:rPr>
                <w:rFonts w:ascii="Times New Roman" w:hAnsi="Times New Roman" w:cs="Times New Roman"/>
                <w:i/>
              </w:rPr>
              <w:t xml:space="preserve">Відповідно до Керівництва зі спільного регуляторного підходу до стягування платежів за передачу (Частина В Додатку до Регламенту ЄС 838/2010)), платежі за передачу для виробників мають визначатись без врахування вартості платежів за допоміжні послуги. Відповідно, тарифи на послуги з диспетчерського (оперативно-технологічного) управління, до яких в Україні включається вартість </w:t>
            </w:r>
            <w:r w:rsidRPr="00EB205B">
              <w:rPr>
                <w:rFonts w:ascii="Times New Roman" w:hAnsi="Times New Roman" w:cs="Times New Roman"/>
                <w:i/>
              </w:rPr>
              <w:lastRenderedPageBreak/>
              <w:t>допоміжних послуг, мають відрізнятись для виробників і інших користувачів системи.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BA3" w:rsidRDefault="00A10BA3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125DBF" w:rsidRDefault="005933B5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5A787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Default="005933B5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8E4BBC" w:rsidRDefault="008E4BBC" w:rsidP="00EB205B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A7878" w:rsidRDefault="005A7878" w:rsidP="005A7878">
            <w:pPr>
              <w:spacing w:after="0" w:line="240" w:lineRule="auto"/>
              <w:ind w:firstLine="266"/>
              <w:jc w:val="both"/>
              <w:rPr>
                <w:rStyle w:val="fontstyle01"/>
                <w:rFonts w:asciiTheme="minorHAnsi" w:hAnsiTheme="minorHAnsi"/>
                <w:i/>
                <w:lang w:val="uk-UA"/>
              </w:rPr>
            </w:pPr>
            <w:r w:rsidRPr="007C689A">
              <w:rPr>
                <w:rFonts w:ascii="Times New Roman" w:hAnsi="Times New Roman" w:cs="Times New Roman"/>
                <w:lang w:val="uk-UA"/>
              </w:rPr>
              <w:t xml:space="preserve">Відпвідно до </w:t>
            </w:r>
            <w:r w:rsidRPr="007C689A">
              <w:rPr>
                <w:rFonts w:ascii="Times New Roman" w:hAnsi="Times New Roman" w:cs="Times New Roman"/>
              </w:rPr>
              <w:t>Частин</w:t>
            </w:r>
            <w:r w:rsidRPr="007C689A">
              <w:rPr>
                <w:rFonts w:ascii="Times New Roman" w:hAnsi="Times New Roman" w:cs="Times New Roman"/>
                <w:lang w:val="uk-UA"/>
              </w:rPr>
              <w:t>и</w:t>
            </w:r>
            <w:r w:rsidRPr="007C689A">
              <w:rPr>
                <w:rFonts w:ascii="Times New Roman" w:hAnsi="Times New Roman" w:cs="Times New Roman"/>
              </w:rPr>
              <w:t xml:space="preserve"> В Додатку до Регламенту ЄС 838/2010</w:t>
            </w:r>
            <w:r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D945AD">
              <w:rPr>
                <w:rStyle w:val="fontstyle01"/>
              </w:rPr>
              <w:t>с</w:t>
            </w:r>
            <w:r>
              <w:rPr>
                <w:rStyle w:val="fontstyle01"/>
              </w:rPr>
              <w:t>ередньорічна плата за передачу електроенергії, що сплачується виробниками в кожній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державі-члені, повинна бути в межах діапазонів, визначених у пункті 3 </w:t>
            </w:r>
            <w:r w:rsidRPr="007C689A">
              <w:rPr>
                <w:rStyle w:val="fontstyle01"/>
                <w:rFonts w:asciiTheme="minorHAnsi" w:hAnsiTheme="minorHAnsi"/>
                <w:i/>
                <w:lang w:val="uk-UA"/>
              </w:rPr>
              <w:t>(</w:t>
            </w:r>
            <w:r w:rsidRPr="007C689A">
              <w:rPr>
                <w:rStyle w:val="fontstyle01"/>
                <w:i/>
              </w:rPr>
              <w:t>від 0 до 0,5 євро/ МВт</w:t>
            </w:r>
            <w:r w:rsidRPr="007C689A">
              <w:rPr>
                <w:rStyle w:val="fontstyle01"/>
                <w:rFonts w:ascii="Tahoma" w:hAnsi="Tahoma" w:cs="Tahoma"/>
                <w:i/>
              </w:rPr>
              <w:t>⸱</w:t>
            </w:r>
            <w:r w:rsidRPr="007C689A">
              <w:rPr>
                <w:rStyle w:val="fontstyle01"/>
                <w:i/>
              </w:rPr>
              <w:t>год, за винятком плати, що застосовується в</w:t>
            </w:r>
            <w:r w:rsidRPr="007C689A">
              <w:rPr>
                <w:rFonts w:ascii="TimesNewRomanPSMT" w:hAnsi="TimesNewRomanPSMT"/>
                <w:i/>
                <w:color w:val="000000"/>
              </w:rPr>
              <w:br/>
            </w:r>
            <w:r w:rsidRPr="007C689A">
              <w:rPr>
                <w:rStyle w:val="fontstyle01"/>
                <w:i/>
              </w:rPr>
              <w:t>Данії, Швеції, Фінляндії, Румунії, Ірландії, Великій Британії та Північній Ірландії</w:t>
            </w:r>
            <w:r w:rsidRPr="007C689A">
              <w:rPr>
                <w:rStyle w:val="fontstyle01"/>
                <w:rFonts w:asciiTheme="minorHAnsi" w:hAnsiTheme="minorHAnsi"/>
                <w:i/>
                <w:lang w:val="uk-UA"/>
              </w:rPr>
              <w:t>)</w:t>
            </w:r>
            <w:r>
              <w:rPr>
                <w:rStyle w:val="fontstyle01"/>
                <w:rFonts w:asciiTheme="minorHAnsi" w:hAnsiTheme="minorHAnsi"/>
                <w:i/>
                <w:lang w:val="uk-UA"/>
              </w:rPr>
              <w:t>.</w:t>
            </w:r>
          </w:p>
          <w:p w:rsidR="005933B5" w:rsidRPr="001D08A3" w:rsidRDefault="005A7878" w:rsidP="005A7878">
            <w:pPr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 xml:space="preserve">Виходячи з витрат та обсягів електричної енергії, врахованих в діючому тарифі на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>послуги з диспетчерського (оперативно-технологічного) управління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D945AD">
              <w:rPr>
                <w:rStyle w:val="fontstyle01"/>
                <w:lang w:val="uk-UA"/>
              </w:rPr>
              <w:t>середньорічна плата, що сплачується виробниками</w:t>
            </w:r>
            <w:r>
              <w:rPr>
                <w:rStyle w:val="fontstyle01"/>
                <w:rFonts w:asciiTheme="minorHAnsi" w:hAnsiTheme="minorHAnsi"/>
                <w:lang w:val="uk-UA"/>
              </w:rPr>
              <w:t xml:space="preserve">, </w:t>
            </w:r>
            <w:r w:rsidRPr="004E6E70">
              <w:rPr>
                <w:rFonts w:ascii="Times New Roman" w:hAnsi="Times New Roman" w:cs="Times New Roman"/>
                <w:b/>
                <w:lang w:val="uk-UA"/>
              </w:rPr>
              <w:t>складає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близько</w:t>
            </w:r>
            <w:r w:rsidRPr="004E6E7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br/>
            </w:r>
            <w:r w:rsidRPr="004E6E70">
              <w:rPr>
                <w:rFonts w:ascii="Times New Roman" w:hAnsi="Times New Roman" w:cs="Times New Roman"/>
                <w:b/>
                <w:i/>
                <w:lang w:val="uk-UA"/>
              </w:rPr>
              <w:t>0,26</w:t>
            </w:r>
            <w:r w:rsidRPr="006850C9">
              <w:rPr>
                <w:rStyle w:val="fontstyle01"/>
                <w:b/>
                <w:i/>
                <w:lang w:val="uk-UA"/>
              </w:rPr>
              <w:t xml:space="preserve"> євро/МВт</w:t>
            </w:r>
            <w:r w:rsidRPr="004E6E70">
              <w:rPr>
                <w:rStyle w:val="fontstyle01"/>
                <w:rFonts w:ascii="Tahoma" w:hAnsi="Tahoma" w:cs="Tahoma"/>
                <w:b/>
                <w:i/>
              </w:rPr>
              <w:t>⸱</w:t>
            </w:r>
            <w:r w:rsidRPr="006850C9">
              <w:rPr>
                <w:rStyle w:val="fontstyle01"/>
                <w:b/>
                <w:i/>
                <w:lang w:val="uk-UA"/>
              </w:rPr>
              <w:t>год</w:t>
            </w:r>
            <w:r w:rsidRPr="004E6E70">
              <w:rPr>
                <w:rStyle w:val="fontstyle01"/>
                <w:rFonts w:asciiTheme="minorHAnsi" w:hAnsiTheme="minorHAnsi"/>
                <w:b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  <w:sz w:val="24"/>
                <w:lang w:val="uk-UA"/>
              </w:rPr>
              <w:t>(</w:t>
            </w:r>
            <w:r w:rsidRPr="004E6E70">
              <w:rPr>
                <w:rFonts w:ascii="Times New Roman" w:hAnsi="Times New Roman" w:cs="Times New Roman"/>
                <w:lang w:val="uk-UA"/>
              </w:rPr>
              <w:t>визначен</w:t>
            </w: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 w:rsidRPr="004E6E70">
              <w:rPr>
                <w:rFonts w:ascii="Times New Roman" w:hAnsi="Times New Roman" w:cs="Times New Roman"/>
                <w:lang w:val="uk-UA"/>
              </w:rPr>
              <w:t xml:space="preserve">без </w:t>
            </w:r>
            <w:r>
              <w:rPr>
                <w:rFonts w:ascii="Times New Roman" w:hAnsi="Times New Roman" w:cs="Times New Roman"/>
                <w:lang w:val="uk-UA"/>
              </w:rPr>
              <w:t xml:space="preserve">урахування складової витрат на </w:t>
            </w:r>
            <w:r w:rsidRPr="006850C9">
              <w:rPr>
                <w:rFonts w:ascii="Times New Roman" w:hAnsi="Times New Roman" w:cs="Times New Roman"/>
                <w:lang w:val="uk-UA"/>
              </w:rPr>
              <w:t>допоміжні послуги</w:t>
            </w:r>
            <w:r>
              <w:rPr>
                <w:rFonts w:ascii="Times New Roman" w:hAnsi="Times New Roman" w:cs="Times New Roman"/>
                <w:lang w:val="uk-UA"/>
              </w:rPr>
              <w:t xml:space="preserve"> на підставі обсягу  </w:t>
            </w:r>
            <w:r w:rsidRPr="00E078A6">
              <w:rPr>
                <w:rFonts w:ascii="Times New Roman" w:hAnsi="Times New Roman" w:cs="Times New Roman"/>
                <w:lang w:val="uk-UA"/>
              </w:rPr>
              <w:t>виробництва (відпуску) електричної енергії</w:t>
            </w:r>
            <w:r>
              <w:rPr>
                <w:rFonts w:ascii="Times New Roman" w:hAnsi="Times New Roman" w:cs="Times New Roman"/>
                <w:lang w:val="uk-UA"/>
              </w:rPr>
              <w:t>), що відповідає межам діапазону, визначеного Регламентом.</w:t>
            </w:r>
          </w:p>
        </w:tc>
      </w:tr>
      <w:tr w:rsidR="005933B5" w:rsidRPr="006850C9" w:rsidTr="004F1D81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B5" w:rsidRPr="004342A4" w:rsidRDefault="005933B5" w:rsidP="00EB205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</w:pPr>
          </w:p>
          <w:p w:rsidR="005933B5" w:rsidRPr="004342A4" w:rsidRDefault="005933B5" w:rsidP="00124741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6. Розрахунок тарифу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Тариф на послуги з диспетчерського (оперативно-технологічного) управління на прогнозний рік 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(Т)</w:t>
            </w: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розраховується за формулою</w:t>
            </w:r>
          </w:p>
          <w:p w:rsidR="005933B5" w:rsidRPr="004342A4" w:rsidRDefault="005933B5" w:rsidP="001247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Т = НД / (Wп + Wг) 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/>
              </w:rPr>
              <w:t>х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1000, грн/МВт·год,</w:t>
            </w:r>
          </w:p>
          <w:p w:rsidR="005933B5" w:rsidRPr="004342A4" w:rsidRDefault="005933B5" w:rsidP="001247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5933B5" w:rsidRPr="004342A4" w:rsidRDefault="005933B5" w:rsidP="001247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5933B5" w:rsidRPr="00EB205B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НД</w:t>
            </w: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- прогнозований необхідний дохід (прогнозовані витрати) від провадження діяльності з оперативно-технологічного управління ОЕС України на прогнозний рік, тис. грн;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  <w:t>Wn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 xml:space="preserve"> - прогнозований обсяг передачі електричної енергії у прогнозному році, МВт·год;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  <w:t>Wг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 xml:space="preserve"> - прогнозований обсяг відпущеної електричної енергії виробниками електричної енергії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  <w:strike/>
                <w:color w:val="000000"/>
                <w:lang w:val="uk-UA"/>
              </w:rPr>
              <w:t xml:space="preserve"> 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у прогнозному році, МВт·год.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342A4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 xml:space="preserve">Прогнозовані обсяги передачі 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</w:rPr>
              <w:t>електричної енергії, відпущеної електричної енергії виробниками електричної енергії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  <w:strike/>
              </w:rPr>
              <w:t>ї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</w:rPr>
              <w:t xml:space="preserve"> визначаються з урахуванням </w:t>
            </w:r>
            <w:r w:rsidRPr="004342A4">
              <w:rPr>
                <w:rFonts w:ascii="Times New Roman" w:eastAsia="Times New Roman" w:hAnsi="Times New Roman" w:cs="Times New Roman"/>
                <w:b/>
                <w:iCs/>
              </w:rPr>
              <w:lastRenderedPageBreak/>
              <w:t>затвердженого Прогнозного балансу електроенергії об'єднаної енергосистеми України на відповідний рік, Кодексу системи передачі, інформації, наданої заявником, щодо прогнозованих та/або очікуваних фактичних (у базовому році) відповідних обсягів.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</w:rPr>
            </w:pP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B5" w:rsidRPr="00EB205B" w:rsidRDefault="005933B5" w:rsidP="001247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ГС «ПЕАУ» лист від 05.08.2022 № 04-42/2</w:t>
            </w:r>
          </w:p>
          <w:p w:rsidR="005933B5" w:rsidRPr="004342A4" w:rsidRDefault="005933B5" w:rsidP="00EB205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6. Розрахунок тарифу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Тарифи</w:t>
            </w:r>
            <w:r w:rsidRPr="00EB205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на послуги з диспетчерського (оперативно-технологічного) управління на прогнозний рік </w:t>
            </w:r>
            <w:r w:rsidRPr="00EB205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(Т)</w:t>
            </w:r>
            <w:r w:rsidRPr="00EB205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розрахову</w:t>
            </w:r>
            <w:r w:rsidRPr="00EB205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ються</w:t>
            </w:r>
            <w:r w:rsidRPr="00EB205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за формулами</w:t>
            </w:r>
          </w:p>
          <w:p w:rsidR="005933B5" w:rsidRPr="00EB205B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1) для виробників електричної енергії:</w:t>
            </w:r>
          </w:p>
          <w:p w:rsidR="005933B5" w:rsidRPr="00EB205B" w:rsidRDefault="005933B5" w:rsidP="0012474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Тг = (НД – ДП)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/ (Wп + Wг) х 1000, грн/МВт·год,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де </w:t>
            </w: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НД</w:t>
            </w: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- прогнозований необхідний дохід (прогнозовані витрати) від провадження діяльності з оперативно-технологічного управління ОЕС України на прогнозний рік, тис. грн;</w:t>
            </w:r>
          </w:p>
          <w:p w:rsidR="005933B5" w:rsidRPr="00EB205B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  </w:t>
            </w:r>
            <w:r w:rsidRPr="00EB205B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ДП - </w:t>
            </w:r>
            <w:r w:rsidRPr="00EB205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витрати на придбання допоміжних послуг на прогнозний рік (відповідно до методики розрахунку регульованих цін на допоміжні послуги, затвердженої НКРЕКП), тис. грн;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Wn</w:t>
            </w: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- прогнозований обсяг передачі електричної енергії у прогнозному році, МВт·год;</w:t>
            </w:r>
          </w:p>
          <w:p w:rsidR="005933B5" w:rsidRPr="004342A4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342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Wг</w:t>
            </w: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- прогнозований обсяг відпущеної електричної енергії виробниками електричної енергії у прогнозному році, МВт·год.</w:t>
            </w:r>
          </w:p>
          <w:p w:rsidR="005933B5" w:rsidRPr="00EB205B" w:rsidRDefault="005933B5" w:rsidP="0012474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342A4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Прогнозовані обсяги передачі</w:t>
            </w:r>
            <w:r w:rsidRPr="004342A4">
              <w:rPr>
                <w:rFonts w:ascii="Times New Roman" w:eastAsia="Times New Roman" w:hAnsi="Times New Roman" w:cs="Times New Roman"/>
                <w:iCs/>
              </w:rPr>
              <w:t xml:space="preserve"> електричної енергії, відпущеної електричної енергії виробниками електричної енергії визначаються з урахуванням затвердженого Прогнозного балансу електроенергії об'єднаної енергосистеми України на відповідний рік, Кодексу системи передачі, інформації, наданої заявником, щодо прогнозованих та/або очікуваних фактичних (у базовому році) відповідних </w:t>
            </w:r>
            <w:r w:rsidRPr="00EB205B">
              <w:rPr>
                <w:rFonts w:ascii="Times New Roman" w:eastAsia="Times New Roman" w:hAnsi="Times New Roman" w:cs="Times New Roman"/>
                <w:iCs/>
              </w:rPr>
              <w:t>обсягів.</w:t>
            </w:r>
          </w:p>
          <w:p w:rsidR="005933B5" w:rsidRDefault="005933B5" w:rsidP="00EB205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2) для інших, ніж виробники електричної енергії, отримувачів послуг з диспетчерського (оперативно-технологічного) управління:</w:t>
            </w:r>
          </w:p>
          <w:p w:rsidR="005933B5" w:rsidRPr="00EB205B" w:rsidRDefault="005933B5" w:rsidP="00EB205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EB2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Тп = </w:t>
            </w:r>
            <w:proofErr w:type="gramStart"/>
            <w:r w:rsidRPr="00EB2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( (</w:t>
            </w:r>
            <w:proofErr w:type="gramEnd"/>
            <w:r w:rsidRPr="00EB2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НД – ДП)</w:t>
            </w:r>
            <w:r w:rsidRPr="00EB2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/ (Wп + Wг) </w:t>
            </w:r>
            <w:r w:rsidRPr="00EB2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+ ДП / Wп )</w:t>
            </w:r>
            <w:r w:rsidRPr="00EB2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х 1000, грн/МВт·год.</w:t>
            </w:r>
          </w:p>
          <w:p w:rsidR="005933B5" w:rsidRDefault="005933B5" w:rsidP="009A4B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Обгрунтування</w:t>
            </w:r>
          </w:p>
          <w:p w:rsidR="005933B5" w:rsidRPr="009A4BCB" w:rsidRDefault="005933B5" w:rsidP="009A4B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B205B">
              <w:rPr>
                <w:rFonts w:ascii="Times New Roman" w:hAnsi="Times New Roman" w:cs="Times New Roman"/>
                <w:i/>
              </w:rPr>
              <w:t>Відповідно до Керівництва зі спільного регуляторного підходу до стягування платежів за передачу (Частина В Додатку до Регламенту ЄС 838/2010)), платежі за передачу для виробників мають визначатись без врахування вартості платежів за допоміжні послуги. Відповідно, тарифи на послуги з диспетчерського (оперативно-технологічного) управління, до яких в Україні включається вартість допоміжних послуг, мають відрізнятись для виробників і інших користувачів системи.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40C" w:rsidRDefault="00C9640C" w:rsidP="00080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933B5" w:rsidRPr="00125DBF" w:rsidRDefault="005933B5" w:rsidP="005A78B6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5A787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 враховано</w:t>
            </w:r>
          </w:p>
          <w:p w:rsidR="005933B5" w:rsidRDefault="005933B5" w:rsidP="005A78B6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125DB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Недостатньо обгрунтована  пропозиція</w:t>
            </w:r>
          </w:p>
          <w:p w:rsidR="00080A46" w:rsidRDefault="00080A46" w:rsidP="005A78B6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  <w:p w:rsidR="005A7878" w:rsidRDefault="005A7878" w:rsidP="005A7878">
            <w:pPr>
              <w:spacing w:after="0" w:line="240" w:lineRule="auto"/>
              <w:ind w:firstLine="266"/>
              <w:jc w:val="both"/>
              <w:rPr>
                <w:rStyle w:val="fontstyle01"/>
                <w:rFonts w:asciiTheme="minorHAnsi" w:hAnsiTheme="minorHAnsi"/>
                <w:i/>
                <w:lang w:val="uk-UA"/>
              </w:rPr>
            </w:pPr>
            <w:r w:rsidRPr="007C689A">
              <w:rPr>
                <w:rFonts w:ascii="Times New Roman" w:hAnsi="Times New Roman" w:cs="Times New Roman"/>
                <w:lang w:val="uk-UA"/>
              </w:rPr>
              <w:t xml:space="preserve">Відпвідно до </w:t>
            </w:r>
            <w:r w:rsidRPr="007C689A">
              <w:rPr>
                <w:rFonts w:ascii="Times New Roman" w:hAnsi="Times New Roman" w:cs="Times New Roman"/>
              </w:rPr>
              <w:t>Частин</w:t>
            </w:r>
            <w:r w:rsidRPr="007C689A">
              <w:rPr>
                <w:rFonts w:ascii="Times New Roman" w:hAnsi="Times New Roman" w:cs="Times New Roman"/>
                <w:lang w:val="uk-UA"/>
              </w:rPr>
              <w:t>и</w:t>
            </w:r>
            <w:r w:rsidRPr="007C689A">
              <w:rPr>
                <w:rFonts w:ascii="Times New Roman" w:hAnsi="Times New Roman" w:cs="Times New Roman"/>
              </w:rPr>
              <w:t xml:space="preserve"> В Додатку до Регламенту ЄС 838/2010</w:t>
            </w:r>
            <w:r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D945AD">
              <w:rPr>
                <w:rStyle w:val="fontstyle01"/>
              </w:rPr>
              <w:t>с</w:t>
            </w:r>
            <w:r>
              <w:rPr>
                <w:rStyle w:val="fontstyle01"/>
              </w:rPr>
              <w:t>ередньорічна плата за передачу електроенергії, що сплачується виробниками в кожній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 xml:space="preserve">державі-члені, повинна бути в межах діапазонів, визначених у пункті 3 </w:t>
            </w:r>
            <w:r w:rsidRPr="007C689A">
              <w:rPr>
                <w:rStyle w:val="fontstyle01"/>
                <w:rFonts w:asciiTheme="minorHAnsi" w:hAnsiTheme="minorHAnsi"/>
                <w:i/>
                <w:lang w:val="uk-UA"/>
              </w:rPr>
              <w:t>(</w:t>
            </w:r>
            <w:r w:rsidRPr="007C689A">
              <w:rPr>
                <w:rStyle w:val="fontstyle01"/>
                <w:i/>
              </w:rPr>
              <w:t>від 0 до 0,5 євро/ МВт</w:t>
            </w:r>
            <w:r w:rsidRPr="007C689A">
              <w:rPr>
                <w:rStyle w:val="fontstyle01"/>
                <w:rFonts w:ascii="Tahoma" w:hAnsi="Tahoma" w:cs="Tahoma"/>
                <w:i/>
              </w:rPr>
              <w:t>⸱</w:t>
            </w:r>
            <w:r w:rsidRPr="007C689A">
              <w:rPr>
                <w:rStyle w:val="fontstyle01"/>
                <w:i/>
              </w:rPr>
              <w:t>год, за винятком плати, що застосовується в</w:t>
            </w:r>
            <w:r w:rsidRPr="007C689A">
              <w:rPr>
                <w:rFonts w:ascii="TimesNewRomanPSMT" w:hAnsi="TimesNewRomanPSMT"/>
                <w:i/>
                <w:color w:val="000000"/>
              </w:rPr>
              <w:br/>
            </w:r>
            <w:r w:rsidRPr="007C689A">
              <w:rPr>
                <w:rStyle w:val="fontstyle01"/>
                <w:i/>
              </w:rPr>
              <w:t>Данії, Швеції, Фінляндії, Румунії, Ірландії, Великій Британії та Північній Ірландії</w:t>
            </w:r>
            <w:r w:rsidRPr="007C689A">
              <w:rPr>
                <w:rStyle w:val="fontstyle01"/>
                <w:rFonts w:asciiTheme="minorHAnsi" w:hAnsiTheme="minorHAnsi"/>
                <w:i/>
                <w:lang w:val="uk-UA"/>
              </w:rPr>
              <w:t>)</w:t>
            </w:r>
            <w:r>
              <w:rPr>
                <w:rStyle w:val="fontstyle01"/>
                <w:rFonts w:asciiTheme="minorHAnsi" w:hAnsiTheme="minorHAnsi"/>
                <w:i/>
                <w:lang w:val="uk-UA"/>
              </w:rPr>
              <w:t>.</w:t>
            </w:r>
          </w:p>
          <w:p w:rsidR="00E03B02" w:rsidRPr="006850C9" w:rsidRDefault="005A7878" w:rsidP="005A7878">
            <w:pPr>
              <w:pStyle w:val="a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Виходячи з витрат та обсягів електричної енергії, врахованих в діючому тарифі на </w:t>
            </w:r>
            <w:r w:rsidRPr="004342A4">
              <w:rPr>
                <w:rFonts w:ascii="Times New Roman" w:eastAsia="Times New Roman" w:hAnsi="Times New Roman" w:cs="Times New Roman"/>
                <w:b/>
                <w:bCs/>
                <w:lang w:val="uk" w:eastAsia="uk-UA"/>
              </w:rPr>
              <w:t>послуги з диспетчерського (оперативно-технологічного) управління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D945AD">
              <w:rPr>
                <w:rStyle w:val="fontstyle01"/>
                <w:lang w:val="uk-UA"/>
              </w:rPr>
              <w:t>середньорічна плата, що сплачується виробниками</w:t>
            </w:r>
            <w:r>
              <w:rPr>
                <w:rStyle w:val="fontstyle01"/>
                <w:rFonts w:asciiTheme="minorHAnsi" w:hAnsiTheme="minorHAnsi"/>
                <w:lang w:val="uk-UA"/>
              </w:rPr>
              <w:t xml:space="preserve">, </w:t>
            </w:r>
            <w:r w:rsidRPr="004E6E70">
              <w:rPr>
                <w:rFonts w:ascii="Times New Roman" w:hAnsi="Times New Roman" w:cs="Times New Roman"/>
                <w:b/>
                <w:lang w:val="uk-UA"/>
              </w:rPr>
              <w:t>складає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близько</w:t>
            </w:r>
            <w:r w:rsidRPr="004E6E7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br/>
            </w:r>
            <w:r w:rsidRPr="004E6E70">
              <w:rPr>
                <w:rFonts w:ascii="Times New Roman" w:hAnsi="Times New Roman" w:cs="Times New Roman"/>
                <w:b/>
                <w:i/>
                <w:lang w:val="uk-UA"/>
              </w:rPr>
              <w:t>0,26</w:t>
            </w:r>
            <w:r w:rsidRPr="006850C9">
              <w:rPr>
                <w:rStyle w:val="fontstyle01"/>
                <w:b/>
                <w:i/>
                <w:lang w:val="uk-UA"/>
              </w:rPr>
              <w:t xml:space="preserve"> євро/МВт</w:t>
            </w:r>
            <w:r w:rsidRPr="004E6E70">
              <w:rPr>
                <w:rStyle w:val="fontstyle01"/>
                <w:rFonts w:ascii="Tahoma" w:hAnsi="Tahoma" w:cs="Tahoma"/>
                <w:b/>
                <w:i/>
              </w:rPr>
              <w:t>⸱</w:t>
            </w:r>
            <w:r w:rsidRPr="006850C9">
              <w:rPr>
                <w:rStyle w:val="fontstyle01"/>
                <w:b/>
                <w:i/>
                <w:lang w:val="uk-UA"/>
              </w:rPr>
              <w:t>год</w:t>
            </w:r>
            <w:r w:rsidRPr="004E6E70">
              <w:rPr>
                <w:rStyle w:val="fontstyle01"/>
                <w:rFonts w:asciiTheme="minorHAnsi" w:hAnsiTheme="minorHAnsi"/>
                <w:b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  <w:sz w:val="24"/>
                <w:lang w:val="uk-UA"/>
              </w:rPr>
              <w:t>(</w:t>
            </w:r>
            <w:r w:rsidRPr="004E6E70">
              <w:rPr>
                <w:rFonts w:ascii="Times New Roman" w:hAnsi="Times New Roman" w:cs="Times New Roman"/>
                <w:lang w:val="uk-UA"/>
              </w:rPr>
              <w:t>визначен</w:t>
            </w: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 w:rsidRPr="004E6E70">
              <w:rPr>
                <w:rFonts w:ascii="Times New Roman" w:hAnsi="Times New Roman" w:cs="Times New Roman"/>
                <w:lang w:val="uk-UA"/>
              </w:rPr>
              <w:t xml:space="preserve">без </w:t>
            </w:r>
            <w:r>
              <w:rPr>
                <w:rFonts w:ascii="Times New Roman" w:hAnsi="Times New Roman" w:cs="Times New Roman"/>
                <w:lang w:val="uk-UA"/>
              </w:rPr>
              <w:t xml:space="preserve">урахування складової витрат на </w:t>
            </w:r>
            <w:r w:rsidRPr="006850C9">
              <w:rPr>
                <w:rFonts w:ascii="Times New Roman" w:hAnsi="Times New Roman" w:cs="Times New Roman"/>
                <w:lang w:val="uk-UA"/>
              </w:rPr>
              <w:t>допоміжні послуги</w:t>
            </w:r>
            <w:r>
              <w:rPr>
                <w:rFonts w:ascii="Times New Roman" w:hAnsi="Times New Roman" w:cs="Times New Roman"/>
                <w:lang w:val="uk-UA"/>
              </w:rPr>
              <w:t xml:space="preserve"> на підставі обсягу  </w:t>
            </w:r>
            <w:r w:rsidRPr="00E078A6">
              <w:rPr>
                <w:rFonts w:ascii="Times New Roman" w:hAnsi="Times New Roman" w:cs="Times New Roman"/>
                <w:lang w:val="uk-UA"/>
              </w:rPr>
              <w:t>виробництва (відпуску) електричної енергії</w:t>
            </w:r>
            <w:r>
              <w:rPr>
                <w:rFonts w:ascii="Times New Roman" w:hAnsi="Times New Roman" w:cs="Times New Roman"/>
                <w:lang w:val="uk-UA"/>
              </w:rPr>
              <w:t xml:space="preserve">), що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відповідає межам діапазону, визначеного Регламентом.</w:t>
            </w:r>
          </w:p>
        </w:tc>
      </w:tr>
    </w:tbl>
    <w:p w:rsidR="00484473" w:rsidRPr="0030743F" w:rsidRDefault="00484473" w:rsidP="00484473">
      <w:pPr>
        <w:spacing w:after="0" w:line="240" w:lineRule="auto"/>
        <w:rPr>
          <w:sz w:val="18"/>
          <w:szCs w:val="18"/>
          <w:lang w:val="uk-UA"/>
        </w:rPr>
      </w:pPr>
    </w:p>
    <w:sectPr w:rsidR="00484473" w:rsidRPr="0030743F" w:rsidSect="00F76769">
      <w:pgSz w:w="16838" w:h="11906" w:orient="landscape"/>
      <w:pgMar w:top="737" w:right="822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.2pt;height:13.8pt;visibility:visible;mso-wrap-style:square" o:bullet="t">
        <v:imagedata r:id="rId1" o:title="GK42288_img_028"/>
      </v:shape>
    </w:pict>
  </w:numPicBullet>
  <w:abstractNum w:abstractNumId="0" w15:restartNumberingAfterBreak="0">
    <w:nsid w:val="457027CC"/>
    <w:multiLevelType w:val="hybridMultilevel"/>
    <w:tmpl w:val="E39C9BA2"/>
    <w:lvl w:ilvl="0" w:tplc="C23C04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16F"/>
    <w:rsid w:val="000000C9"/>
    <w:rsid w:val="00001315"/>
    <w:rsid w:val="000020F8"/>
    <w:rsid w:val="00003277"/>
    <w:rsid w:val="000033EC"/>
    <w:rsid w:val="00015C89"/>
    <w:rsid w:val="00020879"/>
    <w:rsid w:val="000210BB"/>
    <w:rsid w:val="00021706"/>
    <w:rsid w:val="00025FFA"/>
    <w:rsid w:val="0002627A"/>
    <w:rsid w:val="00031954"/>
    <w:rsid w:val="00034A03"/>
    <w:rsid w:val="00037F97"/>
    <w:rsid w:val="0004190D"/>
    <w:rsid w:val="00041AC8"/>
    <w:rsid w:val="00046076"/>
    <w:rsid w:val="00047DB9"/>
    <w:rsid w:val="00051122"/>
    <w:rsid w:val="00060A5E"/>
    <w:rsid w:val="00060F97"/>
    <w:rsid w:val="00062F7B"/>
    <w:rsid w:val="0006373D"/>
    <w:rsid w:val="00064A23"/>
    <w:rsid w:val="00067122"/>
    <w:rsid w:val="0007090F"/>
    <w:rsid w:val="0007292B"/>
    <w:rsid w:val="00072C49"/>
    <w:rsid w:val="0008025E"/>
    <w:rsid w:val="00080A46"/>
    <w:rsid w:val="000842B3"/>
    <w:rsid w:val="00084CF9"/>
    <w:rsid w:val="0008722E"/>
    <w:rsid w:val="000911E8"/>
    <w:rsid w:val="00091570"/>
    <w:rsid w:val="000A2323"/>
    <w:rsid w:val="000A319E"/>
    <w:rsid w:val="000A63EE"/>
    <w:rsid w:val="000A65E7"/>
    <w:rsid w:val="000B2CDC"/>
    <w:rsid w:val="000B3236"/>
    <w:rsid w:val="000C1989"/>
    <w:rsid w:val="000C1FA0"/>
    <w:rsid w:val="000C337F"/>
    <w:rsid w:val="000C4F56"/>
    <w:rsid w:val="000D0D31"/>
    <w:rsid w:val="000E16B7"/>
    <w:rsid w:val="000E2B5B"/>
    <w:rsid w:val="000E2D09"/>
    <w:rsid w:val="000E426F"/>
    <w:rsid w:val="000E78EA"/>
    <w:rsid w:val="000F06A7"/>
    <w:rsid w:val="000F40C6"/>
    <w:rsid w:val="000F4642"/>
    <w:rsid w:val="00101607"/>
    <w:rsid w:val="001046A8"/>
    <w:rsid w:val="00117AFC"/>
    <w:rsid w:val="0012091C"/>
    <w:rsid w:val="00121320"/>
    <w:rsid w:val="0012286C"/>
    <w:rsid w:val="00124741"/>
    <w:rsid w:val="00125DBF"/>
    <w:rsid w:val="001274D6"/>
    <w:rsid w:val="00131255"/>
    <w:rsid w:val="001327DA"/>
    <w:rsid w:val="00132F84"/>
    <w:rsid w:val="0013493A"/>
    <w:rsid w:val="00134C4F"/>
    <w:rsid w:val="00145134"/>
    <w:rsid w:val="00152105"/>
    <w:rsid w:val="00152D0D"/>
    <w:rsid w:val="00154CDD"/>
    <w:rsid w:val="001552AE"/>
    <w:rsid w:val="001553EE"/>
    <w:rsid w:val="00164049"/>
    <w:rsid w:val="00164B50"/>
    <w:rsid w:val="00170A54"/>
    <w:rsid w:val="00170F07"/>
    <w:rsid w:val="00171C90"/>
    <w:rsid w:val="0017722C"/>
    <w:rsid w:val="00180804"/>
    <w:rsid w:val="0018124C"/>
    <w:rsid w:val="00183F70"/>
    <w:rsid w:val="001848F7"/>
    <w:rsid w:val="0018520E"/>
    <w:rsid w:val="0018794B"/>
    <w:rsid w:val="001966FF"/>
    <w:rsid w:val="001A27B3"/>
    <w:rsid w:val="001A3102"/>
    <w:rsid w:val="001A51E6"/>
    <w:rsid w:val="001A76EC"/>
    <w:rsid w:val="001B14AC"/>
    <w:rsid w:val="001B1B5C"/>
    <w:rsid w:val="001B747A"/>
    <w:rsid w:val="001B76A5"/>
    <w:rsid w:val="001C0E00"/>
    <w:rsid w:val="001C1250"/>
    <w:rsid w:val="001C202E"/>
    <w:rsid w:val="001C3134"/>
    <w:rsid w:val="001D0176"/>
    <w:rsid w:val="001D08A3"/>
    <w:rsid w:val="001D0C32"/>
    <w:rsid w:val="001D1453"/>
    <w:rsid w:val="001D3601"/>
    <w:rsid w:val="001D6D23"/>
    <w:rsid w:val="001E3260"/>
    <w:rsid w:val="001E43BB"/>
    <w:rsid w:val="001E49AD"/>
    <w:rsid w:val="001E66B5"/>
    <w:rsid w:val="001E7B31"/>
    <w:rsid w:val="001F1CA8"/>
    <w:rsid w:val="001F3CF3"/>
    <w:rsid w:val="002005A1"/>
    <w:rsid w:val="00201434"/>
    <w:rsid w:val="00201698"/>
    <w:rsid w:val="00211EBE"/>
    <w:rsid w:val="0021304B"/>
    <w:rsid w:val="002155E0"/>
    <w:rsid w:val="00217E0D"/>
    <w:rsid w:val="0022108B"/>
    <w:rsid w:val="00222CD0"/>
    <w:rsid w:val="00223C8F"/>
    <w:rsid w:val="0023595C"/>
    <w:rsid w:val="00235D1B"/>
    <w:rsid w:val="0024610F"/>
    <w:rsid w:val="00251E9F"/>
    <w:rsid w:val="002541DF"/>
    <w:rsid w:val="00260462"/>
    <w:rsid w:val="00262748"/>
    <w:rsid w:val="00263841"/>
    <w:rsid w:val="00264C76"/>
    <w:rsid w:val="00273916"/>
    <w:rsid w:val="0027451F"/>
    <w:rsid w:val="00276644"/>
    <w:rsid w:val="00284A93"/>
    <w:rsid w:val="00287AF9"/>
    <w:rsid w:val="00291214"/>
    <w:rsid w:val="00292C9E"/>
    <w:rsid w:val="002A23C3"/>
    <w:rsid w:val="002A32C5"/>
    <w:rsid w:val="002A73F3"/>
    <w:rsid w:val="002A73F9"/>
    <w:rsid w:val="002A7EF0"/>
    <w:rsid w:val="002B40DC"/>
    <w:rsid w:val="002B5671"/>
    <w:rsid w:val="002B6B3D"/>
    <w:rsid w:val="002B79E5"/>
    <w:rsid w:val="002C1D35"/>
    <w:rsid w:val="002C2214"/>
    <w:rsid w:val="002C33D3"/>
    <w:rsid w:val="002D3519"/>
    <w:rsid w:val="002D7081"/>
    <w:rsid w:val="002E54E7"/>
    <w:rsid w:val="002E59C5"/>
    <w:rsid w:val="002E6531"/>
    <w:rsid w:val="002F1117"/>
    <w:rsid w:val="002F1DDC"/>
    <w:rsid w:val="002F25A5"/>
    <w:rsid w:val="002F338B"/>
    <w:rsid w:val="002F3E4C"/>
    <w:rsid w:val="00300AE8"/>
    <w:rsid w:val="0030743F"/>
    <w:rsid w:val="00311938"/>
    <w:rsid w:val="00315F42"/>
    <w:rsid w:val="00321C27"/>
    <w:rsid w:val="00321F6D"/>
    <w:rsid w:val="0032376E"/>
    <w:rsid w:val="00327FCA"/>
    <w:rsid w:val="00342F2F"/>
    <w:rsid w:val="00343318"/>
    <w:rsid w:val="003435E9"/>
    <w:rsid w:val="00346BF6"/>
    <w:rsid w:val="003504A0"/>
    <w:rsid w:val="003510A1"/>
    <w:rsid w:val="00354D60"/>
    <w:rsid w:val="0035682D"/>
    <w:rsid w:val="00357B52"/>
    <w:rsid w:val="00360BA4"/>
    <w:rsid w:val="00361C65"/>
    <w:rsid w:val="0036258E"/>
    <w:rsid w:val="003714DB"/>
    <w:rsid w:val="00372772"/>
    <w:rsid w:val="003746D8"/>
    <w:rsid w:val="003749BE"/>
    <w:rsid w:val="0037740C"/>
    <w:rsid w:val="0038062A"/>
    <w:rsid w:val="00380D08"/>
    <w:rsid w:val="00383D7B"/>
    <w:rsid w:val="003841B8"/>
    <w:rsid w:val="00384931"/>
    <w:rsid w:val="00390EB8"/>
    <w:rsid w:val="003947A8"/>
    <w:rsid w:val="00397379"/>
    <w:rsid w:val="003A37CE"/>
    <w:rsid w:val="003A4A88"/>
    <w:rsid w:val="003B1F17"/>
    <w:rsid w:val="003B272A"/>
    <w:rsid w:val="003B2C9E"/>
    <w:rsid w:val="003B55AC"/>
    <w:rsid w:val="003C5B82"/>
    <w:rsid w:val="003C73FC"/>
    <w:rsid w:val="003D1067"/>
    <w:rsid w:val="003D186C"/>
    <w:rsid w:val="003D3524"/>
    <w:rsid w:val="003D3F4E"/>
    <w:rsid w:val="003D4038"/>
    <w:rsid w:val="003D4D70"/>
    <w:rsid w:val="003E2C64"/>
    <w:rsid w:val="003E2FA9"/>
    <w:rsid w:val="003E570F"/>
    <w:rsid w:val="003E70A8"/>
    <w:rsid w:val="003E7CFA"/>
    <w:rsid w:val="003F3C3A"/>
    <w:rsid w:val="003F439C"/>
    <w:rsid w:val="004018AE"/>
    <w:rsid w:val="004042CE"/>
    <w:rsid w:val="00404E68"/>
    <w:rsid w:val="0041016A"/>
    <w:rsid w:val="00415DDB"/>
    <w:rsid w:val="00420E33"/>
    <w:rsid w:val="00421326"/>
    <w:rsid w:val="0042149D"/>
    <w:rsid w:val="004216AD"/>
    <w:rsid w:val="00425EDE"/>
    <w:rsid w:val="00434151"/>
    <w:rsid w:val="004342A4"/>
    <w:rsid w:val="00435E7B"/>
    <w:rsid w:val="0044090D"/>
    <w:rsid w:val="00441482"/>
    <w:rsid w:val="00441AC5"/>
    <w:rsid w:val="00443BAA"/>
    <w:rsid w:val="0044455A"/>
    <w:rsid w:val="00450319"/>
    <w:rsid w:val="00452654"/>
    <w:rsid w:val="004577AC"/>
    <w:rsid w:val="00460B69"/>
    <w:rsid w:val="00462D3E"/>
    <w:rsid w:val="00464A57"/>
    <w:rsid w:val="00464BD0"/>
    <w:rsid w:val="0047294D"/>
    <w:rsid w:val="004768F1"/>
    <w:rsid w:val="00476C3B"/>
    <w:rsid w:val="0047736B"/>
    <w:rsid w:val="00480548"/>
    <w:rsid w:val="00484473"/>
    <w:rsid w:val="00491B94"/>
    <w:rsid w:val="004A0B2E"/>
    <w:rsid w:val="004A3821"/>
    <w:rsid w:val="004A428F"/>
    <w:rsid w:val="004A536F"/>
    <w:rsid w:val="004B407F"/>
    <w:rsid w:val="004B4BC2"/>
    <w:rsid w:val="004B57C3"/>
    <w:rsid w:val="004B6827"/>
    <w:rsid w:val="004B6BAF"/>
    <w:rsid w:val="004B7CDA"/>
    <w:rsid w:val="004C6F21"/>
    <w:rsid w:val="004C7FD2"/>
    <w:rsid w:val="004D0697"/>
    <w:rsid w:val="004D5D93"/>
    <w:rsid w:val="004E08DD"/>
    <w:rsid w:val="004E1E71"/>
    <w:rsid w:val="004E3962"/>
    <w:rsid w:val="004E5275"/>
    <w:rsid w:val="004E6E70"/>
    <w:rsid w:val="004E748D"/>
    <w:rsid w:val="004F1D81"/>
    <w:rsid w:val="00504F02"/>
    <w:rsid w:val="00504FCD"/>
    <w:rsid w:val="00505814"/>
    <w:rsid w:val="0050618E"/>
    <w:rsid w:val="00506F86"/>
    <w:rsid w:val="0051196B"/>
    <w:rsid w:val="00513035"/>
    <w:rsid w:val="005134B5"/>
    <w:rsid w:val="00517E38"/>
    <w:rsid w:val="00523D7B"/>
    <w:rsid w:val="00531CDB"/>
    <w:rsid w:val="005361F1"/>
    <w:rsid w:val="005364DC"/>
    <w:rsid w:val="00540470"/>
    <w:rsid w:val="005410C9"/>
    <w:rsid w:val="00541377"/>
    <w:rsid w:val="00546255"/>
    <w:rsid w:val="005462D1"/>
    <w:rsid w:val="005467E0"/>
    <w:rsid w:val="00550FF4"/>
    <w:rsid w:val="00551474"/>
    <w:rsid w:val="005528D3"/>
    <w:rsid w:val="00554B78"/>
    <w:rsid w:val="005555B1"/>
    <w:rsid w:val="005665BC"/>
    <w:rsid w:val="00567B62"/>
    <w:rsid w:val="00567CA6"/>
    <w:rsid w:val="00582103"/>
    <w:rsid w:val="00583571"/>
    <w:rsid w:val="005837B2"/>
    <w:rsid w:val="00584A70"/>
    <w:rsid w:val="0059052A"/>
    <w:rsid w:val="005933B5"/>
    <w:rsid w:val="00596652"/>
    <w:rsid w:val="00596ACF"/>
    <w:rsid w:val="005A14E0"/>
    <w:rsid w:val="005A31AF"/>
    <w:rsid w:val="005A36EC"/>
    <w:rsid w:val="005A43E4"/>
    <w:rsid w:val="005A4E5A"/>
    <w:rsid w:val="005A7878"/>
    <w:rsid w:val="005A78B6"/>
    <w:rsid w:val="005B06B1"/>
    <w:rsid w:val="005B4928"/>
    <w:rsid w:val="005B5865"/>
    <w:rsid w:val="005B5A3A"/>
    <w:rsid w:val="005B5F6E"/>
    <w:rsid w:val="005B7690"/>
    <w:rsid w:val="005C36C9"/>
    <w:rsid w:val="005C3E58"/>
    <w:rsid w:val="005C3EAC"/>
    <w:rsid w:val="005D0285"/>
    <w:rsid w:val="005D3379"/>
    <w:rsid w:val="005E1ABA"/>
    <w:rsid w:val="005E5EC7"/>
    <w:rsid w:val="005E614A"/>
    <w:rsid w:val="005E72E8"/>
    <w:rsid w:val="00602F75"/>
    <w:rsid w:val="00603DBE"/>
    <w:rsid w:val="0060535A"/>
    <w:rsid w:val="0060536A"/>
    <w:rsid w:val="006171F5"/>
    <w:rsid w:val="00617D1A"/>
    <w:rsid w:val="00620ED9"/>
    <w:rsid w:val="0062554D"/>
    <w:rsid w:val="00626413"/>
    <w:rsid w:val="0063532C"/>
    <w:rsid w:val="00640387"/>
    <w:rsid w:val="0064169B"/>
    <w:rsid w:val="00643622"/>
    <w:rsid w:val="00646537"/>
    <w:rsid w:val="0065307A"/>
    <w:rsid w:val="006600E1"/>
    <w:rsid w:val="006612CB"/>
    <w:rsid w:val="00664E7A"/>
    <w:rsid w:val="00665A80"/>
    <w:rsid w:val="006660C3"/>
    <w:rsid w:val="00666F1E"/>
    <w:rsid w:val="006718D0"/>
    <w:rsid w:val="00674BC1"/>
    <w:rsid w:val="00675E7B"/>
    <w:rsid w:val="00683C2E"/>
    <w:rsid w:val="00684F86"/>
    <w:rsid w:val="006850C9"/>
    <w:rsid w:val="00690060"/>
    <w:rsid w:val="006921AA"/>
    <w:rsid w:val="00695132"/>
    <w:rsid w:val="00696225"/>
    <w:rsid w:val="006A0CEF"/>
    <w:rsid w:val="006A73D8"/>
    <w:rsid w:val="006B44C3"/>
    <w:rsid w:val="006C12BD"/>
    <w:rsid w:val="006C4B85"/>
    <w:rsid w:val="006C649F"/>
    <w:rsid w:val="006D26A8"/>
    <w:rsid w:val="006D3ACC"/>
    <w:rsid w:val="006D566C"/>
    <w:rsid w:val="006E0611"/>
    <w:rsid w:val="006E1A76"/>
    <w:rsid w:val="006E3800"/>
    <w:rsid w:val="006E6A2D"/>
    <w:rsid w:val="006E7B36"/>
    <w:rsid w:val="006F0CA4"/>
    <w:rsid w:val="006F1509"/>
    <w:rsid w:val="006F165E"/>
    <w:rsid w:val="00707DF5"/>
    <w:rsid w:val="00714D44"/>
    <w:rsid w:val="00721E3C"/>
    <w:rsid w:val="0072576D"/>
    <w:rsid w:val="007266A5"/>
    <w:rsid w:val="007341F6"/>
    <w:rsid w:val="00735EB3"/>
    <w:rsid w:val="007362FD"/>
    <w:rsid w:val="007517C2"/>
    <w:rsid w:val="0075289E"/>
    <w:rsid w:val="00763F5A"/>
    <w:rsid w:val="00765150"/>
    <w:rsid w:val="0077075D"/>
    <w:rsid w:val="007707FB"/>
    <w:rsid w:val="00770DA6"/>
    <w:rsid w:val="00772461"/>
    <w:rsid w:val="00776848"/>
    <w:rsid w:val="00790346"/>
    <w:rsid w:val="007A0BF9"/>
    <w:rsid w:val="007A1803"/>
    <w:rsid w:val="007A3126"/>
    <w:rsid w:val="007A5129"/>
    <w:rsid w:val="007B5FD2"/>
    <w:rsid w:val="007C5F9F"/>
    <w:rsid w:val="007C629F"/>
    <w:rsid w:val="007C689A"/>
    <w:rsid w:val="007D2A6A"/>
    <w:rsid w:val="007E1CEA"/>
    <w:rsid w:val="007E572A"/>
    <w:rsid w:val="007F2DC3"/>
    <w:rsid w:val="00800C51"/>
    <w:rsid w:val="00804795"/>
    <w:rsid w:val="00807E7D"/>
    <w:rsid w:val="0081116F"/>
    <w:rsid w:val="00811BAB"/>
    <w:rsid w:val="008147F5"/>
    <w:rsid w:val="00816B88"/>
    <w:rsid w:val="008248AA"/>
    <w:rsid w:val="008332B2"/>
    <w:rsid w:val="0083358C"/>
    <w:rsid w:val="00833949"/>
    <w:rsid w:val="008429D5"/>
    <w:rsid w:val="00846B99"/>
    <w:rsid w:val="00850518"/>
    <w:rsid w:val="0085292F"/>
    <w:rsid w:val="008542D6"/>
    <w:rsid w:val="00854B26"/>
    <w:rsid w:val="008625E1"/>
    <w:rsid w:val="00863B35"/>
    <w:rsid w:val="0086418C"/>
    <w:rsid w:val="00870AA4"/>
    <w:rsid w:val="008740E2"/>
    <w:rsid w:val="00874E79"/>
    <w:rsid w:val="00880209"/>
    <w:rsid w:val="00887AB8"/>
    <w:rsid w:val="008904AC"/>
    <w:rsid w:val="008908AE"/>
    <w:rsid w:val="00892A71"/>
    <w:rsid w:val="008A4778"/>
    <w:rsid w:val="008A7F3E"/>
    <w:rsid w:val="008B0458"/>
    <w:rsid w:val="008C0810"/>
    <w:rsid w:val="008C1C6D"/>
    <w:rsid w:val="008C1C79"/>
    <w:rsid w:val="008C6174"/>
    <w:rsid w:val="008D1184"/>
    <w:rsid w:val="008D2354"/>
    <w:rsid w:val="008D2AA2"/>
    <w:rsid w:val="008E0475"/>
    <w:rsid w:val="008E4075"/>
    <w:rsid w:val="008E4405"/>
    <w:rsid w:val="008E4BBC"/>
    <w:rsid w:val="008E623F"/>
    <w:rsid w:val="008E6CE6"/>
    <w:rsid w:val="008F33AA"/>
    <w:rsid w:val="008F4F3B"/>
    <w:rsid w:val="008F5012"/>
    <w:rsid w:val="008F511D"/>
    <w:rsid w:val="008F5754"/>
    <w:rsid w:val="00907725"/>
    <w:rsid w:val="00915B4F"/>
    <w:rsid w:val="009171F7"/>
    <w:rsid w:val="009174C3"/>
    <w:rsid w:val="00917AA0"/>
    <w:rsid w:val="00921B30"/>
    <w:rsid w:val="009231D5"/>
    <w:rsid w:val="00932424"/>
    <w:rsid w:val="0094155A"/>
    <w:rsid w:val="00945C70"/>
    <w:rsid w:val="009539D2"/>
    <w:rsid w:val="00954698"/>
    <w:rsid w:val="00962655"/>
    <w:rsid w:val="0096634F"/>
    <w:rsid w:val="00967F6B"/>
    <w:rsid w:val="00970F60"/>
    <w:rsid w:val="00972949"/>
    <w:rsid w:val="009743A2"/>
    <w:rsid w:val="009757A2"/>
    <w:rsid w:val="00982640"/>
    <w:rsid w:val="009847B4"/>
    <w:rsid w:val="00987B7E"/>
    <w:rsid w:val="009931AE"/>
    <w:rsid w:val="009A160F"/>
    <w:rsid w:val="009A4BCB"/>
    <w:rsid w:val="009B283B"/>
    <w:rsid w:val="009C0BDF"/>
    <w:rsid w:val="009C62C3"/>
    <w:rsid w:val="009C712D"/>
    <w:rsid w:val="009D0B54"/>
    <w:rsid w:val="009D0BE4"/>
    <w:rsid w:val="009F08ED"/>
    <w:rsid w:val="009F3785"/>
    <w:rsid w:val="009F563E"/>
    <w:rsid w:val="009F75C3"/>
    <w:rsid w:val="00A000D1"/>
    <w:rsid w:val="00A034BC"/>
    <w:rsid w:val="00A10BA3"/>
    <w:rsid w:val="00A11A40"/>
    <w:rsid w:val="00A1785F"/>
    <w:rsid w:val="00A2730D"/>
    <w:rsid w:val="00A27F8C"/>
    <w:rsid w:val="00A30B89"/>
    <w:rsid w:val="00A44430"/>
    <w:rsid w:val="00A4674E"/>
    <w:rsid w:val="00A53592"/>
    <w:rsid w:val="00A55269"/>
    <w:rsid w:val="00A55A83"/>
    <w:rsid w:val="00A55AD0"/>
    <w:rsid w:val="00A61BFB"/>
    <w:rsid w:val="00A62E0F"/>
    <w:rsid w:val="00A631E0"/>
    <w:rsid w:val="00A63B6F"/>
    <w:rsid w:val="00A64671"/>
    <w:rsid w:val="00A76393"/>
    <w:rsid w:val="00A83F6D"/>
    <w:rsid w:val="00A84145"/>
    <w:rsid w:val="00A84357"/>
    <w:rsid w:val="00A86A94"/>
    <w:rsid w:val="00A87977"/>
    <w:rsid w:val="00A87C2D"/>
    <w:rsid w:val="00A95F6A"/>
    <w:rsid w:val="00A97E57"/>
    <w:rsid w:val="00AA0750"/>
    <w:rsid w:val="00AA19AF"/>
    <w:rsid w:val="00AA5ECC"/>
    <w:rsid w:val="00AA62FF"/>
    <w:rsid w:val="00AB2864"/>
    <w:rsid w:val="00AB49BB"/>
    <w:rsid w:val="00AB4D74"/>
    <w:rsid w:val="00AC0679"/>
    <w:rsid w:val="00AC1F6C"/>
    <w:rsid w:val="00AC2700"/>
    <w:rsid w:val="00AD4AD4"/>
    <w:rsid w:val="00AE266C"/>
    <w:rsid w:val="00AE48EF"/>
    <w:rsid w:val="00AE65D1"/>
    <w:rsid w:val="00AF094E"/>
    <w:rsid w:val="00AF7FC7"/>
    <w:rsid w:val="00B00E49"/>
    <w:rsid w:val="00B023F4"/>
    <w:rsid w:val="00B10A60"/>
    <w:rsid w:val="00B11169"/>
    <w:rsid w:val="00B11BCC"/>
    <w:rsid w:val="00B1281A"/>
    <w:rsid w:val="00B14431"/>
    <w:rsid w:val="00B14B05"/>
    <w:rsid w:val="00B16A81"/>
    <w:rsid w:val="00B17936"/>
    <w:rsid w:val="00B317F1"/>
    <w:rsid w:val="00B31856"/>
    <w:rsid w:val="00B33E97"/>
    <w:rsid w:val="00B35F87"/>
    <w:rsid w:val="00B36056"/>
    <w:rsid w:val="00B4346E"/>
    <w:rsid w:val="00B442B3"/>
    <w:rsid w:val="00B47682"/>
    <w:rsid w:val="00B51457"/>
    <w:rsid w:val="00B63F52"/>
    <w:rsid w:val="00B67163"/>
    <w:rsid w:val="00B71577"/>
    <w:rsid w:val="00B72CBC"/>
    <w:rsid w:val="00B73EF9"/>
    <w:rsid w:val="00B764D8"/>
    <w:rsid w:val="00B771CC"/>
    <w:rsid w:val="00B80750"/>
    <w:rsid w:val="00B8149A"/>
    <w:rsid w:val="00B84162"/>
    <w:rsid w:val="00B84FFF"/>
    <w:rsid w:val="00B92A18"/>
    <w:rsid w:val="00B9322F"/>
    <w:rsid w:val="00B9677D"/>
    <w:rsid w:val="00BA0C49"/>
    <w:rsid w:val="00BA1552"/>
    <w:rsid w:val="00BA29C0"/>
    <w:rsid w:val="00BA6BC0"/>
    <w:rsid w:val="00BB2541"/>
    <w:rsid w:val="00BB2DD4"/>
    <w:rsid w:val="00BD34E7"/>
    <w:rsid w:val="00BD7D9B"/>
    <w:rsid w:val="00BD7E17"/>
    <w:rsid w:val="00BE0AF0"/>
    <w:rsid w:val="00BF3B53"/>
    <w:rsid w:val="00C04F70"/>
    <w:rsid w:val="00C062EA"/>
    <w:rsid w:val="00C13284"/>
    <w:rsid w:val="00C16CE8"/>
    <w:rsid w:val="00C17768"/>
    <w:rsid w:val="00C17E92"/>
    <w:rsid w:val="00C351FD"/>
    <w:rsid w:val="00C42F63"/>
    <w:rsid w:val="00C446F7"/>
    <w:rsid w:val="00C448D9"/>
    <w:rsid w:val="00C47DA7"/>
    <w:rsid w:val="00C5050A"/>
    <w:rsid w:val="00C52C0E"/>
    <w:rsid w:val="00C52FC4"/>
    <w:rsid w:val="00C56DC1"/>
    <w:rsid w:val="00C6376F"/>
    <w:rsid w:val="00C64C12"/>
    <w:rsid w:val="00C66E2A"/>
    <w:rsid w:val="00C712B1"/>
    <w:rsid w:val="00C774D0"/>
    <w:rsid w:val="00C85A72"/>
    <w:rsid w:val="00C91830"/>
    <w:rsid w:val="00C9640C"/>
    <w:rsid w:val="00CA075E"/>
    <w:rsid w:val="00CA2EBB"/>
    <w:rsid w:val="00CB0197"/>
    <w:rsid w:val="00CB23E8"/>
    <w:rsid w:val="00CB5439"/>
    <w:rsid w:val="00CC3572"/>
    <w:rsid w:val="00CD2B0B"/>
    <w:rsid w:val="00CD6966"/>
    <w:rsid w:val="00CD721E"/>
    <w:rsid w:val="00CD72A2"/>
    <w:rsid w:val="00CE3B8A"/>
    <w:rsid w:val="00CE5765"/>
    <w:rsid w:val="00CE5B9D"/>
    <w:rsid w:val="00CF171D"/>
    <w:rsid w:val="00CF52A7"/>
    <w:rsid w:val="00CF541A"/>
    <w:rsid w:val="00CF544E"/>
    <w:rsid w:val="00CF778C"/>
    <w:rsid w:val="00D000CC"/>
    <w:rsid w:val="00D017FB"/>
    <w:rsid w:val="00D02CEE"/>
    <w:rsid w:val="00D03E01"/>
    <w:rsid w:val="00D043E7"/>
    <w:rsid w:val="00D0773E"/>
    <w:rsid w:val="00D07DAA"/>
    <w:rsid w:val="00D132D2"/>
    <w:rsid w:val="00D13828"/>
    <w:rsid w:val="00D13CB4"/>
    <w:rsid w:val="00D1506B"/>
    <w:rsid w:val="00D16BC9"/>
    <w:rsid w:val="00D16EDD"/>
    <w:rsid w:val="00D20523"/>
    <w:rsid w:val="00D20ED5"/>
    <w:rsid w:val="00D21924"/>
    <w:rsid w:val="00D23639"/>
    <w:rsid w:val="00D261C7"/>
    <w:rsid w:val="00D26C25"/>
    <w:rsid w:val="00D27C11"/>
    <w:rsid w:val="00D27F18"/>
    <w:rsid w:val="00D32D10"/>
    <w:rsid w:val="00D34055"/>
    <w:rsid w:val="00D45728"/>
    <w:rsid w:val="00D45F22"/>
    <w:rsid w:val="00D515B5"/>
    <w:rsid w:val="00D54E69"/>
    <w:rsid w:val="00D56A23"/>
    <w:rsid w:val="00D60877"/>
    <w:rsid w:val="00D669C3"/>
    <w:rsid w:val="00D66C9F"/>
    <w:rsid w:val="00D723D2"/>
    <w:rsid w:val="00D76975"/>
    <w:rsid w:val="00D77D52"/>
    <w:rsid w:val="00D82FED"/>
    <w:rsid w:val="00D83961"/>
    <w:rsid w:val="00D83FFF"/>
    <w:rsid w:val="00D8420F"/>
    <w:rsid w:val="00D911D3"/>
    <w:rsid w:val="00D92BAD"/>
    <w:rsid w:val="00D944B8"/>
    <w:rsid w:val="00D945AD"/>
    <w:rsid w:val="00D94ED1"/>
    <w:rsid w:val="00D96B14"/>
    <w:rsid w:val="00DA475C"/>
    <w:rsid w:val="00DB0133"/>
    <w:rsid w:val="00DB17E7"/>
    <w:rsid w:val="00DB3048"/>
    <w:rsid w:val="00DB6CAA"/>
    <w:rsid w:val="00DC29DF"/>
    <w:rsid w:val="00DC5A0B"/>
    <w:rsid w:val="00DC5DCA"/>
    <w:rsid w:val="00DD0860"/>
    <w:rsid w:val="00DD1058"/>
    <w:rsid w:val="00DD544A"/>
    <w:rsid w:val="00DE649A"/>
    <w:rsid w:val="00DE6F8C"/>
    <w:rsid w:val="00DF16CF"/>
    <w:rsid w:val="00DF40B8"/>
    <w:rsid w:val="00DF4C59"/>
    <w:rsid w:val="00DF6191"/>
    <w:rsid w:val="00DF61C2"/>
    <w:rsid w:val="00DF6A85"/>
    <w:rsid w:val="00E02243"/>
    <w:rsid w:val="00E03B02"/>
    <w:rsid w:val="00E04CF4"/>
    <w:rsid w:val="00E0781C"/>
    <w:rsid w:val="00E078A6"/>
    <w:rsid w:val="00E115F7"/>
    <w:rsid w:val="00E12B3E"/>
    <w:rsid w:val="00E13313"/>
    <w:rsid w:val="00E150A0"/>
    <w:rsid w:val="00E24128"/>
    <w:rsid w:val="00E27368"/>
    <w:rsid w:val="00E275E4"/>
    <w:rsid w:val="00E31069"/>
    <w:rsid w:val="00E341F8"/>
    <w:rsid w:val="00E34940"/>
    <w:rsid w:val="00E356B1"/>
    <w:rsid w:val="00E36529"/>
    <w:rsid w:val="00E45105"/>
    <w:rsid w:val="00E527CA"/>
    <w:rsid w:val="00E53E4E"/>
    <w:rsid w:val="00E55ED9"/>
    <w:rsid w:val="00E60BBA"/>
    <w:rsid w:val="00E624E2"/>
    <w:rsid w:val="00E679E6"/>
    <w:rsid w:val="00E72C8D"/>
    <w:rsid w:val="00E72DBD"/>
    <w:rsid w:val="00E82413"/>
    <w:rsid w:val="00E828AB"/>
    <w:rsid w:val="00E83076"/>
    <w:rsid w:val="00E911B2"/>
    <w:rsid w:val="00EA0331"/>
    <w:rsid w:val="00EA191E"/>
    <w:rsid w:val="00EA55F0"/>
    <w:rsid w:val="00EA74E6"/>
    <w:rsid w:val="00EB0215"/>
    <w:rsid w:val="00EB0480"/>
    <w:rsid w:val="00EB205B"/>
    <w:rsid w:val="00EB6B61"/>
    <w:rsid w:val="00EC2D06"/>
    <w:rsid w:val="00EC32BB"/>
    <w:rsid w:val="00EC5BBE"/>
    <w:rsid w:val="00EC621C"/>
    <w:rsid w:val="00ED7EA8"/>
    <w:rsid w:val="00EE1DAB"/>
    <w:rsid w:val="00EE240A"/>
    <w:rsid w:val="00EE3AAF"/>
    <w:rsid w:val="00EE759F"/>
    <w:rsid w:val="00EF34D6"/>
    <w:rsid w:val="00EF37E9"/>
    <w:rsid w:val="00EF5838"/>
    <w:rsid w:val="00F01DCE"/>
    <w:rsid w:val="00F025A4"/>
    <w:rsid w:val="00F03985"/>
    <w:rsid w:val="00F05A3B"/>
    <w:rsid w:val="00F05DE0"/>
    <w:rsid w:val="00F1151C"/>
    <w:rsid w:val="00F1522E"/>
    <w:rsid w:val="00F173E2"/>
    <w:rsid w:val="00F20AF6"/>
    <w:rsid w:val="00F22C1A"/>
    <w:rsid w:val="00F23294"/>
    <w:rsid w:val="00F24A5D"/>
    <w:rsid w:val="00F300AD"/>
    <w:rsid w:val="00F36B85"/>
    <w:rsid w:val="00F37243"/>
    <w:rsid w:val="00F42E3B"/>
    <w:rsid w:val="00F43FE8"/>
    <w:rsid w:val="00F52B73"/>
    <w:rsid w:val="00F578C9"/>
    <w:rsid w:val="00F60E2F"/>
    <w:rsid w:val="00F61CED"/>
    <w:rsid w:val="00F63E1C"/>
    <w:rsid w:val="00F64854"/>
    <w:rsid w:val="00F72E0A"/>
    <w:rsid w:val="00F76131"/>
    <w:rsid w:val="00F76769"/>
    <w:rsid w:val="00F7784B"/>
    <w:rsid w:val="00F91249"/>
    <w:rsid w:val="00F916F9"/>
    <w:rsid w:val="00F96682"/>
    <w:rsid w:val="00FA1E30"/>
    <w:rsid w:val="00FA4052"/>
    <w:rsid w:val="00FA51E6"/>
    <w:rsid w:val="00FA6365"/>
    <w:rsid w:val="00FA7BF4"/>
    <w:rsid w:val="00FB6983"/>
    <w:rsid w:val="00FC21E1"/>
    <w:rsid w:val="00FC319A"/>
    <w:rsid w:val="00FC4523"/>
    <w:rsid w:val="00FC7E10"/>
    <w:rsid w:val="00FD1655"/>
    <w:rsid w:val="00FE188E"/>
    <w:rsid w:val="00FE4AC6"/>
    <w:rsid w:val="00FF2530"/>
    <w:rsid w:val="00FF5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7514BA"/>
  <w15:docId w15:val="{BE8D9824-B89D-4752-B8CF-7972E691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C8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3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9F3785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2F2F"/>
    <w:rPr>
      <w:rFonts w:ascii="Tahoma" w:hAnsi="Tahoma" w:cs="Tahoma"/>
      <w:sz w:val="16"/>
      <w:szCs w:val="16"/>
      <w:lang w:val="ru-RU"/>
    </w:rPr>
  </w:style>
  <w:style w:type="character" w:styleId="a7">
    <w:name w:val="annotation reference"/>
    <w:basedOn w:val="a0"/>
    <w:uiPriority w:val="99"/>
    <w:semiHidden/>
    <w:unhideWhenUsed/>
    <w:rsid w:val="00CA2EB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A2EB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CA2EBB"/>
    <w:rPr>
      <w:sz w:val="20"/>
      <w:szCs w:val="20"/>
      <w:lang w:val="ru-RU"/>
    </w:rPr>
  </w:style>
  <w:style w:type="paragraph" w:styleId="aa">
    <w:name w:val="Revision"/>
    <w:hidden/>
    <w:uiPriority w:val="99"/>
    <w:semiHidden/>
    <w:rsid w:val="00F578C9"/>
    <w:pPr>
      <w:spacing w:after="0" w:line="240" w:lineRule="auto"/>
    </w:pPr>
    <w:rPr>
      <w:lang w:val="ru-RU"/>
    </w:rPr>
  </w:style>
  <w:style w:type="paragraph" w:styleId="ab">
    <w:name w:val="List Paragraph"/>
    <w:basedOn w:val="a"/>
    <w:uiPriority w:val="34"/>
    <w:qFormat/>
    <w:rsid w:val="000911E8"/>
    <w:pPr>
      <w:ind w:left="720"/>
      <w:contextualSpacing/>
    </w:pPr>
  </w:style>
  <w:style w:type="paragraph" w:customStyle="1" w:styleId="rvps14">
    <w:name w:val="rvps14"/>
    <w:basedOn w:val="a"/>
    <w:rsid w:val="0003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A5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F7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c">
    <w:name w:val="Table Grid"/>
    <w:basedOn w:val="a1"/>
    <w:uiPriority w:val="39"/>
    <w:rsid w:val="00155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341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680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4534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3916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0188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45931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651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8.png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gif"/><Relationship Id="rId14" Type="http://schemas.openxmlformats.org/officeDocument/2006/relationships/image" Target="media/image9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41923-5F9B-43D2-853D-AA75F658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8278</Words>
  <Characters>47187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55355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Ірина Кириленко</cp:lastModifiedBy>
  <cp:revision>15</cp:revision>
  <cp:lastPrinted>2022-07-12T06:47:00Z</cp:lastPrinted>
  <dcterms:created xsi:type="dcterms:W3CDTF">2022-09-06T09:48:00Z</dcterms:created>
  <dcterms:modified xsi:type="dcterms:W3CDTF">2022-09-06T11:43:00Z</dcterms:modified>
</cp:coreProperties>
</file>