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C4" w:rsidRPr="00DD67A4" w:rsidRDefault="005369C4" w:rsidP="005369C4">
      <w:pPr>
        <w:spacing w:after="0" w:line="240" w:lineRule="auto"/>
        <w:jc w:val="center"/>
        <w:rPr>
          <w:rFonts w:ascii="Times New Roman" w:hAnsi="Times New Roman" w:cs="Times New Roman"/>
          <w:b/>
          <w:szCs w:val="28"/>
        </w:rPr>
      </w:pPr>
      <w:r w:rsidRPr="00BA3C8D">
        <w:rPr>
          <w:rFonts w:ascii="Times New Roman" w:eastAsia="Times New Roman" w:hAnsi="Times New Roman" w:cs="Times New Roman"/>
          <w:b/>
          <w:color w:val="000000"/>
          <w:szCs w:val="28"/>
        </w:rPr>
        <w:t xml:space="preserve">Узагальнені зауваження та пропозиції </w:t>
      </w:r>
      <w:r w:rsidRPr="00DD67A4">
        <w:rPr>
          <w:rFonts w:ascii="Times New Roman" w:hAnsi="Times New Roman" w:cs="Times New Roman"/>
          <w:b/>
          <w:szCs w:val="28"/>
        </w:rPr>
        <w:t xml:space="preserve">до </w:t>
      </w:r>
      <w:proofErr w:type="spellStart"/>
      <w:r w:rsidRPr="00DD67A4">
        <w:rPr>
          <w:rFonts w:ascii="Times New Roman" w:hAnsi="Times New Roman" w:cs="Times New Roman"/>
          <w:b/>
          <w:szCs w:val="28"/>
        </w:rPr>
        <w:t>проєкту</w:t>
      </w:r>
      <w:proofErr w:type="spellEnd"/>
      <w:r w:rsidRPr="00DD67A4">
        <w:rPr>
          <w:rFonts w:ascii="Times New Roman" w:hAnsi="Times New Roman" w:cs="Times New Roman"/>
          <w:b/>
          <w:szCs w:val="28"/>
        </w:rPr>
        <w:t xml:space="preserve"> постанови НКРЕКП</w:t>
      </w:r>
    </w:p>
    <w:p w:rsidR="005369C4" w:rsidRDefault="005369C4" w:rsidP="005369C4">
      <w:pPr>
        <w:spacing w:after="0" w:line="240" w:lineRule="auto"/>
        <w:jc w:val="center"/>
        <w:rPr>
          <w:rFonts w:ascii="Times New Roman" w:hAnsi="Times New Roman" w:cs="Times New Roman"/>
          <w:b/>
          <w:szCs w:val="28"/>
        </w:rPr>
      </w:pPr>
      <w:r>
        <w:rPr>
          <w:rFonts w:ascii="Times New Roman" w:hAnsi="Times New Roman" w:cs="Times New Roman"/>
          <w:b/>
          <w:szCs w:val="28"/>
        </w:rPr>
        <w:t xml:space="preserve">«Про внесення змін до Кодексу газотранспортної системи та Кодексу газорозподільних систем», </w:t>
      </w:r>
    </w:p>
    <w:p w:rsidR="005369C4" w:rsidRPr="00A0037C" w:rsidRDefault="005369C4" w:rsidP="005369C4">
      <w:pPr>
        <w:spacing w:after="0" w:line="240" w:lineRule="auto"/>
        <w:jc w:val="center"/>
        <w:rPr>
          <w:rFonts w:ascii="Times New Roman" w:hAnsi="Times New Roman" w:cs="Times New Roman"/>
          <w:b/>
          <w:szCs w:val="28"/>
        </w:rPr>
      </w:pPr>
      <w:r>
        <w:rPr>
          <w:rFonts w:ascii="Times New Roman" w:hAnsi="Times New Roman" w:cs="Times New Roman"/>
          <w:b/>
          <w:szCs w:val="28"/>
        </w:rPr>
        <w:t>що має ознаки регуляторного акта</w:t>
      </w:r>
    </w:p>
    <w:p w:rsidR="005369C4" w:rsidRPr="00BA3C8D" w:rsidRDefault="005369C4" w:rsidP="005369C4">
      <w:pPr>
        <w:spacing w:after="0" w:line="240" w:lineRule="auto"/>
        <w:jc w:val="center"/>
        <w:rPr>
          <w:rFonts w:ascii="Times New Roman" w:eastAsia="Times New Roman" w:hAnsi="Times New Roman" w:cs="Times New Roman"/>
          <w:b/>
          <w:sz w:val="24"/>
          <w:szCs w:val="24"/>
        </w:rPr>
      </w:pPr>
    </w:p>
    <w:tbl>
      <w:tblPr>
        <w:tblW w:w="154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6"/>
        <w:gridCol w:w="7087"/>
        <w:gridCol w:w="3827"/>
      </w:tblGrid>
      <w:tr w:rsidR="005369C4" w:rsidRPr="00EC2FC5" w:rsidTr="00BD239F">
        <w:trPr>
          <w:trHeight w:val="20"/>
        </w:trPr>
        <w:tc>
          <w:tcPr>
            <w:tcW w:w="4566" w:type="dxa"/>
            <w:shd w:val="clear" w:color="auto" w:fill="auto"/>
          </w:tcPr>
          <w:p w:rsidR="005369C4" w:rsidRPr="00EC2FC5" w:rsidRDefault="005369C4" w:rsidP="0021540C">
            <w:pPr>
              <w:spacing w:after="0" w:line="240" w:lineRule="auto"/>
              <w:jc w:val="center"/>
              <w:rPr>
                <w:rFonts w:ascii="Times New Roman" w:eastAsia="Times New Roman" w:hAnsi="Times New Roman" w:cs="Times New Roman"/>
                <w:b/>
                <w:sz w:val="24"/>
                <w:szCs w:val="24"/>
              </w:rPr>
            </w:pPr>
            <w:r w:rsidRPr="00EC2FC5">
              <w:rPr>
                <w:rFonts w:ascii="Times New Roman" w:eastAsia="Times New Roman" w:hAnsi="Times New Roman" w:cs="Times New Roman"/>
                <w:b/>
                <w:sz w:val="24"/>
                <w:szCs w:val="24"/>
              </w:rPr>
              <w:t xml:space="preserve">Редакція </w:t>
            </w:r>
            <w:proofErr w:type="spellStart"/>
            <w:r w:rsidRPr="00EC2FC5">
              <w:rPr>
                <w:rFonts w:ascii="Times New Roman" w:eastAsia="Times New Roman" w:hAnsi="Times New Roman" w:cs="Times New Roman"/>
                <w:b/>
                <w:sz w:val="24"/>
                <w:szCs w:val="24"/>
              </w:rPr>
              <w:t>проєкту</w:t>
            </w:r>
            <w:proofErr w:type="spellEnd"/>
            <w:r w:rsidRPr="00EC2FC5">
              <w:rPr>
                <w:rFonts w:ascii="Times New Roman" w:eastAsia="Times New Roman" w:hAnsi="Times New Roman" w:cs="Times New Roman"/>
                <w:b/>
                <w:sz w:val="24"/>
                <w:szCs w:val="24"/>
              </w:rPr>
              <w:t xml:space="preserve"> рішення НКРЕКП</w:t>
            </w:r>
          </w:p>
        </w:tc>
        <w:tc>
          <w:tcPr>
            <w:tcW w:w="7087" w:type="dxa"/>
          </w:tcPr>
          <w:p w:rsidR="005369C4" w:rsidRPr="00EC2FC5" w:rsidRDefault="005369C4" w:rsidP="0021540C">
            <w:pPr>
              <w:spacing w:after="0" w:line="240" w:lineRule="auto"/>
              <w:jc w:val="center"/>
              <w:rPr>
                <w:rFonts w:ascii="Times New Roman" w:eastAsia="Times New Roman" w:hAnsi="Times New Roman" w:cs="Times New Roman"/>
                <w:b/>
                <w:i/>
                <w:sz w:val="24"/>
                <w:szCs w:val="24"/>
              </w:rPr>
            </w:pPr>
            <w:r w:rsidRPr="00EC2FC5">
              <w:rPr>
                <w:rFonts w:ascii="Times New Roman" w:eastAsia="Times New Roman" w:hAnsi="Times New Roman" w:cs="Times New Roman"/>
                <w:b/>
                <w:sz w:val="24"/>
                <w:szCs w:val="24"/>
              </w:rPr>
              <w:t xml:space="preserve">Зауваження та пропозиції до </w:t>
            </w:r>
            <w:proofErr w:type="spellStart"/>
            <w:r w:rsidRPr="00EC2FC5">
              <w:rPr>
                <w:rFonts w:ascii="Times New Roman" w:eastAsia="Times New Roman" w:hAnsi="Times New Roman" w:cs="Times New Roman"/>
                <w:b/>
                <w:sz w:val="24"/>
                <w:szCs w:val="24"/>
              </w:rPr>
              <w:t>проєкту</w:t>
            </w:r>
            <w:proofErr w:type="spellEnd"/>
            <w:r w:rsidRPr="00EC2FC5">
              <w:rPr>
                <w:rFonts w:ascii="Times New Roman" w:eastAsia="Times New Roman" w:hAnsi="Times New Roman" w:cs="Times New Roman"/>
                <w:b/>
                <w:sz w:val="24"/>
                <w:szCs w:val="24"/>
              </w:rPr>
              <w:t xml:space="preserve"> рішення НКРЕКП</w:t>
            </w:r>
          </w:p>
        </w:tc>
        <w:tc>
          <w:tcPr>
            <w:tcW w:w="3827" w:type="dxa"/>
          </w:tcPr>
          <w:p w:rsidR="005369C4" w:rsidRPr="00EC2FC5" w:rsidRDefault="005369C4" w:rsidP="0021540C">
            <w:pPr>
              <w:spacing w:after="0" w:line="240" w:lineRule="auto"/>
              <w:jc w:val="center"/>
              <w:rPr>
                <w:rFonts w:ascii="Times New Roman" w:eastAsia="Times New Roman" w:hAnsi="Times New Roman" w:cs="Times New Roman"/>
                <w:b/>
                <w:i/>
                <w:sz w:val="24"/>
                <w:szCs w:val="24"/>
              </w:rPr>
            </w:pPr>
            <w:r w:rsidRPr="00EC2FC5">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369C4" w:rsidRPr="00EC2FC5" w:rsidTr="00BD239F">
        <w:trPr>
          <w:trHeight w:val="20"/>
        </w:trPr>
        <w:tc>
          <w:tcPr>
            <w:tcW w:w="15480" w:type="dxa"/>
            <w:gridSpan w:val="3"/>
            <w:shd w:val="clear" w:color="auto" w:fill="auto"/>
            <w:vAlign w:val="center"/>
          </w:tcPr>
          <w:p w:rsidR="005369C4" w:rsidRPr="00EC2FC5" w:rsidRDefault="00C630F9" w:rsidP="002154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КОДЕКС</w:t>
            </w:r>
            <w:r w:rsidR="005369C4">
              <w:rPr>
                <w:rFonts w:ascii="Times New Roman" w:eastAsia="Times New Roman" w:hAnsi="Times New Roman" w:cs="Times New Roman"/>
                <w:b/>
                <w:i/>
                <w:sz w:val="24"/>
                <w:szCs w:val="24"/>
              </w:rPr>
              <w:t xml:space="preserve"> ГАЗОТРАНСПОРТНОЇ СИСТЕМИ</w:t>
            </w:r>
          </w:p>
        </w:tc>
      </w:tr>
      <w:tr w:rsidR="005369C4" w:rsidRPr="00EC2FC5" w:rsidTr="00BD239F">
        <w:trPr>
          <w:trHeight w:val="20"/>
        </w:trPr>
        <w:tc>
          <w:tcPr>
            <w:tcW w:w="15480" w:type="dxa"/>
            <w:gridSpan w:val="3"/>
            <w:shd w:val="clear" w:color="auto" w:fill="auto"/>
            <w:vAlign w:val="center"/>
          </w:tcPr>
          <w:p w:rsidR="005369C4" w:rsidRPr="00EC2FC5" w:rsidRDefault="00F027C6" w:rsidP="0021540C">
            <w:pPr>
              <w:spacing w:after="0" w:line="240" w:lineRule="auto"/>
              <w:jc w:val="center"/>
              <w:rPr>
                <w:rFonts w:ascii="Times New Roman" w:eastAsia="Times New Roman" w:hAnsi="Times New Roman" w:cs="Times New Roman"/>
                <w:b/>
                <w:sz w:val="24"/>
                <w:szCs w:val="24"/>
              </w:rPr>
            </w:pPr>
            <w:r w:rsidRPr="00243194">
              <w:rPr>
                <w:rFonts w:ascii="Times New Roman" w:eastAsia="Times New Roman" w:hAnsi="Times New Roman" w:cs="Times New Roman"/>
                <w:b/>
                <w:i/>
                <w:sz w:val="24"/>
                <w:szCs w:val="24"/>
                <w:lang w:eastAsia="uk-UA"/>
              </w:rPr>
              <w:t>I. ЗАГАЛЬНІ ПОЛОЖЕННЯ</w:t>
            </w:r>
          </w:p>
        </w:tc>
      </w:tr>
      <w:tr w:rsidR="005369C4" w:rsidRPr="00EC2FC5" w:rsidTr="00BD239F">
        <w:trPr>
          <w:trHeight w:val="20"/>
        </w:trPr>
        <w:tc>
          <w:tcPr>
            <w:tcW w:w="15480" w:type="dxa"/>
            <w:gridSpan w:val="3"/>
            <w:shd w:val="clear" w:color="auto" w:fill="auto"/>
          </w:tcPr>
          <w:p w:rsidR="005369C4" w:rsidRPr="00EC2FC5" w:rsidRDefault="00F027C6" w:rsidP="0021540C">
            <w:pPr>
              <w:spacing w:after="0" w:line="240" w:lineRule="auto"/>
              <w:jc w:val="center"/>
              <w:rPr>
                <w:rFonts w:ascii="Times New Roman" w:hAnsi="Times New Roman" w:cs="Times New Roman"/>
                <w:b/>
                <w:i/>
                <w:sz w:val="24"/>
                <w:szCs w:val="24"/>
              </w:rPr>
            </w:pPr>
            <w:r w:rsidRPr="00243194">
              <w:rPr>
                <w:rFonts w:ascii="Times New Roman" w:eastAsia="Times New Roman" w:hAnsi="Times New Roman" w:cs="Times New Roman"/>
                <w:b/>
                <w:i/>
                <w:sz w:val="24"/>
                <w:szCs w:val="24"/>
                <w:lang w:eastAsia="uk-UA"/>
              </w:rPr>
              <w:t>3. Основні засади доступу до газотранспортної системи</w:t>
            </w:r>
          </w:p>
        </w:tc>
      </w:tr>
      <w:tr w:rsidR="005369C4" w:rsidRPr="00E27D28" w:rsidTr="00BD239F">
        <w:trPr>
          <w:trHeight w:val="20"/>
        </w:trPr>
        <w:tc>
          <w:tcPr>
            <w:tcW w:w="4566" w:type="dxa"/>
            <w:shd w:val="clear" w:color="auto" w:fill="auto"/>
          </w:tcPr>
          <w:p w:rsidR="005369C4" w:rsidRPr="00E27D28" w:rsidRDefault="00F027C6" w:rsidP="0021540C">
            <w:pPr>
              <w:spacing w:after="0" w:line="240" w:lineRule="auto"/>
              <w:ind w:firstLine="205"/>
              <w:jc w:val="both"/>
              <w:rPr>
                <w:rFonts w:ascii="Times New Roman" w:hAnsi="Times New Roman" w:cs="Times New Roman"/>
                <w:sz w:val="24"/>
                <w:szCs w:val="24"/>
              </w:rPr>
            </w:pPr>
            <w:r w:rsidRPr="00243194">
              <w:rPr>
                <w:rFonts w:ascii="Times New Roman" w:hAnsi="Times New Roman" w:cs="Times New Roman"/>
                <w:sz w:val="24"/>
                <w:szCs w:val="24"/>
              </w:rPr>
              <w:t xml:space="preserve">2. Виробники біогазу або інших видів газу з альтернативних джерел мають право на отримання доступу до газотранспортних і газорозподільних систем, газосховищ, установки LNG та на приєднання до газотранспортних та газорозподільних систем за умови дотримання технічних норм та стандартів безпеки відповідно до законодавства та за умови, що біогаз або інші види газу з альтернативних джерел за своїми </w:t>
            </w:r>
            <w:bookmarkStart w:id="0" w:name="_Hlk107386650"/>
            <w:r w:rsidRPr="00B256C4">
              <w:rPr>
                <w:rFonts w:ascii="Times New Roman" w:hAnsi="Times New Roman" w:cs="Times New Roman"/>
                <w:b/>
                <w:sz w:val="24"/>
                <w:szCs w:val="24"/>
              </w:rPr>
              <w:t>фізико-хімічними характеристиками відповідають нормативно-правовим актам, що регулюють питання якості природного газу</w:t>
            </w:r>
            <w:bookmarkEnd w:id="0"/>
            <w:r w:rsidRPr="00243194">
              <w:rPr>
                <w:rFonts w:ascii="Times New Roman" w:hAnsi="Times New Roman" w:cs="Times New Roman"/>
                <w:sz w:val="24"/>
                <w:szCs w:val="24"/>
              </w:rPr>
              <w:t>.</w:t>
            </w:r>
          </w:p>
        </w:tc>
        <w:tc>
          <w:tcPr>
            <w:tcW w:w="7087" w:type="dxa"/>
            <w:shd w:val="clear" w:color="auto" w:fill="auto"/>
          </w:tcPr>
          <w:p w:rsidR="005369C4" w:rsidRPr="00E27D28" w:rsidRDefault="005369C4" w:rsidP="0021540C">
            <w:pPr>
              <w:spacing w:after="0" w:line="240" w:lineRule="auto"/>
              <w:ind w:firstLine="317"/>
              <w:jc w:val="both"/>
              <w:rPr>
                <w:rFonts w:ascii="Times New Roman" w:hAnsi="Times New Roman" w:cs="Times New Roman"/>
                <w:sz w:val="24"/>
                <w:szCs w:val="24"/>
              </w:rPr>
            </w:pPr>
          </w:p>
        </w:tc>
        <w:tc>
          <w:tcPr>
            <w:tcW w:w="3827" w:type="dxa"/>
            <w:shd w:val="clear" w:color="auto" w:fill="auto"/>
          </w:tcPr>
          <w:p w:rsidR="005369C4" w:rsidRPr="00E27D28" w:rsidRDefault="005369C4" w:rsidP="0021540C">
            <w:pPr>
              <w:spacing w:after="0" w:line="240" w:lineRule="auto"/>
              <w:ind w:firstLine="176"/>
              <w:jc w:val="both"/>
              <w:rPr>
                <w:rFonts w:ascii="Times New Roman" w:hAnsi="Times New Roman" w:cs="Times New Roman"/>
                <w:sz w:val="24"/>
                <w:szCs w:val="24"/>
              </w:rPr>
            </w:pPr>
          </w:p>
        </w:tc>
      </w:tr>
      <w:tr w:rsidR="00F027C6" w:rsidRPr="00E27D28" w:rsidTr="002140C7">
        <w:trPr>
          <w:trHeight w:val="20"/>
        </w:trPr>
        <w:tc>
          <w:tcPr>
            <w:tcW w:w="15480" w:type="dxa"/>
            <w:gridSpan w:val="3"/>
            <w:shd w:val="clear" w:color="auto" w:fill="auto"/>
          </w:tcPr>
          <w:p w:rsidR="00F027C6" w:rsidRPr="003056B0" w:rsidRDefault="00F027C6" w:rsidP="0021540C">
            <w:pPr>
              <w:spacing w:after="0" w:line="240" w:lineRule="auto"/>
              <w:jc w:val="center"/>
              <w:rPr>
                <w:rFonts w:ascii="Times New Roman" w:eastAsia="Times New Roman" w:hAnsi="Times New Roman" w:cs="Times New Roman"/>
                <w:b/>
                <w:color w:val="000000"/>
                <w:sz w:val="24"/>
                <w:szCs w:val="24"/>
                <w:lang w:eastAsia="ru-RU"/>
              </w:rPr>
            </w:pPr>
            <w:r w:rsidRPr="00D37CA9">
              <w:rPr>
                <w:rFonts w:ascii="Times New Roman" w:eastAsia="Times New Roman" w:hAnsi="Times New Roman" w:cs="Times New Roman"/>
                <w:b/>
                <w:i/>
                <w:sz w:val="24"/>
                <w:szCs w:val="24"/>
                <w:lang w:eastAsia="uk-UA"/>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F027C6" w:rsidRPr="00E27D28" w:rsidTr="00386C47">
        <w:trPr>
          <w:trHeight w:val="20"/>
        </w:trPr>
        <w:tc>
          <w:tcPr>
            <w:tcW w:w="15480" w:type="dxa"/>
            <w:gridSpan w:val="3"/>
            <w:shd w:val="clear" w:color="auto" w:fill="auto"/>
          </w:tcPr>
          <w:p w:rsidR="00F027C6" w:rsidRPr="003056B0" w:rsidRDefault="00F027C6" w:rsidP="0021540C">
            <w:pPr>
              <w:spacing w:after="0" w:line="240" w:lineRule="auto"/>
              <w:jc w:val="center"/>
              <w:rPr>
                <w:rFonts w:ascii="Times New Roman" w:eastAsia="Times New Roman" w:hAnsi="Times New Roman" w:cs="Times New Roman"/>
                <w:b/>
                <w:color w:val="000000"/>
                <w:sz w:val="24"/>
                <w:szCs w:val="24"/>
                <w:lang w:eastAsia="ru-RU"/>
              </w:rPr>
            </w:pPr>
            <w:r w:rsidRPr="00D37CA9">
              <w:rPr>
                <w:rFonts w:ascii="Times New Roman" w:eastAsia="Times New Roman" w:hAnsi="Times New Roman" w:cs="Times New Roman"/>
                <w:b/>
                <w:i/>
                <w:sz w:val="24"/>
                <w:szCs w:val="24"/>
                <w:lang w:eastAsia="uk-UA"/>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r>
      <w:tr w:rsidR="00F027C6" w:rsidRPr="00E27D28" w:rsidTr="00BD239F">
        <w:trPr>
          <w:trHeight w:val="20"/>
        </w:trPr>
        <w:tc>
          <w:tcPr>
            <w:tcW w:w="4566" w:type="dxa"/>
            <w:shd w:val="clear" w:color="auto" w:fill="auto"/>
          </w:tcPr>
          <w:p w:rsidR="00C630F9" w:rsidRDefault="00C630F9" w:rsidP="0021540C">
            <w:pPr>
              <w:spacing w:after="0" w:line="240" w:lineRule="auto"/>
              <w:ind w:firstLine="205"/>
              <w:jc w:val="both"/>
              <w:rPr>
                <w:rFonts w:ascii="Times New Roman" w:hAnsi="Times New Roman" w:cs="Times New Roman"/>
                <w:sz w:val="24"/>
                <w:szCs w:val="24"/>
              </w:rPr>
            </w:pPr>
          </w:p>
          <w:p w:rsidR="00F027C6" w:rsidRPr="00D37CA9" w:rsidRDefault="00F027C6" w:rsidP="0021540C">
            <w:pPr>
              <w:spacing w:after="0" w:line="240" w:lineRule="auto"/>
              <w:ind w:firstLine="205"/>
              <w:jc w:val="both"/>
              <w:rPr>
                <w:rFonts w:ascii="Times New Roman" w:hAnsi="Times New Roman" w:cs="Times New Roman"/>
                <w:sz w:val="24"/>
                <w:szCs w:val="24"/>
              </w:rPr>
            </w:pPr>
            <w:r w:rsidRPr="00D37CA9">
              <w:rPr>
                <w:rFonts w:ascii="Times New Roman" w:hAnsi="Times New Roman" w:cs="Times New Roman"/>
                <w:sz w:val="24"/>
                <w:szCs w:val="24"/>
              </w:rPr>
              <w:t>13. Природний газ, що подається в газотранспортну систему, повинен відповідати таким вимога</w:t>
            </w:r>
            <w:r>
              <w:rPr>
                <w:rFonts w:ascii="Times New Roman" w:hAnsi="Times New Roman" w:cs="Times New Roman"/>
                <w:sz w:val="24"/>
                <w:szCs w:val="24"/>
              </w:rPr>
              <w:t>м:</w:t>
            </w:r>
          </w:p>
          <w:p w:rsidR="00F027C6" w:rsidRPr="00D37CA9" w:rsidRDefault="00F027C6" w:rsidP="0021540C">
            <w:pPr>
              <w:spacing w:after="0" w:line="240" w:lineRule="auto"/>
              <w:ind w:firstLine="205"/>
              <w:jc w:val="both"/>
              <w:rPr>
                <w:rFonts w:ascii="Times New Roman" w:hAnsi="Times New Roman" w:cs="Times New Roman"/>
                <w:sz w:val="24"/>
                <w:szCs w:val="24"/>
              </w:rPr>
            </w:pPr>
            <w:r w:rsidRPr="00D37CA9">
              <w:rPr>
                <w:rFonts w:ascii="Times New Roman" w:hAnsi="Times New Roman" w:cs="Times New Roman"/>
                <w:sz w:val="24"/>
                <w:szCs w:val="24"/>
              </w:rPr>
              <w:t>…</w:t>
            </w:r>
          </w:p>
          <w:p w:rsidR="00F027C6" w:rsidRPr="00D37CA9" w:rsidRDefault="00F027C6" w:rsidP="0021540C">
            <w:pPr>
              <w:spacing w:after="0" w:line="240" w:lineRule="auto"/>
              <w:ind w:firstLine="205"/>
              <w:jc w:val="both"/>
              <w:rPr>
                <w:rFonts w:ascii="Times New Roman" w:hAnsi="Times New Roman" w:cs="Times New Roman"/>
                <w:sz w:val="24"/>
                <w:szCs w:val="24"/>
              </w:rPr>
            </w:pPr>
            <w:r w:rsidRPr="00D37CA9">
              <w:rPr>
                <w:rFonts w:ascii="Times New Roman" w:hAnsi="Times New Roman" w:cs="Times New Roman"/>
                <w:sz w:val="24"/>
                <w:szCs w:val="24"/>
              </w:rPr>
              <w:t xml:space="preserve">вміст кисню (O </w:t>
            </w:r>
            <w:r w:rsidRPr="002C37D4">
              <w:rPr>
                <w:rFonts w:ascii="Times New Roman" w:hAnsi="Times New Roman" w:cs="Times New Roman"/>
                <w:sz w:val="24"/>
                <w:szCs w:val="24"/>
                <w:vertAlign w:val="subscript"/>
              </w:rPr>
              <w:t>2</w:t>
            </w:r>
            <w:r w:rsidRPr="00D37CA9">
              <w:rPr>
                <w:rFonts w:ascii="Times New Roman" w:hAnsi="Times New Roman" w:cs="Times New Roman"/>
                <w:sz w:val="24"/>
                <w:szCs w:val="24"/>
              </w:rPr>
              <w:t xml:space="preserve">), </w:t>
            </w:r>
            <w:proofErr w:type="spellStart"/>
            <w:r w:rsidRPr="00D37CA9">
              <w:rPr>
                <w:rFonts w:ascii="Times New Roman" w:hAnsi="Times New Roman" w:cs="Times New Roman"/>
                <w:sz w:val="24"/>
                <w:szCs w:val="24"/>
              </w:rPr>
              <w:t>мол</w:t>
            </w:r>
            <w:proofErr w:type="spellEnd"/>
            <w:r w:rsidRPr="00D37CA9">
              <w:rPr>
                <w:rFonts w:ascii="Times New Roman" w:hAnsi="Times New Roman" w:cs="Times New Roman"/>
                <w:sz w:val="24"/>
                <w:szCs w:val="24"/>
              </w:rPr>
              <w:t>. %</w:t>
            </w:r>
            <w:r>
              <w:rPr>
                <w:rFonts w:ascii="Times New Roman" w:hAnsi="Times New Roman" w:cs="Times New Roman"/>
                <w:sz w:val="24"/>
                <w:szCs w:val="24"/>
              </w:rPr>
              <w:t>                              </w:t>
            </w:r>
            <w:r w:rsidRPr="00D37CA9">
              <w:rPr>
                <w:rFonts w:ascii="Times New Roman" w:hAnsi="Times New Roman" w:cs="Times New Roman"/>
                <w:sz w:val="24"/>
                <w:szCs w:val="24"/>
              </w:rPr>
              <w:t xml:space="preserve">максимум </w:t>
            </w:r>
            <w:r>
              <w:rPr>
                <w:rFonts w:ascii="Times New Roman" w:hAnsi="Times New Roman" w:cs="Times New Roman"/>
                <w:b/>
                <w:sz w:val="24"/>
                <w:szCs w:val="24"/>
              </w:rPr>
              <w:t>0,2</w:t>
            </w:r>
          </w:p>
          <w:p w:rsidR="00F027C6" w:rsidRDefault="00F027C6" w:rsidP="0021540C">
            <w:pPr>
              <w:spacing w:after="0" w:line="240" w:lineRule="auto"/>
              <w:ind w:firstLine="205"/>
              <w:jc w:val="both"/>
              <w:rPr>
                <w:rFonts w:ascii="Times New Roman" w:hAnsi="Times New Roman" w:cs="Times New Roman"/>
                <w:sz w:val="24"/>
                <w:szCs w:val="24"/>
              </w:rPr>
            </w:pPr>
            <w:r w:rsidRPr="00D37CA9">
              <w:rPr>
                <w:rFonts w:ascii="Times New Roman" w:hAnsi="Times New Roman" w:cs="Times New Roman"/>
                <w:sz w:val="24"/>
                <w:szCs w:val="24"/>
              </w:rPr>
              <w:lastRenderedPageBreak/>
              <w:t>…</w:t>
            </w:r>
          </w:p>
          <w:p w:rsidR="00F027C6" w:rsidRDefault="00F027C6" w:rsidP="0021540C">
            <w:pPr>
              <w:spacing w:after="0" w:line="240" w:lineRule="auto"/>
              <w:ind w:firstLine="205"/>
              <w:jc w:val="both"/>
              <w:rPr>
                <w:rFonts w:ascii="Times New Roman" w:hAnsi="Times New Roman" w:cs="Times New Roman"/>
                <w:sz w:val="24"/>
                <w:szCs w:val="24"/>
              </w:rPr>
            </w:pPr>
          </w:p>
          <w:p w:rsidR="00F027C6" w:rsidRDefault="00F027C6" w:rsidP="0021540C">
            <w:pPr>
              <w:spacing w:after="0" w:line="240" w:lineRule="auto"/>
              <w:ind w:firstLine="205"/>
              <w:jc w:val="both"/>
              <w:rPr>
                <w:rFonts w:ascii="Times New Roman" w:hAnsi="Times New Roman" w:cs="Times New Roman"/>
                <w:sz w:val="24"/>
                <w:szCs w:val="24"/>
              </w:rPr>
            </w:pPr>
          </w:p>
          <w:p w:rsidR="00F027C6" w:rsidRPr="00243194" w:rsidRDefault="00F027C6" w:rsidP="0021540C">
            <w:pPr>
              <w:spacing w:after="0" w:line="240" w:lineRule="auto"/>
              <w:ind w:firstLine="205"/>
              <w:jc w:val="both"/>
              <w:rPr>
                <w:rFonts w:ascii="Times New Roman" w:hAnsi="Times New Roman" w:cs="Times New Roman"/>
                <w:sz w:val="24"/>
                <w:szCs w:val="24"/>
              </w:rPr>
            </w:pPr>
            <w:r w:rsidRPr="005F3453">
              <w:rPr>
                <w:rFonts w:ascii="Times New Roman" w:hAnsi="Times New Roman" w:cs="Times New Roman"/>
                <w:b/>
                <w:sz w:val="24"/>
                <w:szCs w:val="24"/>
              </w:rPr>
              <w:t>Визначені у цьому пункті вимоги до природного газу</w:t>
            </w:r>
            <w:r>
              <w:rPr>
                <w:rFonts w:ascii="Times New Roman" w:hAnsi="Times New Roman" w:cs="Times New Roman"/>
                <w:b/>
                <w:sz w:val="24"/>
                <w:szCs w:val="24"/>
              </w:rPr>
              <w:t xml:space="preserve"> </w:t>
            </w:r>
            <w:r w:rsidRPr="005F3453">
              <w:rPr>
                <w:rFonts w:ascii="Times New Roman" w:hAnsi="Times New Roman" w:cs="Times New Roman"/>
                <w:b/>
                <w:sz w:val="24"/>
                <w:szCs w:val="24"/>
              </w:rPr>
              <w:t>застосовуються у частині, що не суперечить вимогам, визначеним у технічному регламенті природного газу.</w:t>
            </w:r>
          </w:p>
        </w:tc>
        <w:tc>
          <w:tcPr>
            <w:tcW w:w="7087" w:type="dxa"/>
            <w:shd w:val="clear" w:color="auto" w:fill="auto"/>
          </w:tcPr>
          <w:p w:rsidR="00F027C6" w:rsidRPr="00C630F9" w:rsidRDefault="00C630F9" w:rsidP="0021540C">
            <w:pPr>
              <w:spacing w:after="0" w:line="240" w:lineRule="auto"/>
              <w:ind w:firstLine="317"/>
              <w:jc w:val="center"/>
              <w:rPr>
                <w:rFonts w:ascii="Times New Roman" w:hAnsi="Times New Roman"/>
                <w:b/>
                <w:bCs/>
                <w:color w:val="000000"/>
                <w:sz w:val="24"/>
                <w:szCs w:val="24"/>
              </w:rPr>
            </w:pPr>
            <w:r w:rsidRPr="00C630F9">
              <w:rPr>
                <w:rFonts w:ascii="Times New Roman" w:hAnsi="Times New Roman"/>
                <w:b/>
                <w:bCs/>
                <w:color w:val="000000"/>
                <w:sz w:val="24"/>
                <w:szCs w:val="24"/>
              </w:rPr>
              <w:lastRenderedPageBreak/>
              <w:t xml:space="preserve">ТОВ «Еру </w:t>
            </w:r>
            <w:proofErr w:type="spellStart"/>
            <w:r w:rsidRPr="00C630F9">
              <w:rPr>
                <w:rFonts w:ascii="Times New Roman" w:hAnsi="Times New Roman"/>
                <w:b/>
                <w:bCs/>
                <w:color w:val="000000"/>
                <w:sz w:val="24"/>
                <w:szCs w:val="24"/>
              </w:rPr>
              <w:t>трейдінг</w:t>
            </w:r>
            <w:proofErr w:type="spellEnd"/>
            <w:r w:rsidRPr="00C630F9">
              <w:rPr>
                <w:rFonts w:ascii="Times New Roman" w:hAnsi="Times New Roman"/>
                <w:b/>
                <w:bCs/>
                <w:color w:val="000000"/>
                <w:sz w:val="24"/>
                <w:szCs w:val="24"/>
              </w:rPr>
              <w:t>»</w:t>
            </w:r>
            <w:r>
              <w:rPr>
                <w:rFonts w:ascii="Times New Roman" w:hAnsi="Times New Roman"/>
                <w:b/>
                <w:bCs/>
                <w:color w:val="000000"/>
                <w:sz w:val="24"/>
                <w:szCs w:val="24"/>
              </w:rPr>
              <w:t>:</w:t>
            </w:r>
          </w:p>
          <w:p w:rsidR="00C630F9" w:rsidRPr="00C630F9" w:rsidRDefault="00C630F9" w:rsidP="0021540C">
            <w:pPr>
              <w:pStyle w:val="rvps2"/>
              <w:tabs>
                <w:tab w:val="left" w:pos="426"/>
              </w:tabs>
              <w:spacing w:before="0" w:beforeAutospacing="0" w:after="0" w:afterAutospacing="0"/>
              <w:ind w:firstLine="175"/>
              <w:jc w:val="both"/>
              <w:textAlignment w:val="baseline"/>
            </w:pPr>
          </w:p>
          <w:p w:rsidR="00C630F9" w:rsidRPr="00C630F9" w:rsidRDefault="00C630F9" w:rsidP="0021540C">
            <w:pPr>
              <w:pStyle w:val="rvps2"/>
              <w:tabs>
                <w:tab w:val="left" w:pos="426"/>
              </w:tabs>
              <w:spacing w:before="0" w:beforeAutospacing="0" w:after="0" w:afterAutospacing="0"/>
              <w:ind w:firstLine="175"/>
              <w:jc w:val="both"/>
              <w:textAlignment w:val="baseline"/>
            </w:pPr>
            <w:r w:rsidRPr="00C630F9">
              <w:t>«2) у пункті 13 глави 1 розділу ІII:</w:t>
            </w:r>
          </w:p>
          <w:p w:rsidR="00C630F9" w:rsidRPr="00C630F9" w:rsidRDefault="00C630F9" w:rsidP="0021540C">
            <w:pPr>
              <w:pStyle w:val="rvps2"/>
              <w:tabs>
                <w:tab w:val="left" w:pos="426"/>
              </w:tabs>
              <w:spacing w:before="0" w:beforeAutospacing="0" w:after="0" w:afterAutospacing="0"/>
              <w:ind w:firstLine="175"/>
              <w:jc w:val="both"/>
              <w:textAlignment w:val="baseline"/>
            </w:pPr>
            <w:r w:rsidRPr="00C630F9">
              <w:t>в абзаці дев’ятому цифри та знак «0,02» замінити цифрами та знаком «</w:t>
            </w:r>
            <w:r w:rsidRPr="00C630F9">
              <w:rPr>
                <w:b/>
                <w:bCs/>
              </w:rPr>
              <w:t xml:space="preserve">0,2 (за замовчуванням), до 1% (за погодженням з </w:t>
            </w:r>
            <w:r w:rsidRPr="00C630F9">
              <w:rPr>
                <w:b/>
                <w:bCs/>
                <w:color w:val="333333"/>
                <w:shd w:val="clear" w:color="auto" w:fill="FFFFFF"/>
              </w:rPr>
              <w:t>оператором газотранспортної системи</w:t>
            </w:r>
            <w:r w:rsidRPr="00C630F9">
              <w:rPr>
                <w:b/>
                <w:bCs/>
              </w:rPr>
              <w:t>»</w:t>
            </w:r>
            <w:r w:rsidRPr="00C630F9">
              <w:t>;</w:t>
            </w:r>
          </w:p>
          <w:p w:rsidR="00C630F9" w:rsidRPr="00C630F9" w:rsidRDefault="00C630F9" w:rsidP="0021540C">
            <w:pPr>
              <w:pStyle w:val="rvps2"/>
              <w:tabs>
                <w:tab w:val="left" w:pos="426"/>
              </w:tabs>
              <w:spacing w:before="0" w:beforeAutospacing="0" w:after="0" w:afterAutospacing="0"/>
              <w:ind w:firstLine="175"/>
              <w:jc w:val="both"/>
              <w:textAlignment w:val="baseline"/>
            </w:pPr>
            <w:r w:rsidRPr="00C630F9">
              <w:t xml:space="preserve">доповнити </w:t>
            </w:r>
            <w:r w:rsidRPr="00C630F9">
              <w:rPr>
                <w:b/>
                <w:bCs/>
              </w:rPr>
              <w:t>2 новими абзацами такого змісту</w:t>
            </w:r>
            <w:r w:rsidRPr="00C630F9">
              <w:t>:</w:t>
            </w:r>
          </w:p>
          <w:p w:rsidR="00C630F9" w:rsidRPr="00C630F9" w:rsidRDefault="00C630F9" w:rsidP="0021540C">
            <w:pPr>
              <w:pStyle w:val="rvps2"/>
              <w:tabs>
                <w:tab w:val="left" w:pos="426"/>
              </w:tabs>
              <w:spacing w:before="0" w:beforeAutospacing="0" w:after="0" w:afterAutospacing="0"/>
              <w:ind w:firstLine="175"/>
              <w:jc w:val="both"/>
              <w:textAlignment w:val="baseline"/>
            </w:pPr>
            <w:r w:rsidRPr="00C630F9">
              <w:lastRenderedPageBreak/>
              <w:t>«Визначені в цьому пункті вимоги до природного газу застосовуються у частині, що не суперечить вимогам, визначеним у технічному регламенті природного газу.</w:t>
            </w:r>
          </w:p>
          <w:p w:rsidR="00C630F9" w:rsidRPr="00C630F9" w:rsidRDefault="00C630F9" w:rsidP="0021540C">
            <w:pPr>
              <w:pStyle w:val="rvps2"/>
              <w:tabs>
                <w:tab w:val="left" w:pos="426"/>
              </w:tabs>
              <w:spacing w:before="0" w:beforeAutospacing="0" w:after="0" w:afterAutospacing="0"/>
              <w:ind w:firstLine="175"/>
              <w:jc w:val="both"/>
              <w:textAlignment w:val="baseline"/>
            </w:pPr>
            <w:r w:rsidRPr="00C630F9">
              <w:rPr>
                <w:b/>
              </w:rPr>
              <w:t xml:space="preserve">Підтвердження можливості подання природного газу, зокрема </w:t>
            </w:r>
            <w:proofErr w:type="spellStart"/>
            <w:r w:rsidRPr="00C630F9">
              <w:rPr>
                <w:b/>
              </w:rPr>
              <w:t>біометану</w:t>
            </w:r>
            <w:proofErr w:type="spellEnd"/>
            <w:r w:rsidRPr="00C630F9">
              <w:rPr>
                <w:b/>
              </w:rPr>
              <w:t xml:space="preserve"> із значенням молярної частки кисню від 0,2 % до 1% вирішується Оператором </w:t>
            </w:r>
            <w:r w:rsidRPr="00C630F9">
              <w:rPr>
                <w:b/>
                <w:color w:val="333333"/>
                <w:shd w:val="clear" w:color="auto" w:fill="FFFFFF"/>
              </w:rPr>
              <w:t>газотранспортної системи</w:t>
            </w:r>
            <w:r w:rsidRPr="00C630F9">
              <w:rPr>
                <w:b/>
              </w:rPr>
              <w:t xml:space="preserve"> відповідно до порядку проведення технічного аналізу-моделювання умов приєднання та конкретної точки  входу</w:t>
            </w:r>
            <w:r w:rsidRPr="00C630F9">
              <w:t>».</w:t>
            </w:r>
          </w:p>
          <w:p w:rsidR="00C630F9" w:rsidRPr="00C630F9" w:rsidRDefault="00C630F9" w:rsidP="0021540C">
            <w:pPr>
              <w:spacing w:after="0" w:line="240" w:lineRule="auto"/>
              <w:ind w:firstLine="175"/>
              <w:jc w:val="both"/>
              <w:rPr>
                <w:rFonts w:ascii="Times New Roman" w:hAnsi="Times New Roman" w:cs="Times New Roman"/>
                <w:sz w:val="24"/>
                <w:szCs w:val="24"/>
              </w:rPr>
            </w:pPr>
          </w:p>
          <w:p w:rsidR="00C630F9" w:rsidRPr="00C630F9" w:rsidRDefault="00C630F9" w:rsidP="0021540C">
            <w:pPr>
              <w:spacing w:after="0" w:line="240" w:lineRule="auto"/>
              <w:ind w:firstLine="175"/>
              <w:jc w:val="both"/>
              <w:rPr>
                <w:rFonts w:ascii="Times New Roman" w:hAnsi="Times New Roman"/>
                <w:b/>
                <w:sz w:val="24"/>
                <w:szCs w:val="24"/>
                <w:lang w:eastAsia="uk-UA"/>
              </w:rPr>
            </w:pPr>
            <w:r w:rsidRPr="00C630F9">
              <w:rPr>
                <w:rFonts w:ascii="Times New Roman" w:hAnsi="Times New Roman"/>
                <w:b/>
                <w:sz w:val="24"/>
                <w:szCs w:val="24"/>
                <w:lang w:eastAsia="uk-UA"/>
              </w:rPr>
              <w:t>Обґрунтування</w:t>
            </w:r>
          </w:p>
          <w:p w:rsidR="00C630F9" w:rsidRDefault="00C630F9" w:rsidP="0021540C">
            <w:pPr>
              <w:spacing w:after="0" w:line="240" w:lineRule="auto"/>
              <w:ind w:firstLine="175"/>
              <w:jc w:val="both"/>
              <w:rPr>
                <w:rFonts w:ascii="Times New Roman" w:hAnsi="Times New Roman"/>
                <w:bCs/>
                <w:sz w:val="24"/>
                <w:szCs w:val="24"/>
              </w:rPr>
            </w:pPr>
            <w:r>
              <w:rPr>
                <w:rFonts w:ascii="Times New Roman" w:hAnsi="Times New Roman"/>
                <w:bCs/>
                <w:sz w:val="24"/>
                <w:szCs w:val="24"/>
              </w:rPr>
              <w:t xml:space="preserve">Після проведення консультацій із виробниками обладнання для будівництва </w:t>
            </w:r>
            <w:proofErr w:type="spellStart"/>
            <w:r>
              <w:rPr>
                <w:rFonts w:ascii="Times New Roman" w:hAnsi="Times New Roman"/>
                <w:bCs/>
                <w:sz w:val="24"/>
                <w:szCs w:val="24"/>
              </w:rPr>
              <w:t>біометанових</w:t>
            </w:r>
            <w:proofErr w:type="spellEnd"/>
            <w:r>
              <w:rPr>
                <w:rFonts w:ascii="Times New Roman" w:hAnsi="Times New Roman"/>
                <w:bCs/>
                <w:sz w:val="24"/>
                <w:szCs w:val="24"/>
              </w:rPr>
              <w:t xml:space="preserve"> заводів, технічними фахівцями, ми розуміємо, що п</w:t>
            </w:r>
            <w:r w:rsidRPr="00E11D1A">
              <w:rPr>
                <w:rFonts w:ascii="Times New Roman" w:hAnsi="Times New Roman"/>
                <w:bCs/>
                <w:sz w:val="24"/>
                <w:szCs w:val="24"/>
              </w:rPr>
              <w:t xml:space="preserve">ри очищенні біогазу до </w:t>
            </w:r>
            <w:proofErr w:type="spellStart"/>
            <w:r w:rsidRPr="00E11D1A">
              <w:rPr>
                <w:rFonts w:ascii="Times New Roman" w:hAnsi="Times New Roman"/>
                <w:bCs/>
                <w:sz w:val="24"/>
                <w:szCs w:val="24"/>
              </w:rPr>
              <w:t>біометану</w:t>
            </w:r>
            <w:proofErr w:type="spellEnd"/>
            <w:r w:rsidRPr="00E11D1A">
              <w:rPr>
                <w:rFonts w:ascii="Times New Roman" w:hAnsi="Times New Roman"/>
                <w:bCs/>
                <w:sz w:val="24"/>
                <w:szCs w:val="24"/>
              </w:rPr>
              <w:t xml:space="preserve"> кисень не видаляється. Щоб зменшити вміст кисню в біогаз</w:t>
            </w:r>
            <w:r>
              <w:rPr>
                <w:rFonts w:ascii="Times New Roman" w:hAnsi="Times New Roman"/>
                <w:bCs/>
                <w:sz w:val="24"/>
                <w:szCs w:val="24"/>
              </w:rPr>
              <w:t>і</w:t>
            </w:r>
            <w:r w:rsidRPr="00E11D1A">
              <w:rPr>
                <w:rFonts w:ascii="Times New Roman" w:hAnsi="Times New Roman"/>
                <w:bCs/>
                <w:sz w:val="24"/>
                <w:szCs w:val="24"/>
              </w:rPr>
              <w:t xml:space="preserve"> необхідно проводити додаткові заходи та встановлювати додаткове обладнання</w:t>
            </w:r>
            <w:r>
              <w:rPr>
                <w:rFonts w:ascii="Times New Roman" w:hAnsi="Times New Roman"/>
                <w:bCs/>
                <w:sz w:val="24"/>
                <w:szCs w:val="24"/>
              </w:rPr>
              <w:t xml:space="preserve">, закуповувати та додавати спеціальні реагенти. </w:t>
            </w:r>
            <w:r w:rsidRPr="00AD4425">
              <w:rPr>
                <w:rFonts w:ascii="Times New Roman" w:hAnsi="Times New Roman"/>
                <w:bCs/>
                <w:sz w:val="24"/>
                <w:szCs w:val="24"/>
              </w:rPr>
              <w:t xml:space="preserve">Такі заходи в кожному разі збільшать капітальні витрати на </w:t>
            </w:r>
            <w:r w:rsidRPr="00A91DED">
              <w:rPr>
                <w:rFonts w:ascii="Times New Roman" w:hAnsi="Times New Roman"/>
                <w:bCs/>
                <w:sz w:val="24"/>
                <w:szCs w:val="24"/>
              </w:rPr>
              <w:t>суму до 100 тисяч євро та поточні витрати на обслуговування  до 20 тисяч євро на рік</w:t>
            </w:r>
            <w:r>
              <w:rPr>
                <w:rFonts w:ascii="Times New Roman" w:hAnsi="Times New Roman"/>
                <w:bCs/>
                <w:sz w:val="24"/>
                <w:szCs w:val="24"/>
              </w:rPr>
              <w:t xml:space="preserve">.  </w:t>
            </w:r>
            <w:r w:rsidRPr="001F2DBB">
              <w:rPr>
                <w:rFonts w:ascii="Times New Roman" w:hAnsi="Times New Roman"/>
                <w:bCs/>
                <w:sz w:val="24"/>
                <w:szCs w:val="24"/>
              </w:rPr>
              <w:t>Т</w:t>
            </w:r>
            <w:r>
              <w:rPr>
                <w:rFonts w:ascii="Times New Roman" w:hAnsi="Times New Roman"/>
                <w:bCs/>
                <w:sz w:val="24"/>
                <w:szCs w:val="24"/>
              </w:rPr>
              <w:t>о</w:t>
            </w:r>
            <w:r w:rsidRPr="001F2DBB">
              <w:rPr>
                <w:rFonts w:ascii="Times New Roman" w:hAnsi="Times New Roman"/>
                <w:bCs/>
                <w:sz w:val="24"/>
                <w:szCs w:val="24"/>
              </w:rPr>
              <w:t>му ми пропонуємо встановити максимальне нормативне значення молярної</w:t>
            </w:r>
            <w:r>
              <w:rPr>
                <w:rFonts w:ascii="Times New Roman" w:hAnsi="Times New Roman"/>
                <w:bCs/>
                <w:sz w:val="24"/>
                <w:szCs w:val="24"/>
              </w:rPr>
              <w:t xml:space="preserve"> </w:t>
            </w:r>
            <w:r w:rsidRPr="001F2DBB">
              <w:rPr>
                <w:rFonts w:ascii="Times New Roman" w:hAnsi="Times New Roman"/>
                <w:bCs/>
                <w:sz w:val="24"/>
                <w:szCs w:val="24"/>
              </w:rPr>
              <w:t xml:space="preserve">частки кисню для </w:t>
            </w:r>
            <w:proofErr w:type="spellStart"/>
            <w:r w:rsidRPr="001F2DBB">
              <w:rPr>
                <w:rFonts w:ascii="Times New Roman" w:hAnsi="Times New Roman"/>
                <w:bCs/>
                <w:sz w:val="24"/>
                <w:szCs w:val="24"/>
              </w:rPr>
              <w:t>біометану</w:t>
            </w:r>
            <w:proofErr w:type="spellEnd"/>
            <w:r w:rsidRPr="001F2DBB">
              <w:rPr>
                <w:rFonts w:ascii="Times New Roman" w:hAnsi="Times New Roman"/>
                <w:bCs/>
                <w:sz w:val="24"/>
                <w:szCs w:val="24"/>
              </w:rPr>
              <w:t>, щ</w:t>
            </w:r>
            <w:r>
              <w:rPr>
                <w:rFonts w:ascii="Times New Roman" w:hAnsi="Times New Roman"/>
                <w:bCs/>
                <w:sz w:val="24"/>
                <w:szCs w:val="24"/>
              </w:rPr>
              <w:t>о</w:t>
            </w:r>
            <w:r w:rsidRPr="001F2DBB">
              <w:rPr>
                <w:rFonts w:ascii="Times New Roman" w:hAnsi="Times New Roman"/>
                <w:bCs/>
                <w:sz w:val="24"/>
                <w:szCs w:val="24"/>
              </w:rPr>
              <w:t xml:space="preserve"> подається до ГТС України </w:t>
            </w:r>
            <w:r w:rsidRPr="005132B2">
              <w:rPr>
                <w:rFonts w:ascii="Times New Roman" w:hAnsi="Times New Roman"/>
                <w:bCs/>
                <w:sz w:val="24"/>
                <w:szCs w:val="24"/>
              </w:rPr>
              <w:t>0,2</w:t>
            </w:r>
            <w:r>
              <w:rPr>
                <w:rFonts w:ascii="Times New Roman" w:hAnsi="Times New Roman"/>
                <w:bCs/>
                <w:sz w:val="24"/>
                <w:szCs w:val="24"/>
              </w:rPr>
              <w:t>%</w:t>
            </w:r>
            <w:r w:rsidRPr="005132B2">
              <w:rPr>
                <w:rFonts w:ascii="Times New Roman" w:hAnsi="Times New Roman"/>
                <w:bCs/>
                <w:sz w:val="24"/>
                <w:szCs w:val="24"/>
              </w:rPr>
              <w:t xml:space="preserve"> </w:t>
            </w:r>
            <w:r>
              <w:rPr>
                <w:rFonts w:ascii="Times New Roman" w:hAnsi="Times New Roman"/>
                <w:bCs/>
                <w:sz w:val="24"/>
                <w:szCs w:val="24"/>
              </w:rPr>
              <w:t>(за замовчуванням)</w:t>
            </w:r>
            <w:r w:rsidRPr="005132B2">
              <w:rPr>
                <w:rFonts w:ascii="Times New Roman" w:hAnsi="Times New Roman"/>
                <w:bCs/>
                <w:sz w:val="24"/>
                <w:szCs w:val="24"/>
              </w:rPr>
              <w:t xml:space="preserve"> </w:t>
            </w:r>
            <w:r>
              <w:rPr>
                <w:rFonts w:ascii="Times New Roman" w:hAnsi="Times New Roman"/>
                <w:bCs/>
                <w:sz w:val="24"/>
                <w:szCs w:val="24"/>
              </w:rPr>
              <w:t xml:space="preserve">та </w:t>
            </w:r>
            <w:r w:rsidRPr="005132B2">
              <w:rPr>
                <w:rFonts w:ascii="Times New Roman" w:hAnsi="Times New Roman"/>
                <w:bCs/>
                <w:sz w:val="24"/>
                <w:szCs w:val="24"/>
              </w:rPr>
              <w:t>1%</w:t>
            </w:r>
            <w:r>
              <w:rPr>
                <w:rFonts w:ascii="Times New Roman" w:hAnsi="Times New Roman"/>
                <w:bCs/>
                <w:sz w:val="24"/>
                <w:szCs w:val="24"/>
              </w:rPr>
              <w:t xml:space="preserve"> (за погодженням з Оператором ГТСУ).</w:t>
            </w:r>
            <w:r w:rsidRPr="005132B2">
              <w:rPr>
                <w:rFonts w:ascii="Times New Roman" w:hAnsi="Times New Roman"/>
                <w:bCs/>
                <w:sz w:val="24"/>
                <w:szCs w:val="24"/>
              </w:rPr>
              <w:t xml:space="preserve"> </w:t>
            </w:r>
          </w:p>
          <w:p w:rsidR="00C630F9" w:rsidRPr="00E27D28" w:rsidRDefault="00C630F9" w:rsidP="0021540C">
            <w:pPr>
              <w:spacing w:after="0" w:line="240" w:lineRule="auto"/>
              <w:ind w:firstLine="175"/>
              <w:jc w:val="both"/>
              <w:rPr>
                <w:rFonts w:ascii="Times New Roman" w:hAnsi="Times New Roman" w:cs="Times New Roman"/>
                <w:sz w:val="24"/>
                <w:szCs w:val="24"/>
              </w:rPr>
            </w:pPr>
            <w:r>
              <w:rPr>
                <w:rFonts w:ascii="Times New Roman" w:hAnsi="Times New Roman"/>
                <w:bCs/>
                <w:sz w:val="24"/>
                <w:szCs w:val="24"/>
              </w:rPr>
              <w:t xml:space="preserve">Зазначене моделювання (технічний аналіз умов приєднання </w:t>
            </w:r>
            <w:proofErr w:type="spellStart"/>
            <w:r>
              <w:rPr>
                <w:rFonts w:ascii="Times New Roman" w:hAnsi="Times New Roman"/>
                <w:bCs/>
                <w:sz w:val="24"/>
                <w:szCs w:val="24"/>
              </w:rPr>
              <w:t>біометанової</w:t>
            </w:r>
            <w:proofErr w:type="spellEnd"/>
            <w:r>
              <w:rPr>
                <w:rFonts w:ascii="Times New Roman" w:hAnsi="Times New Roman"/>
                <w:bCs/>
                <w:sz w:val="24"/>
                <w:szCs w:val="24"/>
              </w:rPr>
              <w:t xml:space="preserve"> установки до системи ГТСУ) має проводить на етапі звернення потенційного виробника за Технічними умовами та прописуватись в них.</w:t>
            </w:r>
          </w:p>
        </w:tc>
        <w:tc>
          <w:tcPr>
            <w:tcW w:w="3827" w:type="dxa"/>
            <w:shd w:val="clear" w:color="auto" w:fill="auto"/>
          </w:tcPr>
          <w:p w:rsidR="00F027C6" w:rsidRDefault="00000C0F" w:rsidP="00000C0F">
            <w:pPr>
              <w:spacing w:after="0" w:line="240" w:lineRule="auto"/>
              <w:ind w:firstLine="176"/>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Попередньо відхиляється</w:t>
            </w:r>
          </w:p>
          <w:p w:rsidR="00000C0F" w:rsidRPr="00000C0F" w:rsidRDefault="00000C0F" w:rsidP="00000C0F">
            <w:pPr>
              <w:spacing w:after="0" w:line="240" w:lineRule="auto"/>
              <w:ind w:firstLine="176"/>
              <w:jc w:val="both"/>
              <w:rPr>
                <w:rFonts w:ascii="Times New Roman" w:eastAsia="Times New Roman" w:hAnsi="Times New Roman" w:cs="Times New Roman"/>
                <w:color w:val="000000"/>
                <w:sz w:val="24"/>
                <w:szCs w:val="24"/>
                <w:lang w:eastAsia="ru-RU"/>
              </w:rPr>
            </w:pPr>
          </w:p>
          <w:p w:rsidR="00D52544" w:rsidRDefault="00D52544" w:rsidP="00000C0F">
            <w:pPr>
              <w:spacing w:after="0" w:line="240" w:lineRule="auto"/>
              <w:ind w:firstLine="176"/>
              <w:jc w:val="both"/>
              <w:rPr>
                <w:rFonts w:ascii="Times New Roman" w:hAnsi="Times New Roman"/>
                <w:bCs/>
                <w:color w:val="000000"/>
                <w:sz w:val="24"/>
                <w:szCs w:val="24"/>
              </w:rPr>
            </w:pPr>
            <w:r>
              <w:rPr>
                <w:rFonts w:ascii="Times New Roman" w:hAnsi="Times New Roman"/>
                <w:bCs/>
                <w:sz w:val="24"/>
                <w:szCs w:val="24"/>
              </w:rPr>
              <w:t xml:space="preserve">Законодавством не </w:t>
            </w:r>
            <w:r w:rsidR="00200DE7">
              <w:rPr>
                <w:rFonts w:ascii="Times New Roman" w:hAnsi="Times New Roman"/>
                <w:bCs/>
                <w:sz w:val="24"/>
                <w:szCs w:val="24"/>
              </w:rPr>
              <w:t>встановлено вимог щодо</w:t>
            </w:r>
            <w:bookmarkStart w:id="1" w:name="_GoBack"/>
            <w:bookmarkEnd w:id="1"/>
            <w:r>
              <w:rPr>
                <w:rFonts w:ascii="Times New Roman" w:hAnsi="Times New Roman"/>
                <w:bCs/>
                <w:color w:val="000000"/>
                <w:sz w:val="24"/>
                <w:szCs w:val="24"/>
              </w:rPr>
              <w:t xml:space="preserve"> </w:t>
            </w:r>
            <w:r w:rsidR="00200DE7">
              <w:rPr>
                <w:rFonts w:ascii="Times New Roman" w:hAnsi="Times New Roman"/>
                <w:bCs/>
                <w:color w:val="000000"/>
                <w:sz w:val="24"/>
                <w:szCs w:val="24"/>
              </w:rPr>
              <w:t xml:space="preserve">затвердження порядку </w:t>
            </w:r>
            <w:r>
              <w:rPr>
                <w:rFonts w:ascii="Times New Roman" w:hAnsi="Times New Roman"/>
                <w:bCs/>
                <w:color w:val="000000"/>
                <w:sz w:val="24"/>
                <w:szCs w:val="24"/>
              </w:rPr>
              <w:t xml:space="preserve">здійснення </w:t>
            </w:r>
            <w:r>
              <w:rPr>
                <w:rFonts w:ascii="Times New Roman" w:hAnsi="Times New Roman"/>
                <w:bCs/>
                <w:sz w:val="24"/>
                <w:szCs w:val="24"/>
              </w:rPr>
              <w:t xml:space="preserve">технічного аналізу умов приєднання </w:t>
            </w:r>
            <w:proofErr w:type="spellStart"/>
            <w:r>
              <w:rPr>
                <w:rFonts w:ascii="Times New Roman" w:hAnsi="Times New Roman"/>
                <w:bCs/>
                <w:sz w:val="24"/>
                <w:szCs w:val="24"/>
              </w:rPr>
              <w:t>біометанової</w:t>
            </w:r>
            <w:proofErr w:type="spellEnd"/>
            <w:r>
              <w:rPr>
                <w:rFonts w:ascii="Times New Roman" w:hAnsi="Times New Roman"/>
                <w:bCs/>
                <w:sz w:val="24"/>
                <w:szCs w:val="24"/>
              </w:rPr>
              <w:t xml:space="preserve"> </w:t>
            </w:r>
            <w:r>
              <w:rPr>
                <w:rFonts w:ascii="Times New Roman" w:hAnsi="Times New Roman"/>
                <w:bCs/>
                <w:sz w:val="24"/>
                <w:szCs w:val="24"/>
              </w:rPr>
              <w:lastRenderedPageBreak/>
              <w:t>установки до газотранспортної системи.</w:t>
            </w:r>
          </w:p>
          <w:p w:rsidR="009F2F38" w:rsidRPr="00000C0F" w:rsidRDefault="00D52544" w:rsidP="00200DE7">
            <w:pPr>
              <w:spacing w:after="0" w:line="240" w:lineRule="auto"/>
              <w:ind w:firstLine="176"/>
              <w:jc w:val="both"/>
              <w:rPr>
                <w:rFonts w:ascii="Times New Roman" w:hAnsi="Times New Roman"/>
                <w:bCs/>
                <w:sz w:val="24"/>
                <w:szCs w:val="24"/>
              </w:rPr>
            </w:pPr>
            <w:r>
              <w:rPr>
                <w:rFonts w:ascii="Times New Roman" w:hAnsi="Times New Roman"/>
                <w:bCs/>
                <w:color w:val="000000"/>
                <w:sz w:val="24"/>
                <w:szCs w:val="24"/>
              </w:rPr>
              <w:t xml:space="preserve">Таким чином, </w:t>
            </w:r>
            <w:r>
              <w:rPr>
                <w:rFonts w:ascii="Times New Roman" w:hAnsi="Times New Roman"/>
                <w:bCs/>
                <w:sz w:val="24"/>
                <w:szCs w:val="24"/>
              </w:rPr>
              <w:t>прийняття змін до Кодексу ГТС у запропонованій редакції</w:t>
            </w:r>
            <w:r w:rsidR="00200DE7">
              <w:rPr>
                <w:rFonts w:ascii="Times New Roman" w:hAnsi="Times New Roman"/>
                <w:bCs/>
                <w:sz w:val="24"/>
                <w:szCs w:val="24"/>
              </w:rPr>
              <w:t xml:space="preserve"> буде суперечити вимогам законодавства та</w:t>
            </w:r>
            <w:r>
              <w:rPr>
                <w:rFonts w:ascii="Times New Roman" w:hAnsi="Times New Roman"/>
                <w:bCs/>
                <w:sz w:val="24"/>
                <w:szCs w:val="24"/>
              </w:rPr>
              <w:t xml:space="preserve"> призведе до створення непрозорих умов надання доступу виробникам </w:t>
            </w:r>
            <w:proofErr w:type="spellStart"/>
            <w:r>
              <w:rPr>
                <w:rFonts w:ascii="Times New Roman" w:hAnsi="Times New Roman"/>
                <w:bCs/>
                <w:sz w:val="24"/>
                <w:szCs w:val="24"/>
              </w:rPr>
              <w:t>біометану</w:t>
            </w:r>
            <w:proofErr w:type="spellEnd"/>
            <w:r>
              <w:rPr>
                <w:rFonts w:ascii="Times New Roman" w:hAnsi="Times New Roman"/>
                <w:bCs/>
                <w:sz w:val="24"/>
                <w:szCs w:val="24"/>
              </w:rPr>
              <w:t xml:space="preserve"> до газотранспортної системи.</w:t>
            </w:r>
          </w:p>
        </w:tc>
      </w:tr>
      <w:tr w:rsidR="0021540C" w:rsidRPr="00E27D28" w:rsidTr="0083689A">
        <w:trPr>
          <w:trHeight w:val="20"/>
        </w:trPr>
        <w:tc>
          <w:tcPr>
            <w:tcW w:w="15480" w:type="dxa"/>
            <w:gridSpan w:val="3"/>
            <w:shd w:val="clear" w:color="auto" w:fill="auto"/>
          </w:tcPr>
          <w:p w:rsidR="0021540C" w:rsidRDefault="0021540C" w:rsidP="0021540C">
            <w:pPr>
              <w:spacing w:after="0" w:line="240" w:lineRule="auto"/>
              <w:jc w:val="center"/>
              <w:rPr>
                <w:rFonts w:ascii="Times New Roman" w:eastAsia="Times New Roman" w:hAnsi="Times New Roman" w:cs="Times New Roman"/>
                <w:b/>
                <w:color w:val="000000"/>
                <w:sz w:val="24"/>
                <w:szCs w:val="24"/>
                <w:lang w:eastAsia="ru-RU"/>
              </w:rPr>
            </w:pPr>
            <w:r w:rsidRPr="00545BB3">
              <w:rPr>
                <w:rFonts w:ascii="Times New Roman" w:hAnsi="Times New Roman" w:cs="Times New Roman"/>
                <w:b/>
                <w:i/>
                <w:sz w:val="24"/>
                <w:szCs w:val="24"/>
              </w:rPr>
              <w:lastRenderedPageBreak/>
              <w:t>КОДЕКС ГАЗОРОЗПОДІЛЬНИХ СИСТЕМ</w:t>
            </w:r>
          </w:p>
        </w:tc>
      </w:tr>
      <w:tr w:rsidR="0021540C" w:rsidRPr="00E27D28" w:rsidTr="00D01EA0">
        <w:trPr>
          <w:trHeight w:val="20"/>
        </w:trPr>
        <w:tc>
          <w:tcPr>
            <w:tcW w:w="15480" w:type="dxa"/>
            <w:gridSpan w:val="3"/>
            <w:shd w:val="clear" w:color="auto" w:fill="auto"/>
          </w:tcPr>
          <w:p w:rsidR="0021540C" w:rsidRDefault="0021540C" w:rsidP="0021540C">
            <w:pPr>
              <w:spacing w:after="0" w:line="240" w:lineRule="auto"/>
              <w:jc w:val="center"/>
              <w:rPr>
                <w:rFonts w:ascii="Times New Roman" w:eastAsia="Times New Roman" w:hAnsi="Times New Roman" w:cs="Times New Roman"/>
                <w:b/>
                <w:color w:val="000000"/>
                <w:sz w:val="24"/>
                <w:szCs w:val="24"/>
                <w:lang w:eastAsia="ru-RU"/>
              </w:rPr>
            </w:pPr>
            <w:r w:rsidRPr="009D6AB1">
              <w:rPr>
                <w:rFonts w:ascii="Times New Roman" w:hAnsi="Times New Roman" w:cs="Times New Roman"/>
                <w:b/>
                <w:i/>
                <w:sz w:val="24"/>
                <w:szCs w:val="24"/>
              </w:rPr>
              <w:t>I. Загальні положення</w:t>
            </w:r>
          </w:p>
        </w:tc>
      </w:tr>
      <w:tr w:rsidR="0021540C" w:rsidRPr="00E27D28" w:rsidTr="00890691">
        <w:trPr>
          <w:trHeight w:val="20"/>
        </w:trPr>
        <w:tc>
          <w:tcPr>
            <w:tcW w:w="15480" w:type="dxa"/>
            <w:gridSpan w:val="3"/>
            <w:shd w:val="clear" w:color="auto" w:fill="auto"/>
          </w:tcPr>
          <w:p w:rsidR="0021540C" w:rsidRDefault="0021540C" w:rsidP="0021540C">
            <w:pPr>
              <w:spacing w:after="0" w:line="240" w:lineRule="auto"/>
              <w:jc w:val="center"/>
              <w:rPr>
                <w:rFonts w:ascii="Times New Roman" w:eastAsia="Times New Roman" w:hAnsi="Times New Roman" w:cs="Times New Roman"/>
                <w:b/>
                <w:color w:val="000000"/>
                <w:sz w:val="24"/>
                <w:szCs w:val="24"/>
                <w:lang w:eastAsia="ru-RU"/>
              </w:rPr>
            </w:pPr>
            <w:r w:rsidRPr="009D6AB1">
              <w:rPr>
                <w:rFonts w:ascii="Times New Roman" w:hAnsi="Times New Roman" w:cs="Times New Roman"/>
                <w:b/>
                <w:i/>
                <w:sz w:val="24"/>
                <w:szCs w:val="24"/>
              </w:rPr>
              <w:t>1. Визначення основних термінів та понять</w:t>
            </w:r>
          </w:p>
        </w:tc>
      </w:tr>
      <w:tr w:rsidR="0021540C" w:rsidRPr="00E27D28" w:rsidTr="00BD239F">
        <w:trPr>
          <w:trHeight w:val="20"/>
        </w:trPr>
        <w:tc>
          <w:tcPr>
            <w:tcW w:w="4566" w:type="dxa"/>
            <w:shd w:val="clear" w:color="auto" w:fill="auto"/>
          </w:tcPr>
          <w:p w:rsidR="0021540C" w:rsidRPr="00796FB4" w:rsidRDefault="0021540C" w:rsidP="0021540C">
            <w:pPr>
              <w:spacing w:after="0" w:line="240" w:lineRule="auto"/>
              <w:ind w:firstLine="205"/>
              <w:jc w:val="both"/>
              <w:rPr>
                <w:rFonts w:ascii="Times New Roman" w:hAnsi="Times New Roman" w:cs="Times New Roman"/>
                <w:sz w:val="24"/>
                <w:szCs w:val="24"/>
              </w:rPr>
            </w:pPr>
            <w:r w:rsidRPr="00796FB4">
              <w:rPr>
                <w:rFonts w:ascii="Times New Roman" w:hAnsi="Times New Roman" w:cs="Times New Roman"/>
                <w:sz w:val="24"/>
                <w:szCs w:val="24"/>
              </w:rPr>
              <w:t>4. У цьому Кодексі терміни вживаються у таких значеннях:</w:t>
            </w:r>
          </w:p>
          <w:p w:rsidR="0021540C" w:rsidRPr="00796FB4" w:rsidRDefault="0021540C" w:rsidP="0021540C">
            <w:pPr>
              <w:spacing w:after="0" w:line="240" w:lineRule="auto"/>
              <w:ind w:firstLine="205"/>
              <w:jc w:val="both"/>
              <w:rPr>
                <w:rFonts w:ascii="Times New Roman" w:hAnsi="Times New Roman" w:cs="Times New Roman"/>
                <w:sz w:val="24"/>
                <w:szCs w:val="24"/>
              </w:rPr>
            </w:pPr>
            <w:r w:rsidRPr="00796FB4">
              <w:rPr>
                <w:rFonts w:ascii="Times New Roman" w:hAnsi="Times New Roman" w:cs="Times New Roman"/>
                <w:sz w:val="24"/>
                <w:szCs w:val="24"/>
              </w:rPr>
              <w:t>…</w:t>
            </w:r>
          </w:p>
          <w:p w:rsidR="0021540C" w:rsidRDefault="0021540C" w:rsidP="0021540C">
            <w:pPr>
              <w:spacing w:after="0" w:line="240" w:lineRule="auto"/>
              <w:ind w:firstLine="205"/>
              <w:jc w:val="both"/>
              <w:rPr>
                <w:rFonts w:ascii="Times New Roman" w:hAnsi="Times New Roman" w:cs="Times New Roman"/>
                <w:sz w:val="24"/>
                <w:szCs w:val="24"/>
              </w:rPr>
            </w:pPr>
            <w:r w:rsidRPr="00796FB4">
              <w:rPr>
                <w:rFonts w:ascii="Times New Roman" w:hAnsi="Times New Roman" w:cs="Times New Roman"/>
                <w:sz w:val="24"/>
                <w:szCs w:val="24"/>
              </w:rPr>
              <w:t xml:space="preserve">Термін "природний газ" охоплює біогаз або інші види газу з альтернативних джерел, які за своїми </w:t>
            </w:r>
            <w:r w:rsidRPr="00B256C4">
              <w:rPr>
                <w:rFonts w:ascii="Times New Roman" w:hAnsi="Times New Roman" w:cs="Times New Roman"/>
                <w:b/>
                <w:sz w:val="24"/>
                <w:szCs w:val="24"/>
              </w:rPr>
              <w:t xml:space="preserve">фізико-хімічними характеристиками відповідають нормативно-правовим актам, що </w:t>
            </w:r>
            <w:r w:rsidRPr="00B256C4">
              <w:rPr>
                <w:rFonts w:ascii="Times New Roman" w:hAnsi="Times New Roman" w:cs="Times New Roman"/>
                <w:b/>
                <w:sz w:val="24"/>
                <w:szCs w:val="24"/>
              </w:rPr>
              <w:lastRenderedPageBreak/>
              <w:t>регулюють питання якості природного газу</w:t>
            </w:r>
            <w:r w:rsidRPr="00796FB4">
              <w:rPr>
                <w:rFonts w:ascii="Times New Roman" w:hAnsi="Times New Roman" w:cs="Times New Roman"/>
                <w:sz w:val="24"/>
                <w:szCs w:val="24"/>
              </w:rPr>
              <w:t>.</w:t>
            </w:r>
          </w:p>
        </w:tc>
        <w:tc>
          <w:tcPr>
            <w:tcW w:w="7087" w:type="dxa"/>
            <w:shd w:val="clear" w:color="auto" w:fill="auto"/>
          </w:tcPr>
          <w:p w:rsidR="0021540C" w:rsidRPr="009D6AB1" w:rsidRDefault="0021540C" w:rsidP="0021540C">
            <w:pPr>
              <w:spacing w:after="0" w:line="240" w:lineRule="auto"/>
              <w:ind w:firstLine="317"/>
              <w:jc w:val="center"/>
              <w:rPr>
                <w:rFonts w:ascii="Times New Roman" w:hAnsi="Times New Roman" w:cs="Times New Roman"/>
                <w:b/>
                <w:i/>
                <w:sz w:val="24"/>
                <w:szCs w:val="24"/>
              </w:rPr>
            </w:pPr>
          </w:p>
        </w:tc>
        <w:tc>
          <w:tcPr>
            <w:tcW w:w="3827" w:type="dxa"/>
            <w:shd w:val="clear" w:color="auto" w:fill="auto"/>
          </w:tcPr>
          <w:p w:rsidR="0021540C" w:rsidRDefault="0021540C" w:rsidP="0021540C">
            <w:pPr>
              <w:spacing w:after="0" w:line="240" w:lineRule="auto"/>
              <w:jc w:val="both"/>
              <w:rPr>
                <w:rFonts w:ascii="Times New Roman" w:eastAsia="Times New Roman" w:hAnsi="Times New Roman" w:cs="Times New Roman"/>
                <w:b/>
                <w:color w:val="000000"/>
                <w:sz w:val="24"/>
                <w:szCs w:val="24"/>
                <w:lang w:eastAsia="ru-RU"/>
              </w:rPr>
            </w:pPr>
          </w:p>
        </w:tc>
      </w:tr>
      <w:tr w:rsidR="0021540C" w:rsidRPr="00E27D28" w:rsidTr="00BD239F">
        <w:trPr>
          <w:trHeight w:val="20"/>
        </w:trPr>
        <w:tc>
          <w:tcPr>
            <w:tcW w:w="4566" w:type="dxa"/>
            <w:shd w:val="clear" w:color="auto" w:fill="auto"/>
          </w:tcPr>
          <w:p w:rsidR="0021540C" w:rsidRPr="00796FB4" w:rsidRDefault="0021540C" w:rsidP="0021540C">
            <w:pPr>
              <w:spacing w:after="0" w:line="240" w:lineRule="auto"/>
              <w:ind w:firstLine="709"/>
              <w:jc w:val="both"/>
              <w:rPr>
                <w:rFonts w:ascii="Times New Roman" w:hAnsi="Times New Roman" w:cs="Times New Roman"/>
                <w:sz w:val="24"/>
                <w:szCs w:val="24"/>
              </w:rPr>
            </w:pPr>
          </w:p>
        </w:tc>
        <w:tc>
          <w:tcPr>
            <w:tcW w:w="7087" w:type="dxa"/>
            <w:shd w:val="clear" w:color="auto" w:fill="auto"/>
          </w:tcPr>
          <w:p w:rsidR="0021540C" w:rsidRPr="009D6AB1" w:rsidRDefault="0021540C" w:rsidP="0021540C">
            <w:pPr>
              <w:spacing w:after="0" w:line="240" w:lineRule="auto"/>
              <w:ind w:firstLine="317"/>
              <w:jc w:val="center"/>
              <w:rPr>
                <w:rFonts w:ascii="Times New Roman" w:hAnsi="Times New Roman" w:cs="Times New Roman"/>
                <w:b/>
                <w:i/>
                <w:sz w:val="24"/>
                <w:szCs w:val="24"/>
              </w:rPr>
            </w:pPr>
            <w:r w:rsidRPr="009D6AB1">
              <w:rPr>
                <w:rFonts w:ascii="Times New Roman" w:hAnsi="Times New Roman" w:cs="Times New Roman"/>
                <w:b/>
                <w:i/>
                <w:sz w:val="24"/>
                <w:szCs w:val="24"/>
              </w:rPr>
              <w:t>3. Основні засади доступу до газорозподільної системи</w:t>
            </w:r>
          </w:p>
        </w:tc>
        <w:tc>
          <w:tcPr>
            <w:tcW w:w="3827" w:type="dxa"/>
            <w:shd w:val="clear" w:color="auto" w:fill="auto"/>
          </w:tcPr>
          <w:p w:rsidR="0021540C" w:rsidRDefault="0021540C" w:rsidP="0021540C">
            <w:pPr>
              <w:spacing w:after="0" w:line="240" w:lineRule="auto"/>
              <w:jc w:val="both"/>
              <w:rPr>
                <w:rFonts w:ascii="Times New Roman" w:eastAsia="Times New Roman" w:hAnsi="Times New Roman" w:cs="Times New Roman"/>
                <w:b/>
                <w:color w:val="000000"/>
                <w:sz w:val="24"/>
                <w:szCs w:val="24"/>
                <w:lang w:eastAsia="ru-RU"/>
              </w:rPr>
            </w:pPr>
          </w:p>
        </w:tc>
      </w:tr>
      <w:tr w:rsidR="0021540C" w:rsidRPr="00E27D28" w:rsidTr="00BD239F">
        <w:trPr>
          <w:trHeight w:val="20"/>
        </w:trPr>
        <w:tc>
          <w:tcPr>
            <w:tcW w:w="4566" w:type="dxa"/>
            <w:shd w:val="clear" w:color="auto" w:fill="auto"/>
          </w:tcPr>
          <w:p w:rsidR="0021540C" w:rsidRPr="00796FB4" w:rsidRDefault="0021540C" w:rsidP="0021540C">
            <w:pPr>
              <w:spacing w:after="0" w:line="240" w:lineRule="auto"/>
              <w:ind w:firstLine="205"/>
              <w:jc w:val="both"/>
              <w:rPr>
                <w:rFonts w:ascii="Times New Roman" w:hAnsi="Times New Roman" w:cs="Times New Roman"/>
                <w:sz w:val="24"/>
                <w:szCs w:val="24"/>
              </w:rPr>
            </w:pPr>
            <w:r w:rsidRPr="009D6AB1">
              <w:rPr>
                <w:rFonts w:ascii="Times New Roman" w:hAnsi="Times New Roman" w:cs="Times New Roman"/>
                <w:sz w:val="24"/>
                <w:szCs w:val="24"/>
              </w:rPr>
              <w:t xml:space="preserve">4. Виробники біогазу або інших видів газу з альтернативних джерел мають право на отримання доступу до газорозподільної системи за умови дотримання технічних норм та стандартів безпеки відповідності до законодавства та за умови, що біогаз або інші види газу з альтернативних джерел за своїми фізико-хімічними характеристиками відповідають </w:t>
            </w:r>
            <w:r w:rsidRPr="00B256C4">
              <w:rPr>
                <w:rFonts w:ascii="Times New Roman" w:hAnsi="Times New Roman" w:cs="Times New Roman"/>
                <w:b/>
                <w:sz w:val="24"/>
                <w:szCs w:val="24"/>
                <w:lang w:eastAsia="ru-RU"/>
              </w:rPr>
              <w:t>нормативно-правовим актам, що регулюють питання якості природного газу</w:t>
            </w:r>
            <w:r w:rsidRPr="00796FB4">
              <w:rPr>
                <w:rFonts w:ascii="Times New Roman" w:hAnsi="Times New Roman" w:cs="Times New Roman"/>
                <w:b/>
                <w:sz w:val="24"/>
                <w:szCs w:val="24"/>
              </w:rPr>
              <w:t>.</w:t>
            </w:r>
          </w:p>
        </w:tc>
        <w:tc>
          <w:tcPr>
            <w:tcW w:w="7087" w:type="dxa"/>
            <w:shd w:val="clear" w:color="auto" w:fill="auto"/>
          </w:tcPr>
          <w:p w:rsidR="0021540C" w:rsidRPr="009D6AB1" w:rsidRDefault="0021540C" w:rsidP="0021540C">
            <w:pPr>
              <w:spacing w:after="0" w:line="240" w:lineRule="auto"/>
              <w:ind w:firstLine="317"/>
              <w:jc w:val="center"/>
              <w:rPr>
                <w:rFonts w:ascii="Times New Roman" w:hAnsi="Times New Roman" w:cs="Times New Roman"/>
                <w:b/>
                <w:i/>
                <w:sz w:val="24"/>
                <w:szCs w:val="24"/>
              </w:rPr>
            </w:pPr>
          </w:p>
        </w:tc>
        <w:tc>
          <w:tcPr>
            <w:tcW w:w="3827" w:type="dxa"/>
            <w:shd w:val="clear" w:color="auto" w:fill="auto"/>
          </w:tcPr>
          <w:p w:rsidR="0021540C" w:rsidRDefault="0021540C" w:rsidP="0021540C">
            <w:pPr>
              <w:spacing w:after="0" w:line="240" w:lineRule="auto"/>
              <w:jc w:val="both"/>
              <w:rPr>
                <w:rFonts w:ascii="Times New Roman" w:eastAsia="Times New Roman" w:hAnsi="Times New Roman" w:cs="Times New Roman"/>
                <w:b/>
                <w:color w:val="000000"/>
                <w:sz w:val="24"/>
                <w:szCs w:val="24"/>
                <w:lang w:eastAsia="ru-RU"/>
              </w:rPr>
            </w:pPr>
          </w:p>
        </w:tc>
      </w:tr>
      <w:tr w:rsidR="0021540C" w:rsidRPr="00E27D28" w:rsidTr="00BD239F">
        <w:trPr>
          <w:trHeight w:val="20"/>
        </w:trPr>
        <w:tc>
          <w:tcPr>
            <w:tcW w:w="4566" w:type="dxa"/>
            <w:shd w:val="clear" w:color="auto" w:fill="auto"/>
          </w:tcPr>
          <w:p w:rsidR="0021540C" w:rsidRPr="009D6AB1" w:rsidRDefault="0021540C" w:rsidP="0021540C">
            <w:pPr>
              <w:spacing w:after="0" w:line="240" w:lineRule="auto"/>
              <w:ind w:firstLine="709"/>
              <w:jc w:val="both"/>
              <w:rPr>
                <w:rFonts w:ascii="Times New Roman" w:hAnsi="Times New Roman" w:cs="Times New Roman"/>
                <w:sz w:val="24"/>
                <w:szCs w:val="24"/>
              </w:rPr>
            </w:pPr>
          </w:p>
        </w:tc>
        <w:tc>
          <w:tcPr>
            <w:tcW w:w="7087" w:type="dxa"/>
            <w:shd w:val="clear" w:color="auto" w:fill="auto"/>
          </w:tcPr>
          <w:p w:rsidR="0021540C" w:rsidRPr="009D6AB1" w:rsidRDefault="0021540C" w:rsidP="0021540C">
            <w:pPr>
              <w:spacing w:after="0" w:line="240" w:lineRule="auto"/>
              <w:ind w:firstLine="317"/>
              <w:jc w:val="center"/>
              <w:rPr>
                <w:rFonts w:ascii="Times New Roman" w:hAnsi="Times New Roman" w:cs="Times New Roman"/>
                <w:b/>
                <w:i/>
                <w:sz w:val="24"/>
                <w:szCs w:val="24"/>
              </w:rPr>
            </w:pPr>
            <w:r w:rsidRPr="009D6AB1">
              <w:rPr>
                <w:rFonts w:ascii="Times New Roman" w:hAnsi="Times New Roman" w:cs="Times New Roman"/>
                <w:b/>
                <w:i/>
                <w:sz w:val="24"/>
                <w:szCs w:val="24"/>
              </w:rPr>
              <w:t>V. Порядок приєднання об'єктів замовників (технічного доступу) до ГРМ</w:t>
            </w:r>
          </w:p>
        </w:tc>
        <w:tc>
          <w:tcPr>
            <w:tcW w:w="3827" w:type="dxa"/>
            <w:shd w:val="clear" w:color="auto" w:fill="auto"/>
          </w:tcPr>
          <w:p w:rsidR="0021540C" w:rsidRDefault="0021540C" w:rsidP="0021540C">
            <w:pPr>
              <w:spacing w:after="0" w:line="240" w:lineRule="auto"/>
              <w:jc w:val="both"/>
              <w:rPr>
                <w:rFonts w:ascii="Times New Roman" w:eastAsia="Times New Roman" w:hAnsi="Times New Roman" w:cs="Times New Roman"/>
                <w:b/>
                <w:color w:val="000000"/>
                <w:sz w:val="24"/>
                <w:szCs w:val="24"/>
                <w:lang w:eastAsia="ru-RU"/>
              </w:rPr>
            </w:pPr>
          </w:p>
        </w:tc>
      </w:tr>
      <w:tr w:rsidR="0021540C" w:rsidRPr="00E27D28" w:rsidTr="00BD239F">
        <w:trPr>
          <w:trHeight w:val="20"/>
        </w:trPr>
        <w:tc>
          <w:tcPr>
            <w:tcW w:w="4566" w:type="dxa"/>
            <w:shd w:val="clear" w:color="auto" w:fill="auto"/>
          </w:tcPr>
          <w:p w:rsidR="0021540C" w:rsidRPr="009D6AB1" w:rsidRDefault="0021540C" w:rsidP="0021540C">
            <w:pPr>
              <w:spacing w:after="0" w:line="240" w:lineRule="auto"/>
              <w:ind w:firstLine="709"/>
              <w:jc w:val="both"/>
              <w:rPr>
                <w:rFonts w:ascii="Times New Roman" w:hAnsi="Times New Roman" w:cs="Times New Roman"/>
                <w:sz w:val="24"/>
                <w:szCs w:val="24"/>
              </w:rPr>
            </w:pPr>
          </w:p>
        </w:tc>
        <w:tc>
          <w:tcPr>
            <w:tcW w:w="7087" w:type="dxa"/>
            <w:shd w:val="clear" w:color="auto" w:fill="auto"/>
          </w:tcPr>
          <w:p w:rsidR="0021540C" w:rsidRPr="009D6AB1" w:rsidRDefault="0021540C" w:rsidP="0021540C">
            <w:pPr>
              <w:spacing w:after="0" w:line="240" w:lineRule="auto"/>
              <w:ind w:firstLine="317"/>
              <w:jc w:val="center"/>
              <w:rPr>
                <w:rFonts w:ascii="Times New Roman" w:hAnsi="Times New Roman" w:cs="Times New Roman"/>
                <w:b/>
                <w:i/>
                <w:sz w:val="24"/>
                <w:szCs w:val="24"/>
              </w:rPr>
            </w:pPr>
            <w:r w:rsidRPr="009D6AB1">
              <w:rPr>
                <w:rFonts w:ascii="Times New Roman" w:hAnsi="Times New Roman" w:cs="Times New Roman"/>
                <w:b/>
                <w:i/>
                <w:sz w:val="24"/>
                <w:szCs w:val="24"/>
              </w:rPr>
              <w:t>1. Загальні умови приєднання (технічного доступу) до ГРМ</w:t>
            </w:r>
          </w:p>
        </w:tc>
        <w:tc>
          <w:tcPr>
            <w:tcW w:w="3827" w:type="dxa"/>
            <w:shd w:val="clear" w:color="auto" w:fill="auto"/>
          </w:tcPr>
          <w:p w:rsidR="0021540C" w:rsidRDefault="0021540C" w:rsidP="0021540C">
            <w:pPr>
              <w:spacing w:after="0" w:line="240" w:lineRule="auto"/>
              <w:jc w:val="both"/>
              <w:rPr>
                <w:rFonts w:ascii="Times New Roman" w:eastAsia="Times New Roman" w:hAnsi="Times New Roman" w:cs="Times New Roman"/>
                <w:b/>
                <w:color w:val="000000"/>
                <w:sz w:val="24"/>
                <w:szCs w:val="24"/>
                <w:lang w:eastAsia="ru-RU"/>
              </w:rPr>
            </w:pPr>
          </w:p>
        </w:tc>
      </w:tr>
      <w:tr w:rsidR="0021540C" w:rsidRPr="00E27D28" w:rsidTr="00BD239F">
        <w:trPr>
          <w:trHeight w:val="20"/>
        </w:trPr>
        <w:tc>
          <w:tcPr>
            <w:tcW w:w="4566" w:type="dxa"/>
            <w:shd w:val="clear" w:color="auto" w:fill="auto"/>
          </w:tcPr>
          <w:p w:rsidR="0021540C" w:rsidRPr="009D6AB1" w:rsidRDefault="0021540C" w:rsidP="0021540C">
            <w:pPr>
              <w:spacing w:after="0" w:line="240" w:lineRule="auto"/>
              <w:ind w:firstLine="205"/>
              <w:jc w:val="both"/>
              <w:rPr>
                <w:rFonts w:ascii="Times New Roman" w:hAnsi="Times New Roman" w:cs="Times New Roman"/>
                <w:sz w:val="24"/>
                <w:szCs w:val="24"/>
              </w:rPr>
            </w:pPr>
            <w:r w:rsidRPr="009D6AB1">
              <w:rPr>
                <w:rFonts w:ascii="Times New Roman" w:hAnsi="Times New Roman" w:cs="Times New Roman"/>
                <w:sz w:val="24"/>
                <w:szCs w:val="24"/>
              </w:rPr>
              <w:t xml:space="preserve">2. Об'єкти (установки) газодобувних підприємств та виробників біогазу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w:t>
            </w:r>
            <w:r w:rsidRPr="00B256C4">
              <w:rPr>
                <w:rFonts w:ascii="Times New Roman" w:hAnsi="Times New Roman" w:cs="Times New Roman"/>
                <w:b/>
                <w:sz w:val="24"/>
                <w:szCs w:val="24"/>
                <w:lang w:eastAsia="ru-RU"/>
              </w:rPr>
              <w:t>фізико-хімічними характеристиками має відповідати нормативно-правовим актам, що регулюють питання якості природного газу</w:t>
            </w:r>
            <w:r w:rsidRPr="009D6AB1">
              <w:rPr>
                <w:rFonts w:ascii="Times New Roman" w:hAnsi="Times New Roman" w:cs="Times New Roman"/>
                <w:sz w:val="24"/>
                <w:szCs w:val="24"/>
              </w:rPr>
              <w:t xml:space="preserve">. При цьому місце передачі газу має бути обладнано приладами (зокрема хроматографом, потоковим </w:t>
            </w:r>
            <w:proofErr w:type="spellStart"/>
            <w:r w:rsidRPr="009D6AB1">
              <w:rPr>
                <w:rFonts w:ascii="Times New Roman" w:hAnsi="Times New Roman" w:cs="Times New Roman"/>
                <w:sz w:val="24"/>
                <w:szCs w:val="24"/>
              </w:rPr>
              <w:t>густиноміром</w:t>
            </w:r>
            <w:proofErr w:type="spellEnd"/>
            <w:r w:rsidRPr="009D6AB1">
              <w:rPr>
                <w:rFonts w:ascii="Times New Roman" w:hAnsi="Times New Roman" w:cs="Times New Roman"/>
                <w:sz w:val="24"/>
                <w:szCs w:val="24"/>
              </w:rPr>
              <w:t xml:space="preserve">,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w:t>
            </w:r>
            <w:r w:rsidRPr="009D6AB1">
              <w:rPr>
                <w:rFonts w:ascii="Times New Roman" w:hAnsi="Times New Roman" w:cs="Times New Roman"/>
                <w:sz w:val="24"/>
                <w:szCs w:val="24"/>
              </w:rPr>
              <w:lastRenderedPageBreak/>
              <w:t>даних та припинення подачі неякісного газу до ГРМ.</w:t>
            </w:r>
          </w:p>
        </w:tc>
        <w:tc>
          <w:tcPr>
            <w:tcW w:w="7087" w:type="dxa"/>
            <w:shd w:val="clear" w:color="auto" w:fill="auto"/>
          </w:tcPr>
          <w:p w:rsidR="0021540C" w:rsidRPr="009D6AB1" w:rsidRDefault="0021540C" w:rsidP="0021540C">
            <w:pPr>
              <w:spacing w:after="0" w:line="240" w:lineRule="auto"/>
              <w:ind w:firstLine="317"/>
              <w:jc w:val="center"/>
              <w:rPr>
                <w:rFonts w:ascii="Times New Roman" w:hAnsi="Times New Roman" w:cs="Times New Roman"/>
                <w:b/>
                <w:i/>
                <w:sz w:val="24"/>
                <w:szCs w:val="24"/>
              </w:rPr>
            </w:pPr>
          </w:p>
        </w:tc>
        <w:tc>
          <w:tcPr>
            <w:tcW w:w="3827" w:type="dxa"/>
            <w:shd w:val="clear" w:color="auto" w:fill="auto"/>
          </w:tcPr>
          <w:p w:rsidR="0021540C" w:rsidRDefault="0021540C" w:rsidP="0021540C">
            <w:pPr>
              <w:spacing w:after="0" w:line="240" w:lineRule="auto"/>
              <w:jc w:val="both"/>
              <w:rPr>
                <w:rFonts w:ascii="Times New Roman" w:eastAsia="Times New Roman" w:hAnsi="Times New Roman" w:cs="Times New Roman"/>
                <w:b/>
                <w:color w:val="000000"/>
                <w:sz w:val="24"/>
                <w:szCs w:val="24"/>
                <w:lang w:eastAsia="ru-RU"/>
              </w:rPr>
            </w:pPr>
          </w:p>
        </w:tc>
      </w:tr>
      <w:tr w:rsidR="0021540C" w:rsidRPr="00E27D28" w:rsidTr="00D9506A">
        <w:trPr>
          <w:trHeight w:val="20"/>
        </w:trPr>
        <w:tc>
          <w:tcPr>
            <w:tcW w:w="15480" w:type="dxa"/>
            <w:gridSpan w:val="3"/>
            <w:shd w:val="clear" w:color="auto" w:fill="auto"/>
          </w:tcPr>
          <w:p w:rsidR="0021540C" w:rsidRDefault="0021540C" w:rsidP="0021540C">
            <w:pPr>
              <w:spacing w:after="0" w:line="240" w:lineRule="auto"/>
              <w:jc w:val="center"/>
              <w:rPr>
                <w:rFonts w:ascii="Times New Roman" w:eastAsia="Times New Roman" w:hAnsi="Times New Roman" w:cs="Times New Roman"/>
                <w:b/>
                <w:color w:val="000000"/>
                <w:sz w:val="24"/>
                <w:szCs w:val="24"/>
                <w:lang w:eastAsia="ru-RU"/>
              </w:rPr>
            </w:pPr>
            <w:r w:rsidRPr="002C37D4">
              <w:rPr>
                <w:rFonts w:ascii="Times New Roman" w:hAnsi="Times New Roman" w:cs="Times New Roman"/>
                <w:b/>
                <w:i/>
                <w:sz w:val="24"/>
                <w:szCs w:val="24"/>
              </w:rPr>
              <w:lastRenderedPageBreak/>
              <w:t>VIII. Якість газу в газорозподільних системах</w:t>
            </w:r>
          </w:p>
        </w:tc>
      </w:tr>
      <w:tr w:rsidR="0021540C" w:rsidRPr="00E27D28" w:rsidTr="001C63D8">
        <w:trPr>
          <w:trHeight w:val="20"/>
        </w:trPr>
        <w:tc>
          <w:tcPr>
            <w:tcW w:w="15480" w:type="dxa"/>
            <w:gridSpan w:val="3"/>
            <w:shd w:val="clear" w:color="auto" w:fill="auto"/>
          </w:tcPr>
          <w:p w:rsidR="0021540C" w:rsidRDefault="0021540C" w:rsidP="0021540C">
            <w:pPr>
              <w:spacing w:after="0" w:line="240" w:lineRule="auto"/>
              <w:jc w:val="center"/>
              <w:rPr>
                <w:rFonts w:ascii="Times New Roman" w:eastAsia="Times New Roman" w:hAnsi="Times New Roman" w:cs="Times New Roman"/>
                <w:b/>
                <w:color w:val="000000"/>
                <w:sz w:val="24"/>
                <w:szCs w:val="24"/>
                <w:lang w:eastAsia="ru-RU"/>
              </w:rPr>
            </w:pPr>
            <w:r w:rsidRPr="002C37D4">
              <w:rPr>
                <w:rFonts w:ascii="Times New Roman" w:hAnsi="Times New Roman" w:cs="Times New Roman"/>
                <w:b/>
                <w:i/>
                <w:sz w:val="24"/>
                <w:szCs w:val="24"/>
              </w:rPr>
              <w:t>1. Параметри природного газу в точках його надходження в ГРМ</w:t>
            </w:r>
          </w:p>
        </w:tc>
      </w:tr>
      <w:tr w:rsidR="0021540C" w:rsidRPr="00E27D28" w:rsidTr="00BD239F">
        <w:trPr>
          <w:trHeight w:val="20"/>
        </w:trPr>
        <w:tc>
          <w:tcPr>
            <w:tcW w:w="4566" w:type="dxa"/>
            <w:shd w:val="clear" w:color="auto" w:fill="auto"/>
          </w:tcPr>
          <w:p w:rsidR="0021540C" w:rsidRDefault="0021540C" w:rsidP="0021540C">
            <w:pPr>
              <w:spacing w:after="0" w:line="240" w:lineRule="auto"/>
              <w:ind w:firstLine="205"/>
              <w:jc w:val="both"/>
              <w:rPr>
                <w:rFonts w:ascii="Times New Roman" w:hAnsi="Times New Roman" w:cs="Times New Roman"/>
                <w:sz w:val="24"/>
                <w:szCs w:val="24"/>
              </w:rPr>
            </w:pPr>
            <w:r w:rsidRPr="002C37D4">
              <w:rPr>
                <w:rFonts w:ascii="Times New Roman" w:hAnsi="Times New Roman" w:cs="Times New Roman"/>
                <w:sz w:val="24"/>
                <w:szCs w:val="24"/>
              </w:rPr>
              <w:t>2. Чисельні значення фізико-хімічних показників природного газу, що подається до газорозподільної системи від ГДП чи ВБГ (суміжного Оператора ГРМ), повинні відповідати параметрам та принципам, визначеним в Кодексі ГТС, як для точок виходу з ГТС,</w:t>
            </w:r>
            <w:r>
              <w:rPr>
                <w:rFonts w:ascii="Times New Roman" w:hAnsi="Times New Roman" w:cs="Times New Roman"/>
                <w:sz w:val="24"/>
                <w:szCs w:val="24"/>
              </w:rPr>
              <w:t xml:space="preserve"> </w:t>
            </w:r>
            <w:r w:rsidRPr="002C37D4">
              <w:rPr>
                <w:rFonts w:ascii="Times New Roman" w:hAnsi="Times New Roman" w:cs="Times New Roman"/>
                <w:sz w:val="24"/>
                <w:szCs w:val="24"/>
              </w:rPr>
              <w:t>за виключенням вимог</w:t>
            </w:r>
            <w:r>
              <w:rPr>
                <w:rFonts w:ascii="Times New Roman" w:hAnsi="Times New Roman" w:cs="Times New Roman"/>
                <w:sz w:val="24"/>
                <w:szCs w:val="24"/>
              </w:rPr>
              <w:t xml:space="preserve"> </w:t>
            </w:r>
            <w:r w:rsidRPr="002C37D4">
              <w:rPr>
                <w:rFonts w:ascii="Times New Roman" w:hAnsi="Times New Roman" w:cs="Times New Roman"/>
                <w:b/>
                <w:sz w:val="24"/>
                <w:szCs w:val="24"/>
              </w:rPr>
              <w:t>до</w:t>
            </w:r>
            <w:r w:rsidRPr="002C37D4">
              <w:rPr>
                <w:rFonts w:ascii="Times New Roman" w:hAnsi="Times New Roman" w:cs="Times New Roman"/>
                <w:sz w:val="24"/>
                <w:szCs w:val="24"/>
              </w:rPr>
              <w:t xml:space="preserve"> вмісту </w:t>
            </w:r>
            <w:proofErr w:type="spellStart"/>
            <w:r w:rsidRPr="002C37D4">
              <w:rPr>
                <w:rFonts w:ascii="Times New Roman" w:hAnsi="Times New Roman" w:cs="Times New Roman"/>
                <w:sz w:val="24"/>
                <w:szCs w:val="24"/>
              </w:rPr>
              <w:t>меркаптанової</w:t>
            </w:r>
            <w:proofErr w:type="spellEnd"/>
            <w:r w:rsidRPr="002C37D4">
              <w:rPr>
                <w:rFonts w:ascii="Times New Roman" w:hAnsi="Times New Roman" w:cs="Times New Roman"/>
                <w:sz w:val="24"/>
                <w:szCs w:val="24"/>
              </w:rPr>
              <w:t xml:space="preserve"> сірки</w:t>
            </w:r>
            <w:r>
              <w:rPr>
                <w:rFonts w:ascii="Times New Roman" w:hAnsi="Times New Roman" w:cs="Times New Roman"/>
                <w:sz w:val="24"/>
                <w:szCs w:val="24"/>
              </w:rPr>
              <w:t xml:space="preserve"> </w:t>
            </w:r>
            <w:bookmarkStart w:id="2" w:name="_Hlk107320997"/>
            <w:r w:rsidRPr="0091514E">
              <w:rPr>
                <w:rFonts w:ascii="Times New Roman" w:hAnsi="Times New Roman" w:cs="Times New Roman"/>
                <w:b/>
                <w:sz w:val="24"/>
                <w:szCs w:val="24"/>
              </w:rPr>
              <w:t xml:space="preserve">та </w:t>
            </w:r>
            <w:r w:rsidRPr="0091514E">
              <w:rPr>
                <w:rFonts w:ascii="Times New Roman" w:hAnsi="Times New Roman" w:cs="Times New Roman"/>
                <w:b/>
                <w:color w:val="000000"/>
                <w:sz w:val="24"/>
                <w:szCs w:val="24"/>
              </w:rPr>
              <w:t>молярної частки вмісту кисню</w:t>
            </w:r>
            <w:r>
              <w:rPr>
                <w:rFonts w:ascii="Times New Roman" w:hAnsi="Times New Roman" w:cs="Times New Roman"/>
                <w:b/>
                <w:color w:val="000000"/>
                <w:sz w:val="24"/>
                <w:szCs w:val="24"/>
              </w:rPr>
              <w:t xml:space="preserve"> </w:t>
            </w:r>
            <w:r>
              <w:rPr>
                <w:rFonts w:ascii="Times New Roman" w:hAnsi="Times New Roman" w:cs="Times New Roman"/>
                <w:b/>
                <w:sz w:val="24"/>
                <w:szCs w:val="24"/>
              </w:rPr>
              <w:t>(в</w:t>
            </w:r>
            <w:r w:rsidRPr="007749E9">
              <w:rPr>
                <w:rFonts w:ascii="Times New Roman" w:eastAsia="DengXian" w:hAnsi="Times New Roman" w:cs="Times New Roman"/>
                <w:b/>
                <w:sz w:val="24"/>
                <w:szCs w:val="24"/>
              </w:rPr>
              <w:t>міст кисню не повинен перевищувати 1,0 %</w:t>
            </w:r>
            <w:r w:rsidRPr="0091514E">
              <w:rPr>
                <w:rFonts w:ascii="Times New Roman" w:hAnsi="Times New Roman" w:cs="Times New Roman"/>
                <w:b/>
                <w:color w:val="000000"/>
                <w:sz w:val="24"/>
                <w:szCs w:val="24"/>
              </w:rPr>
              <w:t>)</w:t>
            </w:r>
            <w:r w:rsidRPr="002C37D4">
              <w:rPr>
                <w:rFonts w:ascii="Times New Roman" w:hAnsi="Times New Roman" w:cs="Times New Roman"/>
                <w:sz w:val="24"/>
                <w:szCs w:val="24"/>
              </w:rPr>
              <w:t>.</w:t>
            </w:r>
            <w:bookmarkEnd w:id="2"/>
          </w:p>
          <w:p w:rsidR="0021540C" w:rsidRDefault="0021540C" w:rsidP="0021540C">
            <w:pPr>
              <w:spacing w:after="0" w:line="240" w:lineRule="auto"/>
              <w:ind w:firstLine="205"/>
              <w:jc w:val="both"/>
              <w:rPr>
                <w:rFonts w:ascii="Times New Roman" w:hAnsi="Times New Roman" w:cs="Times New Roman"/>
                <w:b/>
                <w:sz w:val="24"/>
                <w:szCs w:val="24"/>
              </w:rPr>
            </w:pPr>
            <w:bookmarkStart w:id="3" w:name="_Hlk107321086"/>
            <w:r w:rsidRPr="005F3453">
              <w:rPr>
                <w:rFonts w:ascii="Times New Roman" w:hAnsi="Times New Roman" w:cs="Times New Roman"/>
                <w:b/>
                <w:sz w:val="24"/>
                <w:szCs w:val="24"/>
              </w:rPr>
              <w:t>Визначені у цьому пункті вимоги до природного газу</w:t>
            </w:r>
            <w:r>
              <w:rPr>
                <w:rFonts w:ascii="Times New Roman" w:hAnsi="Times New Roman" w:cs="Times New Roman"/>
                <w:b/>
                <w:sz w:val="24"/>
                <w:szCs w:val="24"/>
              </w:rPr>
              <w:t xml:space="preserve"> </w:t>
            </w:r>
            <w:r w:rsidRPr="005F3453">
              <w:rPr>
                <w:rFonts w:ascii="Times New Roman" w:hAnsi="Times New Roman" w:cs="Times New Roman"/>
                <w:b/>
                <w:sz w:val="24"/>
                <w:szCs w:val="24"/>
              </w:rPr>
              <w:t>застосовуються у частині, що не суперечить вимогам, визначеним у технічному регламенті природного газу.</w:t>
            </w:r>
            <w:bookmarkEnd w:id="3"/>
          </w:p>
          <w:p w:rsidR="0021540C" w:rsidRPr="009D6AB1" w:rsidRDefault="0021540C" w:rsidP="0021540C">
            <w:pPr>
              <w:spacing w:after="0" w:line="240" w:lineRule="auto"/>
              <w:ind w:firstLine="205"/>
              <w:jc w:val="both"/>
              <w:rPr>
                <w:rFonts w:ascii="Times New Roman" w:hAnsi="Times New Roman" w:cs="Times New Roman"/>
                <w:sz w:val="24"/>
                <w:szCs w:val="24"/>
              </w:rPr>
            </w:pPr>
            <w:r>
              <w:rPr>
                <w:rFonts w:ascii="Times New Roman" w:hAnsi="Times New Roman" w:cs="Times New Roman"/>
                <w:sz w:val="24"/>
                <w:szCs w:val="24"/>
              </w:rPr>
              <w:t>…</w:t>
            </w:r>
          </w:p>
        </w:tc>
        <w:tc>
          <w:tcPr>
            <w:tcW w:w="7087" w:type="dxa"/>
            <w:shd w:val="clear" w:color="auto" w:fill="auto"/>
          </w:tcPr>
          <w:p w:rsidR="0021540C" w:rsidRPr="009D6AB1" w:rsidRDefault="0021540C" w:rsidP="0021540C">
            <w:pPr>
              <w:spacing w:after="0" w:line="240" w:lineRule="auto"/>
              <w:ind w:firstLine="317"/>
              <w:jc w:val="center"/>
              <w:rPr>
                <w:rFonts w:ascii="Times New Roman" w:hAnsi="Times New Roman" w:cs="Times New Roman"/>
                <w:b/>
                <w:i/>
                <w:sz w:val="24"/>
                <w:szCs w:val="24"/>
              </w:rPr>
            </w:pPr>
          </w:p>
        </w:tc>
        <w:tc>
          <w:tcPr>
            <w:tcW w:w="3827" w:type="dxa"/>
            <w:shd w:val="clear" w:color="auto" w:fill="auto"/>
          </w:tcPr>
          <w:p w:rsidR="0021540C" w:rsidRDefault="0021540C" w:rsidP="0021540C">
            <w:pPr>
              <w:spacing w:after="0" w:line="240" w:lineRule="auto"/>
              <w:jc w:val="both"/>
              <w:rPr>
                <w:rFonts w:ascii="Times New Roman" w:eastAsia="Times New Roman" w:hAnsi="Times New Roman" w:cs="Times New Roman"/>
                <w:b/>
                <w:color w:val="000000"/>
                <w:sz w:val="24"/>
                <w:szCs w:val="24"/>
                <w:lang w:eastAsia="ru-RU"/>
              </w:rPr>
            </w:pPr>
          </w:p>
        </w:tc>
      </w:tr>
    </w:tbl>
    <w:p w:rsidR="005369C4" w:rsidRDefault="005369C4" w:rsidP="005369C4">
      <w:pPr>
        <w:spacing w:after="0" w:line="240" w:lineRule="auto"/>
        <w:jc w:val="both"/>
        <w:rPr>
          <w:rFonts w:ascii="Times New Roman" w:eastAsia="Times New Roman" w:hAnsi="Times New Roman" w:cs="Times New Roman"/>
          <w:b/>
          <w:szCs w:val="28"/>
        </w:rPr>
      </w:pPr>
    </w:p>
    <w:p w:rsidR="0021540C" w:rsidRDefault="0021540C" w:rsidP="005369C4">
      <w:pPr>
        <w:spacing w:after="0" w:line="240" w:lineRule="auto"/>
        <w:jc w:val="both"/>
        <w:rPr>
          <w:rFonts w:ascii="Times New Roman" w:eastAsia="Times New Roman" w:hAnsi="Times New Roman" w:cs="Times New Roman"/>
          <w:b/>
          <w:szCs w:val="28"/>
        </w:rPr>
      </w:pPr>
    </w:p>
    <w:p w:rsidR="0021540C" w:rsidRDefault="0021540C" w:rsidP="005369C4">
      <w:pPr>
        <w:spacing w:after="0" w:line="240" w:lineRule="auto"/>
        <w:jc w:val="both"/>
        <w:rPr>
          <w:rFonts w:ascii="Times New Roman" w:eastAsia="Times New Roman" w:hAnsi="Times New Roman" w:cs="Times New Roman"/>
          <w:b/>
          <w:szCs w:val="28"/>
        </w:rPr>
      </w:pPr>
    </w:p>
    <w:p w:rsidR="0021540C" w:rsidRPr="00EC2FC5" w:rsidRDefault="0021540C" w:rsidP="005369C4">
      <w:pPr>
        <w:spacing w:after="0" w:line="240" w:lineRule="auto"/>
        <w:jc w:val="both"/>
        <w:rPr>
          <w:rFonts w:ascii="Times New Roman" w:eastAsia="Times New Roman" w:hAnsi="Times New Roman" w:cs="Times New Roman"/>
          <w:b/>
          <w:szCs w:val="28"/>
        </w:rPr>
      </w:pPr>
    </w:p>
    <w:p w:rsidR="005369C4" w:rsidRPr="00EC2FC5" w:rsidRDefault="005369C4" w:rsidP="005369C4">
      <w:pPr>
        <w:spacing w:after="0" w:line="240" w:lineRule="auto"/>
        <w:jc w:val="both"/>
        <w:rPr>
          <w:rFonts w:ascii="Times New Roman" w:eastAsia="Times New Roman" w:hAnsi="Times New Roman" w:cs="Times New Roman"/>
          <w:b/>
          <w:szCs w:val="28"/>
        </w:rPr>
      </w:pPr>
      <w:r w:rsidRPr="00EC2FC5">
        <w:rPr>
          <w:rFonts w:ascii="Times New Roman" w:eastAsia="Times New Roman" w:hAnsi="Times New Roman" w:cs="Times New Roman"/>
          <w:b/>
          <w:szCs w:val="28"/>
        </w:rPr>
        <w:t xml:space="preserve">Директор Департаменту із </w:t>
      </w:r>
    </w:p>
    <w:p w:rsidR="005369C4" w:rsidRDefault="005369C4" w:rsidP="005369C4">
      <w:pPr>
        <w:spacing w:after="0" w:line="240" w:lineRule="auto"/>
        <w:jc w:val="both"/>
      </w:pPr>
      <w:r w:rsidRPr="00EC2FC5">
        <w:rPr>
          <w:rFonts w:ascii="Times New Roman" w:eastAsia="Times New Roman" w:hAnsi="Times New Roman" w:cs="Times New Roman"/>
          <w:b/>
          <w:szCs w:val="28"/>
        </w:rPr>
        <w:t>регулювання відносин у нафтогазовій сфері</w:t>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Pr>
          <w:rFonts w:ascii="Times New Roman" w:eastAsia="Times New Roman" w:hAnsi="Times New Roman" w:cs="Times New Roman"/>
          <w:b/>
          <w:szCs w:val="28"/>
        </w:rPr>
        <w:tab/>
      </w:r>
      <w:r w:rsidRPr="00EC2FC5">
        <w:rPr>
          <w:rFonts w:ascii="Times New Roman" w:eastAsia="Times New Roman" w:hAnsi="Times New Roman" w:cs="Times New Roman"/>
          <w:b/>
          <w:szCs w:val="28"/>
        </w:rPr>
        <w:tab/>
        <w:t>Т. Рябуха</w:t>
      </w:r>
    </w:p>
    <w:sectPr w:rsidR="005369C4" w:rsidSect="0082162F">
      <w:footerReference w:type="default" r:id="rId6"/>
      <w:pgSz w:w="16838" w:h="11906" w:orient="landscape"/>
      <w:pgMar w:top="567" w:right="567" w:bottom="567" w:left="1134" w:header="709" w:footer="306"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350" w:rsidRDefault="006F3350">
      <w:pPr>
        <w:spacing w:after="0" w:line="240" w:lineRule="auto"/>
      </w:pPr>
      <w:r>
        <w:separator/>
      </w:r>
    </w:p>
  </w:endnote>
  <w:endnote w:type="continuationSeparator" w:id="0">
    <w:p w:rsidR="006F3350" w:rsidRDefault="006F3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C23" w:rsidRDefault="0021540C">
    <w:pPr>
      <w:pBdr>
        <w:top w:val="nil"/>
        <w:left w:val="nil"/>
        <w:bottom w:val="nil"/>
        <w:right w:val="nil"/>
        <w:between w:val="nil"/>
      </w:pBdr>
      <w:tabs>
        <w:tab w:val="center" w:pos="4677"/>
        <w:tab w:val="right" w:pos="9355"/>
      </w:tabs>
      <w:spacing w:after="0" w:line="240" w:lineRule="auto"/>
      <w:jc w:val="center"/>
      <w:rPr>
        <w:rFonts w:cs="Calibri"/>
        <w:color w:val="000000"/>
        <w:sz w:val="20"/>
        <w:szCs w:val="20"/>
      </w:rPr>
    </w:pPr>
    <w:r>
      <w:rPr>
        <w:rFonts w:cs="Calibri"/>
        <w:color w:val="000000"/>
        <w:sz w:val="20"/>
        <w:szCs w:val="20"/>
      </w:rPr>
      <w:fldChar w:fldCharType="begin"/>
    </w:r>
    <w:r>
      <w:rPr>
        <w:rFonts w:cs="Calibri"/>
        <w:color w:val="000000"/>
        <w:sz w:val="20"/>
        <w:szCs w:val="20"/>
      </w:rPr>
      <w:instrText>PAGE</w:instrText>
    </w:r>
    <w:r>
      <w:rPr>
        <w:rFonts w:cs="Calibri"/>
        <w:color w:val="000000"/>
        <w:sz w:val="20"/>
        <w:szCs w:val="20"/>
      </w:rPr>
      <w:fldChar w:fldCharType="separate"/>
    </w:r>
    <w:r w:rsidR="00200DE7">
      <w:rPr>
        <w:rFonts w:cs="Calibri"/>
        <w:noProof/>
        <w:color w:val="000000"/>
        <w:sz w:val="20"/>
        <w:szCs w:val="20"/>
      </w:rPr>
      <w:t>4</w:t>
    </w:r>
    <w:r>
      <w:rPr>
        <w:rFonts w:cs="Calibri"/>
        <w:color w:val="000000"/>
        <w:sz w:val="20"/>
        <w:szCs w:val="20"/>
      </w:rPr>
      <w:fldChar w:fldCharType="end"/>
    </w:r>
  </w:p>
  <w:p w:rsidR="00367C23" w:rsidRDefault="006F3350">
    <w:pPr>
      <w:pBdr>
        <w:top w:val="nil"/>
        <w:left w:val="nil"/>
        <w:bottom w:val="nil"/>
        <w:right w:val="nil"/>
        <w:between w:val="nil"/>
      </w:pBdr>
      <w:tabs>
        <w:tab w:val="center" w:pos="4677"/>
        <w:tab w:val="right" w:pos="9355"/>
      </w:tabs>
      <w:spacing w:after="0" w:line="240" w:lineRule="auto"/>
      <w:rPr>
        <w:rFonts w:cs="Calibri"/>
        <w:color w:val="000000"/>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350" w:rsidRDefault="006F3350">
      <w:pPr>
        <w:spacing w:after="0" w:line="240" w:lineRule="auto"/>
      </w:pPr>
      <w:r>
        <w:separator/>
      </w:r>
    </w:p>
  </w:footnote>
  <w:footnote w:type="continuationSeparator" w:id="0">
    <w:p w:rsidR="006F3350" w:rsidRDefault="006F33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C4"/>
    <w:rsid w:val="00000C0F"/>
    <w:rsid w:val="00200DE7"/>
    <w:rsid w:val="0021540C"/>
    <w:rsid w:val="004F0E6D"/>
    <w:rsid w:val="005369C4"/>
    <w:rsid w:val="0066763B"/>
    <w:rsid w:val="006F3350"/>
    <w:rsid w:val="00950F73"/>
    <w:rsid w:val="009F2F38"/>
    <w:rsid w:val="00C630F9"/>
    <w:rsid w:val="00C95F4C"/>
    <w:rsid w:val="00D52544"/>
    <w:rsid w:val="00F027C6"/>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35A183-C3A3-4A3D-B2EA-4556BA952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9C4"/>
    <w:pPr>
      <w:spacing w:after="200" w:line="276" w:lineRule="auto"/>
    </w:pPr>
    <w:rPr>
      <w:rFonts w:ascii="Calibri" w:eastAsia="Calibri" w:hAnsi="Calibri" w:cstheme="minorHAnsi"/>
      <w:sz w:val="28"/>
      <w:szCs w:val="14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369C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 Spacing"/>
    <w:link w:val="a4"/>
    <w:uiPriority w:val="1"/>
    <w:qFormat/>
    <w:rsid w:val="005369C4"/>
    <w:pPr>
      <w:spacing w:after="0" w:line="240" w:lineRule="auto"/>
    </w:pPr>
    <w:rPr>
      <w:rFonts w:ascii="Calibri" w:eastAsia="Calibri" w:hAnsi="Calibri" w:cs="Calibri"/>
      <w:sz w:val="28"/>
      <w:szCs w:val="28"/>
      <w:lang w:val="ru-RU" w:eastAsia="en-US"/>
    </w:rPr>
  </w:style>
  <w:style w:type="character" w:customStyle="1" w:styleId="a4">
    <w:name w:val="Без інтервалів Знак"/>
    <w:link w:val="a3"/>
    <w:uiPriority w:val="1"/>
    <w:rsid w:val="005369C4"/>
    <w:rPr>
      <w:rFonts w:ascii="Calibri" w:eastAsia="Calibri" w:hAnsi="Calibri" w:cs="Calibri"/>
      <w:sz w:val="28"/>
      <w:szCs w:val="28"/>
      <w:lang w:val="ru-RU" w:eastAsia="en-US"/>
    </w:rPr>
  </w:style>
  <w:style w:type="character" w:styleId="a5">
    <w:name w:val="Hyperlink"/>
    <w:basedOn w:val="a0"/>
    <w:uiPriority w:val="99"/>
    <w:unhideWhenUsed/>
    <w:rsid w:val="005369C4"/>
    <w:rPr>
      <w:color w:val="0563C1" w:themeColor="hyperlink"/>
      <w:u w:val="single"/>
    </w:rPr>
  </w:style>
  <w:style w:type="character" w:styleId="a6">
    <w:name w:val="Strong"/>
    <w:basedOn w:val="a0"/>
    <w:uiPriority w:val="22"/>
    <w:qFormat/>
    <w:rsid w:val="005369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3882</Words>
  <Characters>2213</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Володимир Пріщенко</cp:lastModifiedBy>
  <cp:revision>3</cp:revision>
  <dcterms:created xsi:type="dcterms:W3CDTF">2022-07-19T10:20:00Z</dcterms:created>
  <dcterms:modified xsi:type="dcterms:W3CDTF">2022-07-19T10:36:00Z</dcterms:modified>
</cp:coreProperties>
</file>