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36C45" w14:textId="30FA5186" w:rsidR="00735D2F" w:rsidRDefault="00763537" w:rsidP="00735D2F">
      <w:pPr>
        <w:pStyle w:val="af4"/>
        <w:ind w:left="426" w:right="426" w:firstLine="0"/>
        <w:rPr>
          <w:szCs w:val="28"/>
        </w:rPr>
      </w:pPr>
      <w:r>
        <w:t>У</w:t>
      </w:r>
      <w:r w:rsidRPr="00763537">
        <w:t>загальнені зауваження</w:t>
      </w:r>
      <w:r>
        <w:t xml:space="preserve"> </w:t>
      </w:r>
      <w:r w:rsidRPr="00763537">
        <w:t xml:space="preserve">та пропозиції до проекту </w:t>
      </w:r>
      <w:r w:rsidR="00CD275F">
        <w:rPr>
          <w:szCs w:val="28"/>
        </w:rPr>
        <w:t xml:space="preserve">рішення НКРЕКП, що має ознаки регуляторного </w:t>
      </w:r>
      <w:proofErr w:type="spellStart"/>
      <w:r w:rsidR="00CD275F">
        <w:rPr>
          <w:szCs w:val="28"/>
        </w:rPr>
        <w:t>акта</w:t>
      </w:r>
      <w:proofErr w:type="spellEnd"/>
      <w:r w:rsidR="00CD275F">
        <w:rPr>
          <w:szCs w:val="28"/>
        </w:rPr>
        <w:t>, - постанови НКРЕКП</w:t>
      </w:r>
      <w:r w:rsidR="00E02230">
        <w:rPr>
          <w:szCs w:val="28"/>
        </w:rPr>
        <w:t xml:space="preserve"> </w:t>
      </w:r>
      <w:r w:rsidR="00735D2F" w:rsidRPr="00125650">
        <w:rPr>
          <w:szCs w:val="28"/>
        </w:rPr>
        <w:t>«Про внесення зміни до Методики формування цін на допоміжні послуги»</w:t>
      </w:r>
    </w:p>
    <w:p w14:paraId="54943434" w14:textId="77777777" w:rsidR="00275015" w:rsidRPr="00275015" w:rsidRDefault="00275015" w:rsidP="00735D2F">
      <w:pPr>
        <w:pStyle w:val="af4"/>
        <w:ind w:left="426" w:right="426" w:firstLine="0"/>
        <w:rPr>
          <w:b w:val="0"/>
          <w:bCs/>
          <w:sz w:val="18"/>
          <w:szCs w:val="28"/>
        </w:rPr>
      </w:pPr>
    </w:p>
    <w:tbl>
      <w:tblPr>
        <w:tblStyle w:val="a4"/>
        <w:tblW w:w="4890" w:type="pct"/>
        <w:tblInd w:w="392" w:type="dxa"/>
        <w:tblLook w:val="04A0" w:firstRow="1" w:lastRow="0" w:firstColumn="1" w:lastColumn="0" w:noHBand="0" w:noVBand="1"/>
      </w:tblPr>
      <w:tblGrid>
        <w:gridCol w:w="2541"/>
        <w:gridCol w:w="10216"/>
        <w:gridCol w:w="2513"/>
      </w:tblGrid>
      <w:tr w:rsidR="00F77BF2" w:rsidRPr="00F77BF2" w14:paraId="43B400DF" w14:textId="772BEEA8" w:rsidTr="00E02230">
        <w:tc>
          <w:tcPr>
            <w:tcW w:w="832" w:type="pct"/>
            <w:vAlign w:val="center"/>
          </w:tcPr>
          <w:p w14:paraId="6BF57C72" w14:textId="101B87C2" w:rsidR="00F77BF2" w:rsidRPr="00F77BF2" w:rsidRDefault="00F77BF2" w:rsidP="00946BAD">
            <w:pPr>
              <w:jc w:val="center"/>
              <w:rPr>
                <w:rFonts w:ascii="Times New Roman" w:hAnsi="Times New Roman" w:cs="Times New Roman"/>
                <w:bCs/>
                <w:sz w:val="24"/>
                <w:szCs w:val="24"/>
                <w:lang w:val="uk-UA"/>
              </w:rPr>
            </w:pPr>
            <w:r w:rsidRPr="00F77BF2">
              <w:rPr>
                <w:rFonts w:ascii="Times New Roman" w:hAnsi="Times New Roman" w:cs="Times New Roman"/>
                <w:bCs/>
                <w:sz w:val="24"/>
                <w:szCs w:val="24"/>
                <w:lang w:val="uk-UA"/>
              </w:rPr>
              <w:t xml:space="preserve">Редакція </w:t>
            </w:r>
            <w:proofErr w:type="spellStart"/>
            <w:r w:rsidRPr="00F77BF2">
              <w:rPr>
                <w:rFonts w:ascii="Times New Roman" w:hAnsi="Times New Roman" w:cs="Times New Roman"/>
                <w:bCs/>
                <w:sz w:val="24"/>
                <w:szCs w:val="24"/>
                <w:lang w:val="uk-UA"/>
              </w:rPr>
              <w:t>проєкту</w:t>
            </w:r>
            <w:proofErr w:type="spellEnd"/>
            <w:r w:rsidRPr="00F77BF2">
              <w:rPr>
                <w:rFonts w:ascii="Times New Roman" w:hAnsi="Times New Roman" w:cs="Times New Roman"/>
                <w:bCs/>
                <w:sz w:val="24"/>
                <w:szCs w:val="24"/>
                <w:lang w:val="uk-UA"/>
              </w:rPr>
              <w:t xml:space="preserve"> рішення НКРЕКП</w:t>
            </w:r>
          </w:p>
        </w:tc>
        <w:tc>
          <w:tcPr>
            <w:tcW w:w="3344" w:type="pct"/>
            <w:vAlign w:val="center"/>
          </w:tcPr>
          <w:p w14:paraId="0BCEBC12" w14:textId="7780C109" w:rsidR="00F77BF2" w:rsidRPr="00F77BF2" w:rsidRDefault="00F77BF2" w:rsidP="00946BAD">
            <w:pPr>
              <w:jc w:val="center"/>
              <w:rPr>
                <w:rFonts w:ascii="Times New Roman" w:hAnsi="Times New Roman" w:cs="Times New Roman"/>
                <w:bCs/>
                <w:sz w:val="24"/>
                <w:szCs w:val="24"/>
                <w:lang w:val="ru-RU"/>
              </w:rPr>
            </w:pPr>
            <w:r w:rsidRPr="00F77BF2">
              <w:rPr>
                <w:rFonts w:ascii="Times New Roman" w:hAnsi="Times New Roman" w:cs="Times New Roman"/>
                <w:bCs/>
                <w:sz w:val="24"/>
                <w:szCs w:val="24"/>
                <w:lang w:val="uk-UA"/>
              </w:rPr>
              <w:t>Зауваження та пропозиції до проекту рішення НКРЕКП</w:t>
            </w:r>
          </w:p>
        </w:tc>
        <w:tc>
          <w:tcPr>
            <w:tcW w:w="823" w:type="pct"/>
            <w:vAlign w:val="center"/>
          </w:tcPr>
          <w:p w14:paraId="6B6F8F86" w14:textId="5150E62A" w:rsidR="00F77BF2" w:rsidRPr="00F77BF2" w:rsidRDefault="00F77BF2" w:rsidP="00946BAD">
            <w:pPr>
              <w:jc w:val="center"/>
              <w:rPr>
                <w:rFonts w:ascii="Times New Roman" w:hAnsi="Times New Roman" w:cs="Times New Roman"/>
                <w:bCs/>
                <w:sz w:val="24"/>
                <w:szCs w:val="24"/>
                <w:lang w:val="ru-RU"/>
              </w:rPr>
            </w:pPr>
            <w:r w:rsidRPr="00F77BF2">
              <w:rPr>
                <w:rFonts w:ascii="Times New Roman" w:hAnsi="Times New Roman" w:cs="Times New Roman"/>
                <w:bCs/>
                <w:sz w:val="24"/>
                <w:szCs w:val="24"/>
                <w:lang w:val="uk-UA"/>
              </w:rPr>
              <w:t xml:space="preserve">Попередня </w:t>
            </w:r>
            <w:bookmarkStart w:id="0" w:name="_GoBack"/>
            <w:bookmarkEnd w:id="0"/>
            <w:r w:rsidRPr="00F77BF2">
              <w:rPr>
                <w:rFonts w:ascii="Times New Roman" w:hAnsi="Times New Roman" w:cs="Times New Roman"/>
                <w:bCs/>
                <w:sz w:val="24"/>
                <w:szCs w:val="24"/>
                <w:lang w:val="uk-UA"/>
              </w:rPr>
              <w:t>позиція НКРЕКП щодо наданих зауважень та пропозицій з обґрунтуваннями щодо прийняття або відхилення</w:t>
            </w:r>
          </w:p>
        </w:tc>
      </w:tr>
      <w:tr w:rsidR="00F77BF2" w:rsidRPr="00F77BF2" w14:paraId="1E7168AF" w14:textId="31E2087C" w:rsidTr="00E02230">
        <w:trPr>
          <w:trHeight w:val="2622"/>
        </w:trPr>
        <w:tc>
          <w:tcPr>
            <w:tcW w:w="832" w:type="pct"/>
            <w:vMerge w:val="restart"/>
          </w:tcPr>
          <w:p w14:paraId="478CF38B" w14:textId="5C24431B" w:rsidR="00F77BF2" w:rsidRPr="00F77BF2" w:rsidRDefault="00F77BF2" w:rsidP="00F77BF2">
            <w:pPr>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sz w:val="24"/>
                <w:szCs w:val="24"/>
                <w:lang w:val="uk-UA" w:eastAsia="ru-RU"/>
              </w:rPr>
              <w:t xml:space="preserve">1. Загальні положення </w:t>
            </w:r>
          </w:p>
          <w:p w14:paraId="61B7AC0D" w14:textId="29611BA5" w:rsidR="00F77BF2" w:rsidRPr="00F77BF2" w:rsidRDefault="00F77BF2" w:rsidP="00F77BF2">
            <w:pPr>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sz w:val="24"/>
                <w:szCs w:val="24"/>
                <w:lang w:val="uk-UA" w:eastAsia="ru-RU"/>
              </w:rPr>
              <w:t>…</w:t>
            </w:r>
          </w:p>
          <w:p w14:paraId="68B90E95" w14:textId="1066D940" w:rsidR="00F77BF2" w:rsidRPr="00F77BF2" w:rsidRDefault="00F77BF2" w:rsidP="00F77BF2">
            <w:pPr>
              <w:jc w:val="both"/>
              <w:rPr>
                <w:rFonts w:ascii="Times New Roman" w:hAnsi="Times New Roman" w:cs="Times New Roman"/>
                <w:bCs/>
                <w:sz w:val="24"/>
                <w:szCs w:val="24"/>
                <w:lang w:val="uk-UA"/>
              </w:rPr>
            </w:pPr>
            <w:r w:rsidRPr="00F77BF2">
              <w:rPr>
                <w:rFonts w:ascii="Times New Roman" w:eastAsia="Times New Roman" w:hAnsi="Times New Roman" w:cs="Times New Roman"/>
                <w:color w:val="000000"/>
                <w:sz w:val="24"/>
                <w:szCs w:val="24"/>
                <w:lang w:val="uk-UA" w:eastAsia="uk-UA"/>
              </w:rPr>
              <w:t>1.8. У період дії в Україні воєнного стану та до завершення календарного року, у якому прийнято рішення про припинення або скасування воєнного стану, ціни на допоміжні послуги визначаються на рівні цін на допоміжні послуги, сформованих на плановий період у календарному році, який передував року, у якому було прийнято рішення про введення воєнного стану в Україні.</w:t>
            </w:r>
          </w:p>
        </w:tc>
        <w:tc>
          <w:tcPr>
            <w:tcW w:w="3344" w:type="pct"/>
          </w:tcPr>
          <w:p w14:paraId="723D696C" w14:textId="365523AA"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b/>
                <w:sz w:val="24"/>
                <w:szCs w:val="24"/>
                <w:lang w:val="uk-UA" w:eastAsia="ru-RU"/>
              </w:rPr>
              <w:t>Пропозиції НЕК «Укренерго»:</w:t>
            </w:r>
          </w:p>
          <w:p w14:paraId="42AC4663" w14:textId="77777777" w:rsidR="00F77BF2" w:rsidRPr="00F77BF2" w:rsidRDefault="00F77BF2" w:rsidP="00F77BF2">
            <w:pPr>
              <w:ind w:firstLine="326"/>
              <w:jc w:val="both"/>
              <w:rPr>
                <w:rFonts w:ascii="Times New Roman" w:eastAsia="Times New Roman" w:hAnsi="Times New Roman" w:cs="Times New Roman"/>
                <w:b/>
                <w:sz w:val="24"/>
                <w:szCs w:val="24"/>
                <w:lang w:val="uk-UA" w:eastAsia="ru-RU"/>
              </w:rPr>
            </w:pPr>
            <w:r w:rsidRPr="00F77BF2">
              <w:rPr>
                <w:rFonts w:ascii="Times New Roman" w:eastAsia="Times New Roman" w:hAnsi="Times New Roman" w:cs="Times New Roman"/>
                <w:color w:val="000000"/>
                <w:sz w:val="24"/>
                <w:szCs w:val="24"/>
                <w:lang w:val="uk-UA" w:eastAsia="uk-UA"/>
              </w:rPr>
              <w:t xml:space="preserve">1.8. У період дії в Україні воєнного стану та до завершення календарного року, у якому прийнято рішення про припинення або скасування воєнного стану, ціни на допоміжні послуги визначаються на рівні цін на допоміжні послуги, </w:t>
            </w:r>
            <w:r w:rsidRPr="00F77BF2">
              <w:rPr>
                <w:rFonts w:ascii="Times New Roman" w:eastAsia="Times New Roman" w:hAnsi="Times New Roman" w:cs="Times New Roman"/>
                <w:b/>
                <w:sz w:val="24"/>
                <w:szCs w:val="24"/>
                <w:lang w:val="uk-UA" w:eastAsia="ru-RU"/>
              </w:rPr>
              <w:t>що діяли протягом року, в якому було прийнято рішення про введення воєнного стану в Україні.</w:t>
            </w:r>
          </w:p>
          <w:p w14:paraId="53CBF202" w14:textId="77777777" w:rsidR="00F77BF2" w:rsidRPr="00F77BF2" w:rsidRDefault="00F77BF2" w:rsidP="00F77BF2">
            <w:pPr>
              <w:ind w:firstLine="326"/>
              <w:jc w:val="both"/>
              <w:rPr>
                <w:rFonts w:ascii="Times New Roman" w:eastAsia="Times New Roman" w:hAnsi="Times New Roman" w:cs="Times New Roman"/>
                <w:sz w:val="24"/>
                <w:szCs w:val="24"/>
                <w:lang w:val="uk-UA" w:eastAsia="ru-RU"/>
              </w:rPr>
            </w:pPr>
          </w:p>
          <w:p w14:paraId="6303D3D4" w14:textId="217B2765"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Зміни пропонуються у вигляді редакційного уточнення для уникнення подвійного трактування.</w:t>
            </w:r>
          </w:p>
        </w:tc>
        <w:tc>
          <w:tcPr>
            <w:tcW w:w="823" w:type="pct"/>
          </w:tcPr>
          <w:p w14:paraId="49EA660B" w14:textId="77777777" w:rsidR="00F77BF2" w:rsidRDefault="00F77BF2" w:rsidP="00F77BF2">
            <w:pPr>
              <w:jc w:val="both"/>
              <w:rPr>
                <w:rFonts w:ascii="Times New Roman" w:eastAsia="Times New Roman" w:hAnsi="Times New Roman" w:cs="Times New Roman"/>
                <w:b/>
                <w:sz w:val="24"/>
                <w:szCs w:val="24"/>
                <w:lang w:val="uk-UA" w:eastAsia="ru-RU"/>
              </w:rPr>
            </w:pPr>
          </w:p>
          <w:p w14:paraId="476C39D0" w14:textId="4DE0F380" w:rsidR="00F77BF2" w:rsidRPr="00F77BF2" w:rsidRDefault="00F77BF2" w:rsidP="00F77BF2">
            <w:pPr>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Потребує обговорення</w:t>
            </w:r>
          </w:p>
        </w:tc>
      </w:tr>
      <w:tr w:rsidR="00F77BF2" w:rsidRPr="00F77BF2" w14:paraId="02528801" w14:textId="1DF2C651" w:rsidTr="00E02230">
        <w:trPr>
          <w:trHeight w:val="1459"/>
        </w:trPr>
        <w:tc>
          <w:tcPr>
            <w:tcW w:w="832" w:type="pct"/>
            <w:vMerge/>
          </w:tcPr>
          <w:p w14:paraId="13DADF1C" w14:textId="77777777" w:rsidR="00F77BF2" w:rsidRPr="00F77BF2" w:rsidRDefault="00F77BF2" w:rsidP="00AB06C6">
            <w:pPr>
              <w:ind w:firstLine="567"/>
              <w:jc w:val="both"/>
              <w:rPr>
                <w:rFonts w:ascii="Times New Roman" w:eastAsia="Times New Roman" w:hAnsi="Times New Roman" w:cs="Times New Roman"/>
                <w:sz w:val="24"/>
                <w:szCs w:val="24"/>
                <w:lang w:val="uk-UA" w:eastAsia="ru-RU"/>
              </w:rPr>
            </w:pPr>
          </w:p>
        </w:tc>
        <w:tc>
          <w:tcPr>
            <w:tcW w:w="3344" w:type="pct"/>
          </w:tcPr>
          <w:p w14:paraId="4A1723FA" w14:textId="389D2D74"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b/>
                <w:sz w:val="24"/>
                <w:szCs w:val="24"/>
                <w:lang w:val="uk-UA" w:eastAsia="ru-RU"/>
              </w:rPr>
              <w:t>Пропозиції ПрАТ «</w:t>
            </w:r>
            <w:proofErr w:type="spellStart"/>
            <w:r w:rsidRPr="00F77BF2">
              <w:rPr>
                <w:rFonts w:ascii="Times New Roman" w:eastAsia="Times New Roman" w:hAnsi="Times New Roman" w:cs="Times New Roman"/>
                <w:b/>
                <w:sz w:val="24"/>
                <w:szCs w:val="24"/>
                <w:lang w:val="uk-UA" w:eastAsia="ru-RU"/>
              </w:rPr>
              <w:t>Укргідроенерго</w:t>
            </w:r>
            <w:proofErr w:type="spellEnd"/>
            <w:r w:rsidRPr="00F77BF2">
              <w:rPr>
                <w:rFonts w:ascii="Times New Roman" w:eastAsia="Times New Roman" w:hAnsi="Times New Roman" w:cs="Times New Roman"/>
                <w:b/>
                <w:sz w:val="24"/>
                <w:szCs w:val="24"/>
                <w:lang w:val="uk-UA" w:eastAsia="ru-RU"/>
              </w:rPr>
              <w:t>»:</w:t>
            </w:r>
          </w:p>
          <w:p w14:paraId="532EE5FA" w14:textId="70108684" w:rsidR="00F77BF2" w:rsidRPr="00F77BF2" w:rsidRDefault="00F77BF2" w:rsidP="00F77BF2">
            <w:pPr>
              <w:ind w:firstLine="326"/>
              <w:jc w:val="both"/>
              <w:rPr>
                <w:rFonts w:ascii="Times New Roman" w:eastAsia="Times New Roman" w:hAnsi="Times New Roman" w:cs="Times New Roman"/>
                <w:strike/>
                <w:sz w:val="24"/>
                <w:szCs w:val="24"/>
                <w:lang w:val="uk-UA" w:eastAsia="ru-RU"/>
              </w:rPr>
            </w:pPr>
            <w:r w:rsidRPr="00F77BF2">
              <w:rPr>
                <w:rFonts w:ascii="Times New Roman" w:eastAsia="Times New Roman" w:hAnsi="Times New Roman" w:cs="Times New Roman"/>
                <w:strike/>
                <w:sz w:val="24"/>
                <w:szCs w:val="24"/>
                <w:lang w:val="uk-UA" w:eastAsia="ru-RU"/>
              </w:rPr>
              <w:t>1.8. У період дії в Україні воєнного стану та до завершення календарного року, у якому прийнято рішення про припинення або скасування воєнного стану, ціни на допоміжні послуги визначаються на рівні цін на допоміжні послуги, сформованих на плановий період у календарному році, який передував року, у якому було прийнято рішення про введення воєнного стану в Україні.</w:t>
            </w:r>
          </w:p>
          <w:p w14:paraId="41B0D9B8" w14:textId="77777777" w:rsidR="00F77BF2" w:rsidRPr="00F77BF2" w:rsidRDefault="00F77BF2" w:rsidP="00F77BF2">
            <w:pPr>
              <w:ind w:firstLine="326"/>
              <w:jc w:val="both"/>
              <w:rPr>
                <w:rFonts w:ascii="Times New Roman" w:eastAsia="Times New Roman" w:hAnsi="Times New Roman" w:cs="Times New Roman"/>
                <w:sz w:val="24"/>
                <w:szCs w:val="24"/>
                <w:lang w:val="uk-UA" w:eastAsia="ru-RU"/>
              </w:rPr>
            </w:pPr>
          </w:p>
          <w:p w14:paraId="696743FD" w14:textId="77777777" w:rsidR="00F77BF2" w:rsidRPr="00F77BF2" w:rsidRDefault="00F77BF2" w:rsidP="00F77BF2">
            <w:pPr>
              <w:autoSpaceDE w:val="0"/>
              <w:autoSpaceDN w:val="0"/>
              <w:adjustRightInd w:val="0"/>
              <w:ind w:firstLine="326"/>
              <w:jc w:val="both"/>
              <w:rPr>
                <w:rFonts w:ascii="Times New Roman" w:hAnsi="Times New Roman"/>
                <w:i/>
                <w:sz w:val="24"/>
                <w:szCs w:val="24"/>
                <w:lang w:val="uk-UA"/>
              </w:rPr>
            </w:pPr>
            <w:r w:rsidRPr="00F77BF2">
              <w:rPr>
                <w:rFonts w:ascii="Times New Roman" w:hAnsi="Times New Roman"/>
                <w:i/>
                <w:sz w:val="24"/>
                <w:szCs w:val="24"/>
                <w:lang w:val="uk-UA"/>
              </w:rPr>
              <w:t>ПрАТ «</w:t>
            </w:r>
            <w:proofErr w:type="spellStart"/>
            <w:r w:rsidRPr="00F77BF2">
              <w:rPr>
                <w:rFonts w:ascii="Times New Roman" w:hAnsi="Times New Roman"/>
                <w:i/>
                <w:sz w:val="24"/>
                <w:szCs w:val="24"/>
                <w:lang w:val="uk-UA"/>
              </w:rPr>
              <w:t>Укргідроенерго</w:t>
            </w:r>
            <w:proofErr w:type="spellEnd"/>
            <w:r w:rsidRPr="00F77BF2">
              <w:rPr>
                <w:rFonts w:ascii="Times New Roman" w:hAnsi="Times New Roman"/>
                <w:i/>
                <w:sz w:val="24"/>
                <w:szCs w:val="24"/>
                <w:lang w:val="uk-UA"/>
              </w:rPr>
              <w:t xml:space="preserve">» (далі – Товариство) </w:t>
            </w:r>
            <w:bookmarkStart w:id="1" w:name="_Hlk121737874"/>
            <w:r w:rsidRPr="00F77BF2">
              <w:rPr>
                <w:rFonts w:ascii="Times New Roman" w:hAnsi="Times New Roman"/>
                <w:i/>
                <w:sz w:val="24"/>
                <w:szCs w:val="24"/>
                <w:lang w:val="uk-UA"/>
              </w:rPr>
              <w:t>не підтримує та заперечує проти прийняття запропонованих змін до Методики формування цін на допоміжні послуги з огляду на таке</w:t>
            </w:r>
            <w:bookmarkEnd w:id="1"/>
            <w:r w:rsidRPr="00F77BF2">
              <w:rPr>
                <w:rFonts w:ascii="Times New Roman" w:hAnsi="Times New Roman"/>
                <w:i/>
                <w:sz w:val="24"/>
                <w:szCs w:val="24"/>
                <w:lang w:val="uk-UA"/>
              </w:rPr>
              <w:t>.</w:t>
            </w:r>
          </w:p>
          <w:p w14:paraId="39A83A25"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Розрахунок цін на допоміжні послуги відбувається відповідно до діючої Методики формування цін на допоміжні послуги, затвердженої постановою НКРЕКП від 26.04.2022 № 635 (далі – Методика).</w:t>
            </w:r>
          </w:p>
          <w:p w14:paraId="05CB733D"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 xml:space="preserve">Відповідно до положень Методики оператор системи передачі (далі – ОСП) розрахував та опублікував на своєму офіційному </w:t>
            </w:r>
            <w:proofErr w:type="spellStart"/>
            <w:r w:rsidRPr="00F77BF2">
              <w:rPr>
                <w:rFonts w:ascii="Times New Roman" w:hAnsi="Times New Roman"/>
                <w:i/>
                <w:sz w:val="24"/>
                <w:szCs w:val="24"/>
                <w:lang w:val="uk-UA"/>
              </w:rPr>
              <w:t>вебсайті</w:t>
            </w:r>
            <w:proofErr w:type="spellEnd"/>
            <w:r w:rsidRPr="00F77BF2">
              <w:rPr>
                <w:rFonts w:ascii="Times New Roman" w:hAnsi="Times New Roman"/>
                <w:i/>
                <w:sz w:val="24"/>
                <w:szCs w:val="24"/>
                <w:lang w:val="uk-UA"/>
              </w:rPr>
              <w:t xml:space="preserve"> граничні ціни на допоміжні послуги на 2023 рік. На підставі затверджених граничних цін на допоміжні послуги на 2023 рік Товариство розрахувало, а Кабінет Міністрів України, розпорядженням від 21.10.2022 № 935-р, затвердив фінансовий план ПрАТ «</w:t>
            </w:r>
            <w:proofErr w:type="spellStart"/>
            <w:r w:rsidRPr="00F77BF2">
              <w:rPr>
                <w:rFonts w:ascii="Times New Roman" w:hAnsi="Times New Roman"/>
                <w:i/>
                <w:sz w:val="24"/>
                <w:szCs w:val="24"/>
                <w:lang w:val="uk-UA"/>
              </w:rPr>
              <w:t>Укргідроенерго</w:t>
            </w:r>
            <w:proofErr w:type="spellEnd"/>
            <w:r w:rsidRPr="00F77BF2">
              <w:rPr>
                <w:rFonts w:ascii="Times New Roman" w:hAnsi="Times New Roman"/>
                <w:i/>
                <w:sz w:val="24"/>
                <w:szCs w:val="24"/>
                <w:lang w:val="uk-UA"/>
              </w:rPr>
              <w:t>» на 2023 рік.</w:t>
            </w:r>
          </w:p>
          <w:p w14:paraId="69109DCF"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Однією із частин наповнення річного бюджету Товариства є надходження від надання допоміжних послуг у 2023 році.</w:t>
            </w:r>
          </w:p>
          <w:p w14:paraId="3D83064F"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lastRenderedPageBreak/>
              <w:t>У випадку прийняття зміни до Методики формування цін на допоміжні послуги, граничні ціни на допоміжні послуги залишаться на рівні діючих у 2022 році, що призведе до значної втрати доходів Товариства, а саме, – 1,0 млрд. грн. (без ПДВ).</w:t>
            </w:r>
          </w:p>
          <w:p w14:paraId="6695E50E"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Таке зменшення розміру доходів Товариства відносно затвердженого фінансовим планом ПрАТ «</w:t>
            </w:r>
            <w:proofErr w:type="spellStart"/>
            <w:r w:rsidRPr="00F77BF2">
              <w:rPr>
                <w:rFonts w:ascii="Times New Roman" w:hAnsi="Times New Roman"/>
                <w:i/>
                <w:sz w:val="24"/>
                <w:szCs w:val="24"/>
                <w:lang w:val="uk-UA"/>
              </w:rPr>
              <w:t>Укргідроенерго</w:t>
            </w:r>
            <w:proofErr w:type="spellEnd"/>
            <w:r w:rsidRPr="00F77BF2">
              <w:rPr>
                <w:rFonts w:ascii="Times New Roman" w:hAnsi="Times New Roman"/>
                <w:i/>
                <w:sz w:val="24"/>
                <w:szCs w:val="24"/>
                <w:lang w:val="uk-UA"/>
              </w:rPr>
              <w:t>» на 2023 рік призведе до погіршення фінансово-економічних показників діяльності Товариства, що унеможливить його затвердження Кабінетом Міністрів України через недотримання вимог наказу Мінекономіки від 02.03.2015 № 205 щодо забезпечення збільшення показників чистого прибутку, рентабельності діяльності підприємства та сплати податків і зборів до державного бюджету.</w:t>
            </w:r>
          </w:p>
          <w:p w14:paraId="1F813A8E"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Крім того, Товариство має забезпечити виконання заходів, передбачених Інвестиційною програмою ПрАТ «</w:t>
            </w:r>
            <w:proofErr w:type="spellStart"/>
            <w:r w:rsidRPr="00F77BF2">
              <w:rPr>
                <w:rFonts w:ascii="Times New Roman" w:hAnsi="Times New Roman"/>
                <w:i/>
                <w:sz w:val="24"/>
                <w:szCs w:val="24"/>
                <w:lang w:val="uk-UA"/>
              </w:rPr>
              <w:t>Укргідроенерго</w:t>
            </w:r>
            <w:proofErr w:type="spellEnd"/>
            <w:r w:rsidRPr="00F77BF2">
              <w:rPr>
                <w:rFonts w:ascii="Times New Roman" w:hAnsi="Times New Roman"/>
                <w:i/>
                <w:sz w:val="24"/>
                <w:szCs w:val="24"/>
                <w:lang w:val="uk-UA"/>
              </w:rPr>
              <w:t>» на 2023 рік. Зауважуємо, що ПрАТ «</w:t>
            </w:r>
            <w:proofErr w:type="spellStart"/>
            <w:r w:rsidRPr="00F77BF2">
              <w:rPr>
                <w:rFonts w:ascii="Times New Roman" w:hAnsi="Times New Roman"/>
                <w:i/>
                <w:sz w:val="24"/>
                <w:szCs w:val="24"/>
                <w:lang w:val="uk-UA"/>
              </w:rPr>
              <w:t>Укргідроенерго</w:t>
            </w:r>
            <w:proofErr w:type="spellEnd"/>
            <w:r w:rsidRPr="00F77BF2">
              <w:rPr>
                <w:rFonts w:ascii="Times New Roman" w:hAnsi="Times New Roman"/>
                <w:i/>
                <w:sz w:val="24"/>
                <w:szCs w:val="24"/>
                <w:lang w:val="uk-UA"/>
              </w:rPr>
              <w:t xml:space="preserve">» має укладені кредитні угоди з міжнародними фінансовими організаціями МБРР, ЄБРР та ЄІБ щодо реалізації інвестиційних </w:t>
            </w:r>
            <w:proofErr w:type="spellStart"/>
            <w:r w:rsidRPr="00F77BF2">
              <w:rPr>
                <w:rFonts w:ascii="Times New Roman" w:hAnsi="Times New Roman"/>
                <w:i/>
                <w:sz w:val="24"/>
                <w:szCs w:val="24"/>
                <w:lang w:val="uk-UA"/>
              </w:rPr>
              <w:t>проєктів</w:t>
            </w:r>
            <w:proofErr w:type="spellEnd"/>
            <w:r w:rsidRPr="00F77BF2">
              <w:rPr>
                <w:rFonts w:ascii="Times New Roman" w:hAnsi="Times New Roman"/>
                <w:i/>
                <w:sz w:val="24"/>
                <w:szCs w:val="24"/>
                <w:lang w:val="uk-UA"/>
              </w:rPr>
              <w:t xml:space="preserve"> Товариства, виконання яких гарантується державою.</w:t>
            </w:r>
          </w:p>
          <w:p w14:paraId="3BB025B7"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У разі погіршення ліквідності виникне ризик припинення фінансування Товариства міжнародними фінансовими організаціями, постане вимога погашення усіх залучених Товариством кредитних коштів та, у разі невиконання Товариством вимог кредиторів, звернення до держави щодо необхідності виконання державою гарантійних зобов’язань за кредитними зобов’язаннями Товариства з погашенням кредитів.</w:t>
            </w:r>
          </w:p>
          <w:p w14:paraId="6FA3A5EF"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Внаслідок чого будуть зменшені видатки на технічне обслуговування гідроагрегатів задіяних у наданні допоміжних послуг, що спричинить ще більший дефіцит потужності в енергосистемі.</w:t>
            </w:r>
          </w:p>
          <w:p w14:paraId="7421B476" w14:textId="77777777" w:rsidR="00F77BF2" w:rsidRPr="00F77BF2" w:rsidRDefault="00F77BF2" w:rsidP="00F77BF2">
            <w:pPr>
              <w:ind w:firstLine="326"/>
              <w:jc w:val="both"/>
              <w:rPr>
                <w:rFonts w:ascii="Times New Roman" w:hAnsi="Times New Roman"/>
                <w:i/>
                <w:sz w:val="24"/>
                <w:szCs w:val="24"/>
                <w:lang w:val="uk-UA"/>
              </w:rPr>
            </w:pPr>
            <w:r w:rsidRPr="00F77BF2">
              <w:rPr>
                <w:rFonts w:ascii="Times New Roman" w:hAnsi="Times New Roman"/>
                <w:i/>
                <w:sz w:val="24"/>
                <w:szCs w:val="24"/>
                <w:lang w:val="uk-UA"/>
              </w:rPr>
              <w:t>Слід зазначити, що основною вимогою європейської мережі операторів системи передачі електроенергії (ENTSO-E) є підтримання параметрів надійності та якості електричної енергії в ОЕС України та забезпечення, у повному обсязі, національного оператора системи передачі резервами регулювання частоти та активної потужності в автоматичному режимі.</w:t>
            </w:r>
          </w:p>
          <w:p w14:paraId="4C150FC6" w14:textId="77777777" w:rsidR="00F77BF2" w:rsidRPr="00F77BF2" w:rsidRDefault="00F77BF2" w:rsidP="00F77BF2">
            <w:pPr>
              <w:autoSpaceDE w:val="0"/>
              <w:autoSpaceDN w:val="0"/>
              <w:adjustRightInd w:val="0"/>
              <w:ind w:firstLine="326"/>
              <w:jc w:val="both"/>
              <w:rPr>
                <w:rFonts w:ascii="Times New Roman" w:hAnsi="Times New Roman"/>
                <w:i/>
                <w:sz w:val="24"/>
                <w:szCs w:val="24"/>
                <w:lang w:val="uk-UA"/>
              </w:rPr>
            </w:pPr>
            <w:r w:rsidRPr="00F77BF2">
              <w:rPr>
                <w:rFonts w:ascii="Times New Roman" w:hAnsi="Times New Roman"/>
                <w:i/>
                <w:sz w:val="24"/>
                <w:szCs w:val="24"/>
                <w:lang w:val="uk-UA"/>
              </w:rPr>
              <w:t>Так, 15.11.2022 був завданий, російською федерацією, масований ракетний удар по енергетичній інфраструктурі України, внаслідок чого з 22 години 15.11.2022 до 1 години 16.11.2022 черговий диспетчер НЕК «Укренерго» підключав не задіяні для надання ДП гідрогенератори Товариства до центрального регулятора системи автоматичного регулювання частоти та потужності (далі – ЦР САРЧП), для збільшення необхідного обсягу автоматичних резервів потужності та зазначив, що енергосистема України надійно регулюється завдяки підключенню до ЦР САРЧП додаткових гідрогенераторів Товариства.</w:t>
            </w:r>
          </w:p>
          <w:p w14:paraId="5F0AF0F9" w14:textId="77777777" w:rsidR="00F77BF2" w:rsidRPr="00F77BF2" w:rsidRDefault="00F77BF2" w:rsidP="00F77BF2">
            <w:pPr>
              <w:autoSpaceDE w:val="0"/>
              <w:autoSpaceDN w:val="0"/>
              <w:adjustRightInd w:val="0"/>
              <w:ind w:firstLine="326"/>
              <w:jc w:val="both"/>
              <w:rPr>
                <w:rFonts w:ascii="Times New Roman" w:hAnsi="Times New Roman"/>
                <w:i/>
                <w:sz w:val="24"/>
                <w:szCs w:val="24"/>
                <w:lang w:val="uk-UA"/>
              </w:rPr>
            </w:pPr>
            <w:r w:rsidRPr="00F77BF2">
              <w:rPr>
                <w:rFonts w:ascii="Times New Roman" w:hAnsi="Times New Roman"/>
                <w:i/>
                <w:sz w:val="24"/>
                <w:szCs w:val="24"/>
                <w:lang w:val="uk-UA"/>
              </w:rPr>
              <w:t>Тобто, ПрАТ «</w:t>
            </w:r>
            <w:proofErr w:type="spellStart"/>
            <w:r w:rsidRPr="00F77BF2">
              <w:rPr>
                <w:rFonts w:ascii="Times New Roman" w:hAnsi="Times New Roman"/>
                <w:i/>
                <w:sz w:val="24"/>
                <w:szCs w:val="24"/>
                <w:lang w:val="uk-UA"/>
              </w:rPr>
              <w:t>Укргідроенерго</w:t>
            </w:r>
            <w:proofErr w:type="spellEnd"/>
            <w:r w:rsidRPr="00F77BF2">
              <w:rPr>
                <w:rFonts w:ascii="Times New Roman" w:hAnsi="Times New Roman"/>
                <w:i/>
                <w:sz w:val="24"/>
                <w:szCs w:val="24"/>
                <w:lang w:val="uk-UA"/>
              </w:rPr>
              <w:t>» є надавачем резервів потужності останньої надії. У разі погіршення технічного стану гідроагрегатів Товариства, внаслідок чого будуть зменшені резерви потужності, це може призвести до катастрофічних наслідків для енергосистеми України, що в свою чергу збільшить фінансове навантаження на всіх споживачів та виробників електричної енергії та неодмінно до підвищення собівартості продукції та знизить її конкурентоспроможність.</w:t>
            </w:r>
          </w:p>
          <w:p w14:paraId="4EADF310" w14:textId="367B4BEC"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hAnsi="Times New Roman"/>
                <w:i/>
                <w:sz w:val="24"/>
                <w:szCs w:val="24"/>
                <w:lang w:val="uk-UA"/>
              </w:rPr>
              <w:lastRenderedPageBreak/>
              <w:t>Разом з тим, встановлення не ринкових цін на сегменті ринку допоміжних послуг може призвести до перерозподілу частини обсягів на інші сегменти ринку електричної енергії, що значно зменшить обсяги пропозицій резервів потужності, які так необхідні ОСП.</w:t>
            </w:r>
          </w:p>
        </w:tc>
        <w:tc>
          <w:tcPr>
            <w:tcW w:w="823" w:type="pct"/>
          </w:tcPr>
          <w:p w14:paraId="45A0680E" w14:textId="77777777" w:rsidR="00F77BF2" w:rsidRDefault="00F77BF2" w:rsidP="00F77BF2">
            <w:pPr>
              <w:jc w:val="both"/>
              <w:rPr>
                <w:rFonts w:ascii="Times New Roman" w:eastAsia="Times New Roman" w:hAnsi="Times New Roman" w:cs="Times New Roman"/>
                <w:b/>
                <w:sz w:val="24"/>
                <w:szCs w:val="24"/>
                <w:lang w:val="uk-UA" w:eastAsia="ru-RU"/>
              </w:rPr>
            </w:pPr>
          </w:p>
          <w:p w14:paraId="05AEDE88" w14:textId="40598718" w:rsidR="00F77BF2" w:rsidRPr="00F77BF2" w:rsidRDefault="00F77BF2" w:rsidP="00F77BF2">
            <w:pPr>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Потребує обговорення</w:t>
            </w:r>
          </w:p>
        </w:tc>
      </w:tr>
      <w:tr w:rsidR="00F77BF2" w:rsidRPr="00F77BF2" w14:paraId="4EBF3101" w14:textId="209BB75D" w:rsidTr="00E02230">
        <w:trPr>
          <w:trHeight w:val="2622"/>
        </w:trPr>
        <w:tc>
          <w:tcPr>
            <w:tcW w:w="832" w:type="pct"/>
            <w:vMerge/>
          </w:tcPr>
          <w:p w14:paraId="60C8F25C" w14:textId="77777777" w:rsidR="00F77BF2" w:rsidRPr="00F77BF2" w:rsidRDefault="00F77BF2" w:rsidP="00AB06C6">
            <w:pPr>
              <w:ind w:firstLine="567"/>
              <w:jc w:val="both"/>
              <w:rPr>
                <w:rFonts w:ascii="Times New Roman" w:eastAsia="Times New Roman" w:hAnsi="Times New Roman" w:cs="Times New Roman"/>
                <w:sz w:val="24"/>
                <w:szCs w:val="24"/>
                <w:lang w:val="uk-UA" w:eastAsia="ru-RU"/>
              </w:rPr>
            </w:pPr>
          </w:p>
        </w:tc>
        <w:tc>
          <w:tcPr>
            <w:tcW w:w="3344" w:type="pct"/>
          </w:tcPr>
          <w:p w14:paraId="6DADCB9E" w14:textId="49B768D9"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b/>
                <w:sz w:val="24"/>
                <w:szCs w:val="24"/>
                <w:lang w:val="uk-UA" w:eastAsia="ru-RU"/>
              </w:rPr>
              <w:t>Пропозиції АТ «ДТЕК Дніпроенерго»:</w:t>
            </w:r>
          </w:p>
          <w:p w14:paraId="2B3F05B9" w14:textId="0134EC39"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sz w:val="24"/>
                <w:szCs w:val="24"/>
                <w:lang w:val="uk-UA" w:eastAsia="ru-RU"/>
              </w:rPr>
              <w:t>Вилучити пункт 1.8.</w:t>
            </w:r>
          </w:p>
          <w:p w14:paraId="66570ABD"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p>
          <w:p w14:paraId="5472BE08" w14:textId="4A88E7E4"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Товариство не підтримує запропоновані зміни до Методики зважаючи на наступне.</w:t>
            </w:r>
          </w:p>
          <w:p w14:paraId="2F623913" w14:textId="394B7645"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 перше, допоміжні послуги з забезпечення резервами відновлення та підтримання частоти, які надаються учасниками ринку допоміжних послуг є критично необхідними для забезпечення ОСП стабільної роботи енергосистеми, особливо у поточних умовах масованих військових атак на енергетичну інфраструктуру. Встановлення неконкурентних цін на цьому сегменті може призвести до </w:t>
            </w:r>
            <w:proofErr w:type="spellStart"/>
            <w:r w:rsidRPr="00F77BF2">
              <w:rPr>
                <w:rFonts w:ascii="Times New Roman" w:eastAsia="Times New Roman" w:hAnsi="Times New Roman" w:cs="Times New Roman"/>
                <w:i/>
                <w:sz w:val="24"/>
                <w:szCs w:val="24"/>
                <w:lang w:val="uk-UA" w:eastAsia="ru-RU"/>
              </w:rPr>
              <w:t>перетоку</w:t>
            </w:r>
            <w:proofErr w:type="spellEnd"/>
            <w:r w:rsidRPr="00F77BF2">
              <w:rPr>
                <w:rFonts w:ascii="Times New Roman" w:eastAsia="Times New Roman" w:hAnsi="Times New Roman" w:cs="Times New Roman"/>
                <w:i/>
                <w:sz w:val="24"/>
                <w:szCs w:val="24"/>
                <w:lang w:val="uk-UA" w:eastAsia="ru-RU"/>
              </w:rPr>
              <w:t xml:space="preserve"> частини обсягів на інші ринки та неможливості закупки ОСП достатніх обсягів резервів. </w:t>
            </w:r>
          </w:p>
          <w:p w14:paraId="0F45DA10" w14:textId="424C7196"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Більше того, ринок допоміжних послуг уже є дефіцитним. Зокрема, відповідно до листа НЕК «Укренерго» листом № 01/33149 від 08.08.2022 необхідні обсяги допоміжних послуг з регулювання частоти та потужності у 2023 році складають 3 241 МВт потужності (2160 МВт на завантаження, 1081 МВт на розвантаження), тоді як по факту 9 місяців 2022 року фактично доступно та було закуплено ОСП на ринку у середньому 1103 МВт (804 МВт на завантаження, 299 МВт на розвантаження) (таблиця 1). Тобто, через відсутність пропозиції НЕК «Укренерго» зміг закупити лише 75% потреби енергосистеми в резервах підтримки частоти (РПЧ), 62% потреби в резервах відновлення частоти (РВЧ) та 0% резерву заміщення (РЗ). </w:t>
            </w:r>
          </w:p>
          <w:p w14:paraId="63A0439B" w14:textId="783E353A"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Дефіцит на ринку в 2022 році був поглиблений через тимчасову втрату контролю над Запорізькою АЕС, Луганською та Запорізькою ТЕС, що надавали значний обсяг автоматичних резервів на ринку допоміжних послуг. Неконкурентні у порівнянні з іншими енергетичними ринками ціни, зокрема в сегменті РВЧ призвели до зростання дефіциту потужності з 30-35% в березні 2022 року до 52% в вересні 2022 року. Збереження поточних неринкових цін на допоміжні послуги призведе до поглиблення тенденції дефіциту.</w:t>
            </w:r>
          </w:p>
          <w:p w14:paraId="7DD7DF83" w14:textId="5596B853"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По-друге, фіксація цін на невизначений термін ставить під загрозу проекти розширення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на ринку допоміжних послуг, необхідність реалізації яких підтверджує ОСП. Зокрема, НЕК «Укренерго» листом № 01/27948 від 07.07.2022 просить Товариство «…розглянути можливість при формуванні кошторису на 2023 рік передбачити видатки для виконання необхідних заходів з модернізації Ладижинської ТЕС, Криворізької ТЕС та Придніпровської ТЕС, що спрямовані на забезпечення технічної спроможності до надання допоміжних послуг з РПЧ та </w:t>
            </w:r>
            <w:proofErr w:type="spellStart"/>
            <w:r w:rsidRPr="00F77BF2">
              <w:rPr>
                <w:rFonts w:ascii="Times New Roman" w:eastAsia="Times New Roman" w:hAnsi="Times New Roman" w:cs="Times New Roman"/>
                <w:i/>
                <w:sz w:val="24"/>
                <w:szCs w:val="24"/>
                <w:lang w:val="uk-UA" w:eastAsia="ru-RU"/>
              </w:rPr>
              <w:t>аРВЧ</w:t>
            </w:r>
            <w:proofErr w:type="spellEnd"/>
            <w:r w:rsidRPr="00F77BF2">
              <w:rPr>
                <w:rFonts w:ascii="Times New Roman" w:eastAsia="Times New Roman" w:hAnsi="Times New Roman" w:cs="Times New Roman"/>
                <w:i/>
                <w:sz w:val="24"/>
                <w:szCs w:val="24"/>
                <w:lang w:val="uk-UA" w:eastAsia="ru-RU"/>
              </w:rPr>
              <w:t xml:space="preserve">». В свою чергу, Товариство зазначає, що інвестиційними програмами розвитку генеруючих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ДТЕК на 2023 рік передбачено значний обсяг </w:t>
            </w:r>
            <w:r w:rsidRPr="00F77BF2">
              <w:rPr>
                <w:rFonts w:ascii="Times New Roman" w:eastAsia="Times New Roman" w:hAnsi="Times New Roman" w:cs="Times New Roman"/>
                <w:i/>
                <w:sz w:val="24"/>
                <w:szCs w:val="24"/>
                <w:lang w:val="uk-UA" w:eastAsia="ru-RU"/>
              </w:rPr>
              <w:lastRenderedPageBreak/>
              <w:t>робіт на модернізацію обладнання Придніпровської та Криворізької ТЕС. Проте, фінансування цих робіт можливе лише за умов встановлення ринкових цін та дотримання прогнозованої методології ціноутворення на ринку допоміжних послуг. Зазначаємо, що умови фіксації цін на допоміжні послуги Товариство недоотримає протягом 2023 року інвестицій у розширення резервів у розмірі 156 млн грн.</w:t>
            </w:r>
          </w:p>
          <w:p w14:paraId="617A49B2" w14:textId="102C01CC"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По-третє, відсутність у ОСП інструментів для балансування системи у вигляді достатніх резервів підтримки та відновлення частоти призведе до невиконання НЕК «Укренерго» критеріїв якості регулювання енергосистеми відповідно до </w:t>
            </w:r>
            <w:proofErr w:type="spellStart"/>
            <w:r w:rsidRPr="00F77BF2">
              <w:rPr>
                <w:rFonts w:ascii="Times New Roman" w:eastAsia="Times New Roman" w:hAnsi="Times New Roman" w:cs="Times New Roman"/>
                <w:i/>
                <w:sz w:val="24"/>
                <w:szCs w:val="24"/>
                <w:lang w:val="uk-UA" w:eastAsia="ru-RU"/>
              </w:rPr>
              <w:t>System</w:t>
            </w:r>
            <w:proofErr w:type="spellEnd"/>
            <w:r w:rsidRPr="00F77BF2">
              <w:rPr>
                <w:rFonts w:ascii="Times New Roman" w:eastAsia="Times New Roman" w:hAnsi="Times New Roman" w:cs="Times New Roman"/>
                <w:i/>
                <w:sz w:val="24"/>
                <w:szCs w:val="24"/>
                <w:lang w:val="uk-UA" w:eastAsia="ru-RU"/>
              </w:rPr>
              <w:t xml:space="preserve"> </w:t>
            </w:r>
            <w:proofErr w:type="spellStart"/>
            <w:r w:rsidRPr="00F77BF2">
              <w:rPr>
                <w:rFonts w:ascii="Times New Roman" w:eastAsia="Times New Roman" w:hAnsi="Times New Roman" w:cs="Times New Roman"/>
                <w:i/>
                <w:sz w:val="24"/>
                <w:szCs w:val="24"/>
                <w:lang w:val="uk-UA" w:eastAsia="ru-RU"/>
              </w:rPr>
              <w:t>Operation</w:t>
            </w:r>
            <w:proofErr w:type="spellEnd"/>
            <w:r w:rsidRPr="00F77BF2">
              <w:rPr>
                <w:rFonts w:ascii="Times New Roman" w:eastAsia="Times New Roman" w:hAnsi="Times New Roman" w:cs="Times New Roman"/>
                <w:i/>
                <w:sz w:val="24"/>
                <w:szCs w:val="24"/>
                <w:lang w:val="uk-UA" w:eastAsia="ru-RU"/>
              </w:rPr>
              <w:t xml:space="preserve"> </w:t>
            </w:r>
            <w:proofErr w:type="spellStart"/>
            <w:r w:rsidRPr="00F77BF2">
              <w:rPr>
                <w:rFonts w:ascii="Times New Roman" w:eastAsia="Times New Roman" w:hAnsi="Times New Roman" w:cs="Times New Roman"/>
                <w:i/>
                <w:sz w:val="24"/>
                <w:szCs w:val="24"/>
                <w:lang w:val="uk-UA" w:eastAsia="ru-RU"/>
              </w:rPr>
              <w:t>Guideline</w:t>
            </w:r>
            <w:proofErr w:type="spellEnd"/>
            <w:r w:rsidRPr="00F77BF2">
              <w:rPr>
                <w:rFonts w:ascii="Times New Roman" w:eastAsia="Times New Roman" w:hAnsi="Times New Roman" w:cs="Times New Roman"/>
                <w:i/>
                <w:sz w:val="24"/>
                <w:szCs w:val="24"/>
                <w:lang w:val="uk-UA" w:eastAsia="ru-RU"/>
              </w:rPr>
              <w:t xml:space="preserve"> (SOGL) ENTSO-e, що в свою чергу, може призвести до обмежень імпорту чи експорту електричної енергії.   </w:t>
            </w:r>
          </w:p>
          <w:p w14:paraId="0C9B1E22"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Зважаючи на вищезазначене, вважаємо, що впровадження політики стримування витрат ОСП на придбання допоміжних послуг у 2023 році призведе до: </w:t>
            </w:r>
          </w:p>
          <w:p w14:paraId="61262A27"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відсутності у ОСП інструментів для балансування системи у вигляді резервів підтримки та відновлення частоти, що в свою чергу знизить надійність енергосистеми в умовах військової агресії російської федерації та необхідності забезпечення стабільної роботи енергосистеми в режимах імпорту/експорту електричної енергії; </w:t>
            </w:r>
          </w:p>
          <w:p w14:paraId="0BC0CDCE" w14:textId="35DFAE15"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зниження конкуренції на ринку допоміжних послуг та перетікання обсягу генеруючих резервів у більш маржинальні та менш ризикові сегменти гарантованого продажу електричної енергії; </w:t>
            </w:r>
          </w:p>
          <w:p w14:paraId="18068F96" w14:textId="32F17EDE"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відсутності дієвого інструменту інвестування в модернізацію резервних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необхідних для стабільної роботи енергосистеми. </w:t>
            </w:r>
          </w:p>
        </w:tc>
        <w:tc>
          <w:tcPr>
            <w:tcW w:w="823" w:type="pct"/>
          </w:tcPr>
          <w:p w14:paraId="5549FE88" w14:textId="77777777" w:rsidR="00F77BF2" w:rsidRDefault="00F77BF2" w:rsidP="00F77BF2">
            <w:pPr>
              <w:jc w:val="both"/>
              <w:rPr>
                <w:rFonts w:ascii="Times New Roman" w:eastAsia="Times New Roman" w:hAnsi="Times New Roman" w:cs="Times New Roman"/>
                <w:b/>
                <w:sz w:val="24"/>
                <w:szCs w:val="24"/>
                <w:lang w:val="uk-UA" w:eastAsia="ru-RU"/>
              </w:rPr>
            </w:pPr>
          </w:p>
          <w:p w14:paraId="10D627DB" w14:textId="35C4ADBD" w:rsidR="00F77BF2" w:rsidRPr="00F77BF2" w:rsidRDefault="00F77BF2" w:rsidP="00F77BF2">
            <w:pPr>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Потребує обговорення</w:t>
            </w:r>
          </w:p>
        </w:tc>
      </w:tr>
      <w:tr w:rsidR="00F77BF2" w:rsidRPr="00F77BF2" w14:paraId="5570969E" w14:textId="02C3B176" w:rsidTr="00E02230">
        <w:trPr>
          <w:trHeight w:val="325"/>
        </w:trPr>
        <w:tc>
          <w:tcPr>
            <w:tcW w:w="832" w:type="pct"/>
            <w:vMerge/>
          </w:tcPr>
          <w:p w14:paraId="7C24F929" w14:textId="77777777" w:rsidR="00F77BF2" w:rsidRPr="00F77BF2" w:rsidRDefault="00F77BF2" w:rsidP="00AB06C6">
            <w:pPr>
              <w:ind w:firstLine="567"/>
              <w:jc w:val="both"/>
              <w:rPr>
                <w:rFonts w:ascii="Times New Roman" w:eastAsia="Times New Roman" w:hAnsi="Times New Roman" w:cs="Times New Roman"/>
                <w:sz w:val="24"/>
                <w:szCs w:val="24"/>
                <w:lang w:val="uk-UA" w:eastAsia="ru-RU"/>
              </w:rPr>
            </w:pPr>
          </w:p>
        </w:tc>
        <w:tc>
          <w:tcPr>
            <w:tcW w:w="3344" w:type="pct"/>
          </w:tcPr>
          <w:p w14:paraId="1A84E790" w14:textId="6718213F"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b/>
                <w:sz w:val="24"/>
                <w:szCs w:val="24"/>
                <w:lang w:val="uk-UA" w:eastAsia="ru-RU"/>
              </w:rPr>
              <w:t>Пропозиції АТ «ДТЕК </w:t>
            </w:r>
            <w:proofErr w:type="spellStart"/>
            <w:r w:rsidRPr="00F77BF2">
              <w:rPr>
                <w:rFonts w:ascii="Times New Roman" w:eastAsia="Times New Roman" w:hAnsi="Times New Roman" w:cs="Times New Roman"/>
                <w:b/>
                <w:sz w:val="24"/>
                <w:szCs w:val="24"/>
                <w:lang w:val="uk-UA" w:eastAsia="ru-RU"/>
              </w:rPr>
              <w:t>Західенерго</w:t>
            </w:r>
            <w:proofErr w:type="spellEnd"/>
            <w:r w:rsidRPr="00F77BF2">
              <w:rPr>
                <w:rFonts w:ascii="Times New Roman" w:eastAsia="Times New Roman" w:hAnsi="Times New Roman" w:cs="Times New Roman"/>
                <w:b/>
                <w:sz w:val="24"/>
                <w:szCs w:val="24"/>
                <w:lang w:val="uk-UA" w:eastAsia="ru-RU"/>
              </w:rPr>
              <w:t>»:</w:t>
            </w:r>
          </w:p>
          <w:p w14:paraId="77B436C2" w14:textId="77777777"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sz w:val="24"/>
                <w:szCs w:val="24"/>
                <w:lang w:val="uk-UA" w:eastAsia="ru-RU"/>
              </w:rPr>
              <w:t>Вилучити пункт 1.8.</w:t>
            </w:r>
          </w:p>
          <w:p w14:paraId="4A172AAE" w14:textId="77777777" w:rsidR="00F77BF2" w:rsidRPr="00F77BF2" w:rsidRDefault="00F77BF2" w:rsidP="00F77BF2">
            <w:pPr>
              <w:ind w:firstLine="326"/>
              <w:jc w:val="both"/>
              <w:rPr>
                <w:rFonts w:ascii="Times New Roman" w:eastAsia="Times New Roman" w:hAnsi="Times New Roman" w:cs="Times New Roman"/>
                <w:sz w:val="24"/>
                <w:szCs w:val="24"/>
                <w:lang w:val="uk-UA" w:eastAsia="ru-RU"/>
              </w:rPr>
            </w:pPr>
          </w:p>
          <w:p w14:paraId="5F184DBC"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Товариство не підтримує запропоновані зміни до Методики, та просить не вводити в силу дане рішення зважаючи на наступне.  </w:t>
            </w:r>
          </w:p>
          <w:p w14:paraId="426B0967"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 перше, допоміжні послуги з забезпечення резервами відновлення та підтримання частоти, які надаються учасниками ринку допоміжних послуг є критично необхідними для забезпечення ОСП стабільної роботи енергосистеми, особливо у поточних умовах масованих військових атак на енергетичну інфраструктуру. Встановлення неконкурентних цін на цьому сегменті може призвести до </w:t>
            </w:r>
            <w:proofErr w:type="spellStart"/>
            <w:r w:rsidRPr="00F77BF2">
              <w:rPr>
                <w:rFonts w:ascii="Times New Roman" w:eastAsia="Times New Roman" w:hAnsi="Times New Roman" w:cs="Times New Roman"/>
                <w:i/>
                <w:sz w:val="24"/>
                <w:szCs w:val="24"/>
                <w:lang w:val="uk-UA" w:eastAsia="ru-RU"/>
              </w:rPr>
              <w:t>перетоку</w:t>
            </w:r>
            <w:proofErr w:type="spellEnd"/>
            <w:r w:rsidRPr="00F77BF2">
              <w:rPr>
                <w:rFonts w:ascii="Times New Roman" w:eastAsia="Times New Roman" w:hAnsi="Times New Roman" w:cs="Times New Roman"/>
                <w:i/>
                <w:sz w:val="24"/>
                <w:szCs w:val="24"/>
                <w:lang w:val="uk-UA" w:eastAsia="ru-RU"/>
              </w:rPr>
              <w:t xml:space="preserve"> частини обсягів на інші ринки та неможливості закупки ОСП достатніх обсягів резервів.  </w:t>
            </w:r>
          </w:p>
          <w:p w14:paraId="5CAC8AB8" w14:textId="07FF6161"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Більше того, ринок допоміжних послуг уже є дефіцитним. Зокрема, відповідно до листа НЕК «Укренерго» листом № 01/33149 від 08.08.2022 необхідні обсяги допоміжних послуг з регулювання частоти та потужності у 2023 році складають 3 241 МВт потужності (2160 МВт на завантаження, 1081 МВт на розвантаження), тоді як по факту 9 місяців 2022 року фактично доступно та було закуплено ОСП на ринку у середньому 1103 МВт (804 МВт на завантаження, 299 МВт на розвантаження) (таблиця 1). Тобто, через відсутність пропозиції </w:t>
            </w:r>
            <w:r w:rsidRPr="00F77BF2">
              <w:rPr>
                <w:rFonts w:ascii="Times New Roman" w:eastAsia="Times New Roman" w:hAnsi="Times New Roman" w:cs="Times New Roman"/>
                <w:i/>
                <w:sz w:val="24"/>
                <w:szCs w:val="24"/>
                <w:lang w:val="uk-UA" w:eastAsia="ru-RU"/>
              </w:rPr>
              <w:lastRenderedPageBreak/>
              <w:t>НЕК «Укренерго» зміг закупити лише 75% потреби енергосистеми в резервах підтримки частоти (РПЧ), 62% потреби в резервах відновлення частоти (РВЧ) та 0% резерву заміщення (РЗ).</w:t>
            </w:r>
          </w:p>
          <w:p w14:paraId="2D8F6B84"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Дефіцит на ринку в 2022 році був поглиблений через тимчасову втрату контролю над Запорізькою АЕС, Луганською та Запорізькою ТЕС, що надавали значний обсяг автоматичних резервів на ринку допоміжних послуг. Неконкурентні у порівнянні з іншими енергетичними ринками ціни, зокрема в сегменті РВЧ призвели до зростання дефіциту потужності з 30-35% в березні 2022 року до 52% в вересні 2022 року. Збереження поточних неринкових цін на допоміжні послуги призведе до поглиблення тенденції дефіциту. </w:t>
            </w:r>
          </w:p>
          <w:p w14:paraId="49B9B728" w14:textId="23C058F6"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По-друге, фіксація цін на невизначений термін ставить під загрозу проекти розширення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на ринку допоміжних послуг, необхідність реалізації яких підтверджує ОСП. Зокрема, НЕК «Укренерго» листом № 01/27948 від 07.07.2022 просить Товариство «…розглянути можливість при формуванні кошторису на 2023 рік передбачити видатки для виконання необхідних заходів з модернізації Ладижинської ТЕС, Криворізької ТЕС та Придніпровської ТЕС, що спрямовані на забезпечення технічної спроможності до надання допоміжних послуг з РПЧ та </w:t>
            </w:r>
            <w:proofErr w:type="spellStart"/>
            <w:r w:rsidRPr="00F77BF2">
              <w:rPr>
                <w:rFonts w:ascii="Times New Roman" w:eastAsia="Times New Roman" w:hAnsi="Times New Roman" w:cs="Times New Roman"/>
                <w:i/>
                <w:sz w:val="24"/>
                <w:szCs w:val="24"/>
                <w:lang w:val="uk-UA" w:eastAsia="ru-RU"/>
              </w:rPr>
              <w:t>аРВЧ</w:t>
            </w:r>
            <w:proofErr w:type="spellEnd"/>
            <w:r w:rsidRPr="00F77BF2">
              <w:rPr>
                <w:rFonts w:ascii="Times New Roman" w:eastAsia="Times New Roman" w:hAnsi="Times New Roman" w:cs="Times New Roman"/>
                <w:i/>
                <w:sz w:val="24"/>
                <w:szCs w:val="24"/>
                <w:lang w:val="uk-UA" w:eastAsia="ru-RU"/>
              </w:rPr>
              <w:t xml:space="preserve">». В свою чергу, Товариство зазначає, що інвестиційними програмами розвитку генеруючих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ДТЕК на 2023 рік передбачено значний обсяг робіт на модернізацію обладнання Ладижинської ТЕС, а АТ «ДТЕК Дніпроенерго» декларується впровадження аналогічних робіт на підприємствах Придніпровської та Криворізької ТЕС. Проте, фінансування цих робіт можливе лише за умов встановлення ринкових цін та дотримання прогнозованої методології ціноутворення на ринку допоміжних послуг.   </w:t>
            </w:r>
          </w:p>
          <w:p w14:paraId="74B45E28"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Зазначаємо, що за умови фіксації цін на допоміжні послуги Товариство недоотримає протягом 2023 року інвестицій у розширення резервів у розмірі 1,782 млрд грн. </w:t>
            </w:r>
          </w:p>
          <w:p w14:paraId="468D2290"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По-третє, відсутність у ОСП інструментів для балансування системи у вигляді достатніх резервів підтримки та відновлення частоти призведе до невиконання НЕК «Укренерго» критеріїв якості регулювання енергосистеми відповідно до </w:t>
            </w:r>
            <w:proofErr w:type="spellStart"/>
            <w:r w:rsidRPr="00F77BF2">
              <w:rPr>
                <w:rFonts w:ascii="Times New Roman" w:eastAsia="Times New Roman" w:hAnsi="Times New Roman" w:cs="Times New Roman"/>
                <w:i/>
                <w:sz w:val="24"/>
                <w:szCs w:val="24"/>
                <w:lang w:val="uk-UA" w:eastAsia="ru-RU"/>
              </w:rPr>
              <w:t>System</w:t>
            </w:r>
            <w:proofErr w:type="spellEnd"/>
            <w:r w:rsidRPr="00F77BF2">
              <w:rPr>
                <w:rFonts w:ascii="Times New Roman" w:eastAsia="Times New Roman" w:hAnsi="Times New Roman" w:cs="Times New Roman"/>
                <w:i/>
                <w:sz w:val="24"/>
                <w:szCs w:val="24"/>
                <w:lang w:val="uk-UA" w:eastAsia="ru-RU"/>
              </w:rPr>
              <w:t xml:space="preserve"> </w:t>
            </w:r>
            <w:proofErr w:type="spellStart"/>
            <w:r w:rsidRPr="00F77BF2">
              <w:rPr>
                <w:rFonts w:ascii="Times New Roman" w:eastAsia="Times New Roman" w:hAnsi="Times New Roman" w:cs="Times New Roman"/>
                <w:i/>
                <w:sz w:val="24"/>
                <w:szCs w:val="24"/>
                <w:lang w:val="uk-UA" w:eastAsia="ru-RU"/>
              </w:rPr>
              <w:t>Operation</w:t>
            </w:r>
            <w:proofErr w:type="spellEnd"/>
            <w:r w:rsidRPr="00F77BF2">
              <w:rPr>
                <w:rFonts w:ascii="Times New Roman" w:eastAsia="Times New Roman" w:hAnsi="Times New Roman" w:cs="Times New Roman"/>
                <w:i/>
                <w:sz w:val="24"/>
                <w:szCs w:val="24"/>
                <w:lang w:val="uk-UA" w:eastAsia="ru-RU"/>
              </w:rPr>
              <w:t xml:space="preserve"> </w:t>
            </w:r>
            <w:proofErr w:type="spellStart"/>
            <w:r w:rsidRPr="00F77BF2">
              <w:rPr>
                <w:rFonts w:ascii="Times New Roman" w:eastAsia="Times New Roman" w:hAnsi="Times New Roman" w:cs="Times New Roman"/>
                <w:i/>
                <w:sz w:val="24"/>
                <w:szCs w:val="24"/>
                <w:lang w:val="uk-UA" w:eastAsia="ru-RU"/>
              </w:rPr>
              <w:t>Guideline</w:t>
            </w:r>
            <w:proofErr w:type="spellEnd"/>
            <w:r w:rsidRPr="00F77BF2">
              <w:rPr>
                <w:rFonts w:ascii="Times New Roman" w:eastAsia="Times New Roman" w:hAnsi="Times New Roman" w:cs="Times New Roman"/>
                <w:i/>
                <w:sz w:val="24"/>
                <w:szCs w:val="24"/>
                <w:lang w:val="uk-UA" w:eastAsia="ru-RU"/>
              </w:rPr>
              <w:t xml:space="preserve"> (SOGL) ENTSO-e, що в свою чергу, може призвести до обмежень імпорту чи експорту електричної енергії.   </w:t>
            </w:r>
          </w:p>
          <w:p w14:paraId="2F73B5DF"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Щодо використання фіксації цін на ринку допоміжних послуг на 2023 рік як інструменту зниження прогнозного розміру тарифу на послугу з диспетчерського (операційно-технічного) управління на 2023 рік зазначаємо наступне.  </w:t>
            </w:r>
          </w:p>
          <w:p w14:paraId="0514F166"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Проектом постанови НКРЕКП «Про встановлення тарифу на послуги з диспетчерського (</w:t>
            </w:r>
            <w:proofErr w:type="spellStart"/>
            <w:r w:rsidRPr="00F77BF2">
              <w:rPr>
                <w:rFonts w:ascii="Times New Roman" w:eastAsia="Times New Roman" w:hAnsi="Times New Roman" w:cs="Times New Roman"/>
                <w:i/>
                <w:sz w:val="24"/>
                <w:szCs w:val="24"/>
                <w:lang w:val="uk-UA" w:eastAsia="ru-RU"/>
              </w:rPr>
              <w:t>оперативно</w:t>
            </w:r>
            <w:proofErr w:type="spellEnd"/>
            <w:r w:rsidRPr="00F77BF2">
              <w:rPr>
                <w:rFonts w:ascii="Times New Roman" w:eastAsia="Times New Roman" w:hAnsi="Times New Roman" w:cs="Times New Roman"/>
                <w:i/>
                <w:sz w:val="24"/>
                <w:szCs w:val="24"/>
                <w:lang w:val="uk-UA" w:eastAsia="ru-RU"/>
              </w:rPr>
              <w:t xml:space="preserve">-технологічного) управління НЕК «УКРЕНЕРГО» на 2023 рік» передбачено встановлення тарифу на диспетчеризацію на рівні 283,18 грн/МВт при діючому тарифі 62,13 грн/МВт (зростання +221 грн/МВт). При цьому, відповідно до розрахунків Товариства, вплив зростання тарифів на допоміжні послуги на зростання тарифу на диспетчеризацію складає лише +45 грн/МВт, або +11 млрд грн в рік.   </w:t>
            </w:r>
          </w:p>
          <w:p w14:paraId="0F7D912D"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Фактично, фіксація цін на допоміжні послуги не дозволить вирішити питання зниження </w:t>
            </w:r>
            <w:r w:rsidRPr="00F77BF2">
              <w:rPr>
                <w:rFonts w:ascii="Times New Roman" w:eastAsia="Times New Roman" w:hAnsi="Times New Roman" w:cs="Times New Roman"/>
                <w:i/>
                <w:sz w:val="24"/>
                <w:szCs w:val="24"/>
                <w:lang w:val="uk-UA" w:eastAsia="ru-RU"/>
              </w:rPr>
              <w:lastRenderedPageBreak/>
              <w:t xml:space="preserve">тарифу на диспетчеризацію у 2023 році, але очікувано призведе до зниження активності на ринку допоміжних послуг в результаті зниження рентабельності цього сегменту.  </w:t>
            </w:r>
          </w:p>
          <w:p w14:paraId="5F372AE3"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Більш дієвим шляхом зниження тарифу на диспетчеризацію Товариство вважає виключення із тарифу на диспетчеризацію витрат на закупівлю Резерву заміщення (РЗ - робота на газу) та забезпечення роботи генеруючого обладнання на природному газі (за необхідності) через механізм встановлення пільгової ціни на природний газ, як це було передбачено постановою Кабінету Міністрів України від 6 березня 2022 р. №222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в редакції від березня 2022 року. </w:t>
            </w:r>
          </w:p>
          <w:p w14:paraId="40C2D05E"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Зважаючи на вищезазначене, вважаємо, що впровадження політики стримування витрат ОСП на придбання допоміжних послуг у 2023 році призведе до: </w:t>
            </w:r>
          </w:p>
          <w:p w14:paraId="687EB492"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відсутності у ОСП інструментів для балансування системи у вигляді резервів підтримки та відновлення частоти, що в свою чергу знизить надійність енергосистеми в умовах військової агресії російської федерації та необхідності забезпечення стабільної роботи енергосистеми в режимах імпорту/експорту електричної енергії; </w:t>
            </w:r>
          </w:p>
          <w:p w14:paraId="50EC53B8" w14:textId="15549256"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зниження конкуренції на ринку допоміжних послуг та перетікання обсягу генеруючих резервів у більш маржинальні та менш ризикові сегменти гарантованого продажу електричної енергії; </w:t>
            </w:r>
          </w:p>
          <w:p w14:paraId="62752180" w14:textId="0CC08649"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відсутності дієвого інструменту інвестування в модернізацію резервних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необхідних для стабільної роботи енергосистеми; </w:t>
            </w:r>
          </w:p>
          <w:p w14:paraId="3177A137" w14:textId="5FE2423E"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При цьому, не дозволить вирішити питання зниження тарифу на диспетчеризацію для промисловості та генеруючих компаній.  </w:t>
            </w:r>
          </w:p>
        </w:tc>
        <w:tc>
          <w:tcPr>
            <w:tcW w:w="823" w:type="pct"/>
          </w:tcPr>
          <w:p w14:paraId="7DEDE68A" w14:textId="77777777" w:rsidR="00F77BF2" w:rsidRDefault="00F77BF2" w:rsidP="00F77BF2">
            <w:pPr>
              <w:jc w:val="both"/>
              <w:rPr>
                <w:rFonts w:ascii="Times New Roman" w:eastAsia="Times New Roman" w:hAnsi="Times New Roman" w:cs="Times New Roman"/>
                <w:b/>
                <w:sz w:val="24"/>
                <w:szCs w:val="24"/>
                <w:lang w:val="uk-UA" w:eastAsia="ru-RU"/>
              </w:rPr>
            </w:pPr>
          </w:p>
          <w:p w14:paraId="287BB87C" w14:textId="12B67D34" w:rsidR="00F77BF2" w:rsidRPr="00F77BF2" w:rsidRDefault="00F77BF2" w:rsidP="00F77BF2">
            <w:pPr>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Потребує обговорення</w:t>
            </w:r>
          </w:p>
        </w:tc>
      </w:tr>
      <w:tr w:rsidR="00F77BF2" w:rsidRPr="00F77BF2" w14:paraId="7F727CFF" w14:textId="2D6144DE" w:rsidTr="00E02230">
        <w:trPr>
          <w:trHeight w:val="2622"/>
        </w:trPr>
        <w:tc>
          <w:tcPr>
            <w:tcW w:w="832" w:type="pct"/>
            <w:vMerge/>
          </w:tcPr>
          <w:p w14:paraId="02605D23" w14:textId="77777777" w:rsidR="00F77BF2" w:rsidRPr="00F77BF2" w:rsidRDefault="00F77BF2" w:rsidP="00AB06C6">
            <w:pPr>
              <w:ind w:firstLine="567"/>
              <w:jc w:val="both"/>
              <w:rPr>
                <w:rFonts w:ascii="Times New Roman" w:eastAsia="Times New Roman" w:hAnsi="Times New Roman" w:cs="Times New Roman"/>
                <w:sz w:val="24"/>
                <w:szCs w:val="24"/>
                <w:lang w:val="uk-UA" w:eastAsia="ru-RU"/>
              </w:rPr>
            </w:pPr>
          </w:p>
        </w:tc>
        <w:tc>
          <w:tcPr>
            <w:tcW w:w="3344" w:type="pct"/>
          </w:tcPr>
          <w:p w14:paraId="53093CF3" w14:textId="67B222D1"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b/>
                <w:sz w:val="24"/>
                <w:szCs w:val="24"/>
                <w:lang w:val="uk-UA" w:eastAsia="ru-RU"/>
              </w:rPr>
              <w:t>Пропозиції ТОВ «ДТЕК КУРАХІВСЬКА ТЕС»:</w:t>
            </w:r>
          </w:p>
          <w:p w14:paraId="247416C9" w14:textId="58CB534C" w:rsidR="00F77BF2" w:rsidRPr="00F77BF2" w:rsidRDefault="00F77BF2" w:rsidP="00F77BF2">
            <w:pPr>
              <w:ind w:firstLine="326"/>
              <w:jc w:val="both"/>
              <w:rPr>
                <w:rFonts w:ascii="Times New Roman" w:eastAsia="Times New Roman" w:hAnsi="Times New Roman" w:cs="Times New Roman"/>
                <w:sz w:val="24"/>
                <w:szCs w:val="24"/>
                <w:lang w:val="uk-UA" w:eastAsia="ru-RU"/>
              </w:rPr>
            </w:pPr>
            <w:r w:rsidRPr="00F77BF2">
              <w:rPr>
                <w:rFonts w:ascii="Times New Roman" w:eastAsia="Times New Roman" w:hAnsi="Times New Roman" w:cs="Times New Roman"/>
                <w:sz w:val="24"/>
                <w:szCs w:val="24"/>
                <w:lang w:val="uk-UA" w:eastAsia="ru-RU"/>
              </w:rPr>
              <w:t>Вилучити пункт 1.8.</w:t>
            </w:r>
          </w:p>
          <w:p w14:paraId="0B4782B9" w14:textId="77777777" w:rsidR="00F77BF2" w:rsidRPr="00F77BF2" w:rsidRDefault="00F77BF2" w:rsidP="00F77BF2">
            <w:pPr>
              <w:ind w:firstLine="326"/>
              <w:jc w:val="both"/>
              <w:rPr>
                <w:rFonts w:ascii="Times New Roman" w:eastAsia="Times New Roman" w:hAnsi="Times New Roman" w:cs="Times New Roman"/>
                <w:sz w:val="24"/>
                <w:szCs w:val="24"/>
                <w:lang w:val="uk-UA" w:eastAsia="ru-RU"/>
              </w:rPr>
            </w:pPr>
          </w:p>
          <w:p w14:paraId="0D8956FE"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Товариство не підтримує запропоновані зміни до Методики, та просить не вводити в силу дане рішення зважаючи на наступне.  </w:t>
            </w:r>
          </w:p>
          <w:p w14:paraId="68DB0FAF"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 перше, допоміжні послуги з забезпечення резервами відновлення та підтримання частоти, які надаються учасниками ринку допоміжних послуг є критично необхідними для забезпечення ОСП стабільної роботи енергосистеми, особливо у поточних умовах масованих військових атак на енергетичну інфраструктуру. Встановлення неконкурентних цін на цьому сегменті може призвести до </w:t>
            </w:r>
            <w:proofErr w:type="spellStart"/>
            <w:r w:rsidRPr="00F77BF2">
              <w:rPr>
                <w:rFonts w:ascii="Times New Roman" w:eastAsia="Times New Roman" w:hAnsi="Times New Roman" w:cs="Times New Roman"/>
                <w:i/>
                <w:sz w:val="24"/>
                <w:szCs w:val="24"/>
                <w:lang w:val="uk-UA" w:eastAsia="ru-RU"/>
              </w:rPr>
              <w:t>перетоку</w:t>
            </w:r>
            <w:proofErr w:type="spellEnd"/>
            <w:r w:rsidRPr="00F77BF2">
              <w:rPr>
                <w:rFonts w:ascii="Times New Roman" w:eastAsia="Times New Roman" w:hAnsi="Times New Roman" w:cs="Times New Roman"/>
                <w:i/>
                <w:sz w:val="24"/>
                <w:szCs w:val="24"/>
                <w:lang w:val="uk-UA" w:eastAsia="ru-RU"/>
              </w:rPr>
              <w:t xml:space="preserve"> частини обсягів на інші ринки та неможливості закупки ОСП достатніх обсягів резервів.  </w:t>
            </w:r>
          </w:p>
          <w:p w14:paraId="36F59C5E"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Більше того, ринок допоміжних послуг уже є дефіцитним. Зокрема, відповідно до листа НЕК «Укренерго» листом № 01/33149 від 08.08.2022 необхідні обсяги допоміжних послуг з регулювання частоти та потужності у 2023 році складають 3 241 МВт потужності (2160 МВт на завантаження, 1081 МВт на розвантаження), тоді як по факту 9 місяців 2022 року </w:t>
            </w:r>
            <w:r w:rsidRPr="00F77BF2">
              <w:rPr>
                <w:rFonts w:ascii="Times New Roman" w:eastAsia="Times New Roman" w:hAnsi="Times New Roman" w:cs="Times New Roman"/>
                <w:i/>
                <w:sz w:val="24"/>
                <w:szCs w:val="24"/>
                <w:lang w:val="uk-UA" w:eastAsia="ru-RU"/>
              </w:rPr>
              <w:lastRenderedPageBreak/>
              <w:t>фактично доступно та було закуплено ОСП на ринку у середньому 1103 МВт (804 МВт на завантаження, 299 МВт на розвантаження) (таблиця 1). Тобто, через відсутність пропозиції НЕК «Укренерго» зміг закупити лише 75% потреби енергосистеми в резервах підтримки частоти (РПЧ), 62% потреби в резервах відновлення частоти (РВЧ) та 0% резерву заміщення (РЗ).</w:t>
            </w:r>
          </w:p>
          <w:p w14:paraId="077C9C4A"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Дефіцит на ринку в 2022 році був поглиблений через тимчасову втрату контролю над Запорізькою АЕС, Луганською та Запорізькою ТЕС, що надавали значний обсяг автоматичних резервів на ринку допоміжних послуг. Неконкурентні у порівнянні з іншими енергетичними ринками ціни, зокрема в сегменті РВЧ призвели до зростання дефіциту потужності з 30-35% в березні 2022 року до 52% в вересні 2022 року. Збереження поточних неринкових цін на допоміжні послуги призведе до поглиблення тенденції дефіциту. </w:t>
            </w:r>
          </w:p>
          <w:p w14:paraId="52848A10"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По-друге, фіксація цін на невизначений термін ставить під загрозу проекти розширення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на ринку допоміжних послуг, необхідність реалізації яких підтверджує ОСП. Зокрема, НЕК «Укренерго» листом № 01/27948 від 07.07.2022 просить Товариство «…розглянути можливість при формуванні кошторису на 2023 рік передбачити видатки для виконання необхідних заходів з модернізації Ладижинської ТЕС, Криворізької ТЕС та Придніпровської ТЕС, що спрямовані на забезпечення технічної спроможності до надання допоміжних послуг з РПЧ та </w:t>
            </w:r>
            <w:proofErr w:type="spellStart"/>
            <w:r w:rsidRPr="00F77BF2">
              <w:rPr>
                <w:rFonts w:ascii="Times New Roman" w:eastAsia="Times New Roman" w:hAnsi="Times New Roman" w:cs="Times New Roman"/>
                <w:i/>
                <w:sz w:val="24"/>
                <w:szCs w:val="24"/>
                <w:lang w:val="uk-UA" w:eastAsia="ru-RU"/>
              </w:rPr>
              <w:t>аРВЧ</w:t>
            </w:r>
            <w:proofErr w:type="spellEnd"/>
            <w:r w:rsidRPr="00F77BF2">
              <w:rPr>
                <w:rFonts w:ascii="Times New Roman" w:eastAsia="Times New Roman" w:hAnsi="Times New Roman" w:cs="Times New Roman"/>
                <w:i/>
                <w:sz w:val="24"/>
                <w:szCs w:val="24"/>
                <w:lang w:val="uk-UA" w:eastAsia="ru-RU"/>
              </w:rPr>
              <w:t xml:space="preserve">». В свою чергу, Товариство зазначає, що інвестиційними програмами розвитку генеруючих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ДТЕК на 2023 рік передбачено значний обсяг робіт на модернізацію обладнання Ладижинської ТЕС, а АТ «ДТЕК Дніпроенерго» декларується впровадження аналогічних робіт на підприємствах Придніпровської та Криворізької ТЕС. Проте, фінансування цих робіт можливе лише за умов встановлення ринкових цін та дотримання прогнозованої методології ціноутворення на ринку допоміжних послуг.   Зазначаємо, що за умови фіксації цін на допоміжні послуги Товариство недоотримає протягом 2023 року інвестицій у розширення резервів у розмірі 441 млрд грн. </w:t>
            </w:r>
          </w:p>
          <w:p w14:paraId="41B17715"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По-третє, відсутність у ОСП інструментів для балансування системи у вигляді достатніх резервів підтримки та відновлення частоти призведе до невиконання НЕК «Укренерго» критеріїв якості регулювання енергосистеми відповідно до </w:t>
            </w:r>
            <w:proofErr w:type="spellStart"/>
            <w:r w:rsidRPr="00F77BF2">
              <w:rPr>
                <w:rFonts w:ascii="Times New Roman" w:eastAsia="Times New Roman" w:hAnsi="Times New Roman" w:cs="Times New Roman"/>
                <w:i/>
                <w:sz w:val="24"/>
                <w:szCs w:val="24"/>
                <w:lang w:val="uk-UA" w:eastAsia="ru-RU"/>
              </w:rPr>
              <w:t>System</w:t>
            </w:r>
            <w:proofErr w:type="spellEnd"/>
            <w:r w:rsidRPr="00F77BF2">
              <w:rPr>
                <w:rFonts w:ascii="Times New Roman" w:eastAsia="Times New Roman" w:hAnsi="Times New Roman" w:cs="Times New Roman"/>
                <w:i/>
                <w:sz w:val="24"/>
                <w:szCs w:val="24"/>
                <w:lang w:val="uk-UA" w:eastAsia="ru-RU"/>
              </w:rPr>
              <w:t xml:space="preserve"> </w:t>
            </w:r>
            <w:proofErr w:type="spellStart"/>
            <w:r w:rsidRPr="00F77BF2">
              <w:rPr>
                <w:rFonts w:ascii="Times New Roman" w:eastAsia="Times New Roman" w:hAnsi="Times New Roman" w:cs="Times New Roman"/>
                <w:i/>
                <w:sz w:val="24"/>
                <w:szCs w:val="24"/>
                <w:lang w:val="uk-UA" w:eastAsia="ru-RU"/>
              </w:rPr>
              <w:t>Operation</w:t>
            </w:r>
            <w:proofErr w:type="spellEnd"/>
            <w:r w:rsidRPr="00F77BF2">
              <w:rPr>
                <w:rFonts w:ascii="Times New Roman" w:eastAsia="Times New Roman" w:hAnsi="Times New Roman" w:cs="Times New Roman"/>
                <w:i/>
                <w:sz w:val="24"/>
                <w:szCs w:val="24"/>
                <w:lang w:val="uk-UA" w:eastAsia="ru-RU"/>
              </w:rPr>
              <w:t xml:space="preserve"> </w:t>
            </w:r>
            <w:proofErr w:type="spellStart"/>
            <w:r w:rsidRPr="00F77BF2">
              <w:rPr>
                <w:rFonts w:ascii="Times New Roman" w:eastAsia="Times New Roman" w:hAnsi="Times New Roman" w:cs="Times New Roman"/>
                <w:i/>
                <w:sz w:val="24"/>
                <w:szCs w:val="24"/>
                <w:lang w:val="uk-UA" w:eastAsia="ru-RU"/>
              </w:rPr>
              <w:t>Guideline</w:t>
            </w:r>
            <w:proofErr w:type="spellEnd"/>
            <w:r w:rsidRPr="00F77BF2">
              <w:rPr>
                <w:rFonts w:ascii="Times New Roman" w:eastAsia="Times New Roman" w:hAnsi="Times New Roman" w:cs="Times New Roman"/>
                <w:i/>
                <w:sz w:val="24"/>
                <w:szCs w:val="24"/>
                <w:lang w:val="uk-UA" w:eastAsia="ru-RU"/>
              </w:rPr>
              <w:t xml:space="preserve"> (SOGL) ENTSO-e, що в свою чергу, може призвести до обмежень імпорту чи експорту електричної енергії.   </w:t>
            </w:r>
          </w:p>
          <w:p w14:paraId="5032305A"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Щодо використання фіксації цін на ринку допоміжних послуг на 2023 рік як інструменту зниження прогнозного розміру тарифу на послугу з диспетчерського (операційно-технічного) управління на 2023 рік зазначаємо наступне.  </w:t>
            </w:r>
          </w:p>
          <w:p w14:paraId="3075D0BA"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Проектом постанови НКРЕКП «Про встановлення тарифу на послуги з диспетчерського (</w:t>
            </w:r>
            <w:proofErr w:type="spellStart"/>
            <w:r w:rsidRPr="00F77BF2">
              <w:rPr>
                <w:rFonts w:ascii="Times New Roman" w:eastAsia="Times New Roman" w:hAnsi="Times New Roman" w:cs="Times New Roman"/>
                <w:i/>
                <w:sz w:val="24"/>
                <w:szCs w:val="24"/>
                <w:lang w:val="uk-UA" w:eastAsia="ru-RU"/>
              </w:rPr>
              <w:t>оперативно</w:t>
            </w:r>
            <w:proofErr w:type="spellEnd"/>
            <w:r w:rsidRPr="00F77BF2">
              <w:rPr>
                <w:rFonts w:ascii="Times New Roman" w:eastAsia="Times New Roman" w:hAnsi="Times New Roman" w:cs="Times New Roman"/>
                <w:i/>
                <w:sz w:val="24"/>
                <w:szCs w:val="24"/>
                <w:lang w:val="uk-UA" w:eastAsia="ru-RU"/>
              </w:rPr>
              <w:t xml:space="preserve">-технологічного) управління НЕК «УКРЕНЕРГО» на 2023 рік» передбачено встановлення тарифу на диспетчеризацію на рівні 283,18 грн/МВт при діючому тарифі 62,13 грн/МВт (зростання +221 грн/МВт). При цьому, відповідно до розрахунків Товариства, вплив зростання тарифів на допоміжні послуги на зростання тарифу на диспетчеризацію складає </w:t>
            </w:r>
            <w:r w:rsidRPr="00F77BF2">
              <w:rPr>
                <w:rFonts w:ascii="Times New Roman" w:eastAsia="Times New Roman" w:hAnsi="Times New Roman" w:cs="Times New Roman"/>
                <w:i/>
                <w:sz w:val="24"/>
                <w:szCs w:val="24"/>
                <w:lang w:val="uk-UA" w:eastAsia="ru-RU"/>
              </w:rPr>
              <w:lastRenderedPageBreak/>
              <w:t xml:space="preserve">лише +45 грн/МВт, або +11 млрд грн в рік.   </w:t>
            </w:r>
          </w:p>
          <w:p w14:paraId="32D535DB"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Фактично, фіксація цін на допоміжні послуги не дозволить вирішити питання зниження тарифу на диспетчеризацію у 2023 році, але очікувано призведе до зниження активності на ринку допоміжних послуг в результаті зниження рентабельності цього сегменту.  </w:t>
            </w:r>
          </w:p>
          <w:p w14:paraId="387FD492"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Більш дієвим шляхом зниження тарифу на диспетчеризацію Товариство вважає виключення із тарифу на диспетчеризацію витрат на закупівлю Резерву заміщення (РЗ - робота на газу) та забезпечення роботи генеруючого обладнання на природному газі (за необхідності) через механізм встановлення пільгової ціни на природний газ, як це було передбачено постановою Кабінету Міністрів України від 6 березня 2022 р. №222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в редакції від березня 2022 року. </w:t>
            </w:r>
          </w:p>
          <w:p w14:paraId="1B0ABFDB"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Зважаючи на вищезазначене, вважаємо, що впровадження політики стримування витрат ОСП на придбання допоміжних послуг у 2023 році призведе до: </w:t>
            </w:r>
          </w:p>
          <w:p w14:paraId="066EEDBC"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відсутності у ОСП інструментів для балансування системи у вигляді резервів підтримки та відновлення частоти, що в свою чергу знизить надійність енергосистеми в умовах військової агресії російської федерації та необхідності забезпечення стабільної роботи енергосистеми в режимах імпорту/експорту електричної енергії; </w:t>
            </w:r>
          </w:p>
          <w:p w14:paraId="68A2E91C"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зниження конкуренції на ринку допоміжних послуг та перетікання обсягу генеруючих резервів у більш маржинальні та менш ризикові сегменти гарантованого продажу електричної енергії; </w:t>
            </w:r>
          </w:p>
          <w:p w14:paraId="4CD5D0A1" w14:textId="7777777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 відсутності дієвого інструменту інвестування в модернізацію резервних </w:t>
            </w:r>
            <w:proofErr w:type="spellStart"/>
            <w:r w:rsidRPr="00F77BF2">
              <w:rPr>
                <w:rFonts w:ascii="Times New Roman" w:eastAsia="Times New Roman" w:hAnsi="Times New Roman" w:cs="Times New Roman"/>
                <w:i/>
                <w:sz w:val="24"/>
                <w:szCs w:val="24"/>
                <w:lang w:val="uk-UA" w:eastAsia="ru-RU"/>
              </w:rPr>
              <w:t>потужностей</w:t>
            </w:r>
            <w:proofErr w:type="spellEnd"/>
            <w:r w:rsidRPr="00F77BF2">
              <w:rPr>
                <w:rFonts w:ascii="Times New Roman" w:eastAsia="Times New Roman" w:hAnsi="Times New Roman" w:cs="Times New Roman"/>
                <w:i/>
                <w:sz w:val="24"/>
                <w:szCs w:val="24"/>
                <w:lang w:val="uk-UA" w:eastAsia="ru-RU"/>
              </w:rPr>
              <w:t xml:space="preserve"> необхідних для стабільної роботи енергосистеми; </w:t>
            </w:r>
          </w:p>
          <w:p w14:paraId="45E1B891" w14:textId="559B4D17" w:rsidR="00F77BF2" w:rsidRPr="00F77BF2" w:rsidRDefault="00F77BF2" w:rsidP="00F77BF2">
            <w:pPr>
              <w:ind w:firstLine="326"/>
              <w:jc w:val="both"/>
              <w:rPr>
                <w:rFonts w:ascii="Times New Roman" w:eastAsia="Times New Roman" w:hAnsi="Times New Roman" w:cs="Times New Roman"/>
                <w:i/>
                <w:sz w:val="24"/>
                <w:szCs w:val="24"/>
                <w:lang w:val="uk-UA" w:eastAsia="ru-RU"/>
              </w:rPr>
            </w:pPr>
            <w:r w:rsidRPr="00F77BF2">
              <w:rPr>
                <w:rFonts w:ascii="Times New Roman" w:eastAsia="Times New Roman" w:hAnsi="Times New Roman" w:cs="Times New Roman"/>
                <w:i/>
                <w:sz w:val="24"/>
                <w:szCs w:val="24"/>
                <w:lang w:val="uk-UA" w:eastAsia="ru-RU"/>
              </w:rPr>
              <w:t xml:space="preserve">При цьому, не дозволить вирішити питання зниження тарифу на диспетчеризацію для промисловості та генеруючих компаній.  </w:t>
            </w:r>
          </w:p>
        </w:tc>
        <w:tc>
          <w:tcPr>
            <w:tcW w:w="823" w:type="pct"/>
          </w:tcPr>
          <w:p w14:paraId="118B0EF6" w14:textId="77777777" w:rsidR="00F77BF2" w:rsidRDefault="00F77BF2" w:rsidP="00F77BF2">
            <w:pPr>
              <w:jc w:val="both"/>
              <w:rPr>
                <w:rFonts w:ascii="Times New Roman" w:eastAsia="Times New Roman" w:hAnsi="Times New Roman" w:cs="Times New Roman"/>
                <w:b/>
                <w:sz w:val="24"/>
                <w:szCs w:val="24"/>
                <w:lang w:val="uk-UA" w:eastAsia="ru-RU"/>
              </w:rPr>
            </w:pPr>
          </w:p>
          <w:p w14:paraId="079BBEA3" w14:textId="2AB2343F" w:rsidR="00F77BF2" w:rsidRPr="00F77BF2" w:rsidRDefault="00F77BF2" w:rsidP="00F77BF2">
            <w:pPr>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Потребує обговорення</w:t>
            </w:r>
          </w:p>
        </w:tc>
      </w:tr>
    </w:tbl>
    <w:p w14:paraId="1225868B" w14:textId="77777777" w:rsidR="00946BAD" w:rsidRPr="00125650" w:rsidRDefault="00946BAD" w:rsidP="00C15AF4">
      <w:pPr>
        <w:spacing w:after="0"/>
        <w:ind w:firstLine="567"/>
        <w:jc w:val="both"/>
        <w:rPr>
          <w:rFonts w:ascii="Times New Roman" w:hAnsi="Times New Roman" w:cs="Times New Roman"/>
          <w:sz w:val="28"/>
          <w:szCs w:val="28"/>
          <w:lang w:val="uk-UA"/>
        </w:rPr>
      </w:pPr>
    </w:p>
    <w:sectPr w:rsidR="00946BAD" w:rsidRPr="00125650" w:rsidSect="00812653">
      <w:headerReference w:type="default" r:id="rId11"/>
      <w:pgSz w:w="16838" w:h="11906" w:orient="landscape" w:code="9"/>
      <w:pgMar w:top="720" w:right="720" w:bottom="425" w:left="72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001E7" w14:textId="77777777" w:rsidR="009131E9" w:rsidRDefault="009131E9" w:rsidP="00B76E16">
      <w:pPr>
        <w:spacing w:after="0" w:line="240" w:lineRule="auto"/>
      </w:pPr>
      <w:r>
        <w:separator/>
      </w:r>
    </w:p>
  </w:endnote>
  <w:endnote w:type="continuationSeparator" w:id="0">
    <w:p w14:paraId="3032ED87" w14:textId="77777777" w:rsidR="009131E9" w:rsidRDefault="009131E9"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EF7FB" w14:textId="77777777" w:rsidR="009131E9" w:rsidRDefault="009131E9" w:rsidP="00B76E16">
      <w:pPr>
        <w:spacing w:after="0" w:line="240" w:lineRule="auto"/>
      </w:pPr>
      <w:r>
        <w:separator/>
      </w:r>
    </w:p>
  </w:footnote>
  <w:footnote w:type="continuationSeparator" w:id="0">
    <w:p w14:paraId="75CEDC91" w14:textId="77777777" w:rsidR="009131E9" w:rsidRDefault="009131E9" w:rsidP="00B76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737073"/>
      <w:docPartObj>
        <w:docPartGallery w:val="Page Numbers (Top of Page)"/>
        <w:docPartUnique/>
      </w:docPartObj>
    </w:sdtPr>
    <w:sdtContent>
      <w:p w14:paraId="52EBC014" w14:textId="3335A339" w:rsidR="00812653" w:rsidRDefault="00812653">
        <w:pPr>
          <w:pStyle w:val="af0"/>
          <w:jc w:val="center"/>
        </w:pPr>
        <w:r>
          <w:fldChar w:fldCharType="begin"/>
        </w:r>
        <w:r>
          <w:instrText>PAGE   \* MERGEFORMAT</w:instrText>
        </w:r>
        <w:r>
          <w:fldChar w:fldCharType="separate"/>
        </w:r>
        <w:r>
          <w:rPr>
            <w:lang w:val="uk-UA"/>
          </w:rPr>
          <w:t>2</w:t>
        </w:r>
        <w:r>
          <w:fldChar w:fldCharType="end"/>
        </w:r>
      </w:p>
    </w:sdtContent>
  </w:sdt>
  <w:p w14:paraId="5704CACA" w14:textId="77777777" w:rsidR="00812653" w:rsidRDefault="00812653">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2" w15:restartNumberingAfterBreak="0">
    <w:nsid w:val="740D5CD9"/>
    <w:multiLevelType w:val="multilevel"/>
    <w:tmpl w:val="D6FAE58C"/>
    <w:numStyleLink w:val="newnumberingapplications"/>
  </w:abstractNum>
  <w:num w:numId="1">
    <w:abstractNumId w:val="0"/>
  </w:num>
  <w:num w:numId="2">
    <w:abstractNumId w:val="1"/>
  </w:num>
  <w:num w:numId="3">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BAD"/>
    <w:rsid w:val="000061D6"/>
    <w:rsid w:val="00007C00"/>
    <w:rsid w:val="00031BBA"/>
    <w:rsid w:val="0003447D"/>
    <w:rsid w:val="00037EDB"/>
    <w:rsid w:val="00040306"/>
    <w:rsid w:val="00044F5E"/>
    <w:rsid w:val="0005644B"/>
    <w:rsid w:val="00081BEB"/>
    <w:rsid w:val="00085361"/>
    <w:rsid w:val="000943B5"/>
    <w:rsid w:val="000B399E"/>
    <w:rsid w:val="000C6A18"/>
    <w:rsid w:val="000D2877"/>
    <w:rsid w:val="000D2916"/>
    <w:rsid w:val="000E0E27"/>
    <w:rsid w:val="000E7624"/>
    <w:rsid w:val="000E7F76"/>
    <w:rsid w:val="000F558E"/>
    <w:rsid w:val="000F7EE7"/>
    <w:rsid w:val="0010009F"/>
    <w:rsid w:val="00100E63"/>
    <w:rsid w:val="001026FF"/>
    <w:rsid w:val="00113712"/>
    <w:rsid w:val="00113F2D"/>
    <w:rsid w:val="00125650"/>
    <w:rsid w:val="00135F86"/>
    <w:rsid w:val="00137007"/>
    <w:rsid w:val="0014353D"/>
    <w:rsid w:val="00152096"/>
    <w:rsid w:val="00154938"/>
    <w:rsid w:val="00157B06"/>
    <w:rsid w:val="00163B1B"/>
    <w:rsid w:val="00186D05"/>
    <w:rsid w:val="00193014"/>
    <w:rsid w:val="001A2BD7"/>
    <w:rsid w:val="001A764D"/>
    <w:rsid w:val="001B3C7D"/>
    <w:rsid w:val="001B79E7"/>
    <w:rsid w:val="001D0546"/>
    <w:rsid w:val="001D3D96"/>
    <w:rsid w:val="001E1ACA"/>
    <w:rsid w:val="001E3FB2"/>
    <w:rsid w:val="001F7476"/>
    <w:rsid w:val="0020212E"/>
    <w:rsid w:val="00204E6E"/>
    <w:rsid w:val="00210FF7"/>
    <w:rsid w:val="002167D0"/>
    <w:rsid w:val="00216FB5"/>
    <w:rsid w:val="00226AA8"/>
    <w:rsid w:val="00227184"/>
    <w:rsid w:val="002553DE"/>
    <w:rsid w:val="00275015"/>
    <w:rsid w:val="002755E9"/>
    <w:rsid w:val="00294CD9"/>
    <w:rsid w:val="002C4F9B"/>
    <w:rsid w:val="002F4539"/>
    <w:rsid w:val="003033D4"/>
    <w:rsid w:val="003033E8"/>
    <w:rsid w:val="00315134"/>
    <w:rsid w:val="0031647A"/>
    <w:rsid w:val="003317F1"/>
    <w:rsid w:val="003318B5"/>
    <w:rsid w:val="0033773B"/>
    <w:rsid w:val="00342587"/>
    <w:rsid w:val="00343D4B"/>
    <w:rsid w:val="00356D6B"/>
    <w:rsid w:val="0035745F"/>
    <w:rsid w:val="00381006"/>
    <w:rsid w:val="00384BDE"/>
    <w:rsid w:val="003870E7"/>
    <w:rsid w:val="003A4027"/>
    <w:rsid w:val="003C05BC"/>
    <w:rsid w:val="003C129F"/>
    <w:rsid w:val="003C1816"/>
    <w:rsid w:val="003C4F94"/>
    <w:rsid w:val="003C5B28"/>
    <w:rsid w:val="003D31C7"/>
    <w:rsid w:val="003D7CC2"/>
    <w:rsid w:val="003E0045"/>
    <w:rsid w:val="003E089D"/>
    <w:rsid w:val="003E13CD"/>
    <w:rsid w:val="003E269B"/>
    <w:rsid w:val="003E646E"/>
    <w:rsid w:val="003F3E27"/>
    <w:rsid w:val="003F706A"/>
    <w:rsid w:val="00400E5B"/>
    <w:rsid w:val="00415814"/>
    <w:rsid w:val="004177B5"/>
    <w:rsid w:val="00422829"/>
    <w:rsid w:val="00424F04"/>
    <w:rsid w:val="00425C4A"/>
    <w:rsid w:val="00430613"/>
    <w:rsid w:val="004366AC"/>
    <w:rsid w:val="00440E23"/>
    <w:rsid w:val="004432F0"/>
    <w:rsid w:val="00447FCE"/>
    <w:rsid w:val="00452F07"/>
    <w:rsid w:val="00453011"/>
    <w:rsid w:val="00457664"/>
    <w:rsid w:val="00473674"/>
    <w:rsid w:val="00481D88"/>
    <w:rsid w:val="00487849"/>
    <w:rsid w:val="004B09C0"/>
    <w:rsid w:val="004B6A0E"/>
    <w:rsid w:val="004B74C6"/>
    <w:rsid w:val="004B78FA"/>
    <w:rsid w:val="004C2ABC"/>
    <w:rsid w:val="004C64CC"/>
    <w:rsid w:val="004D758F"/>
    <w:rsid w:val="004F608C"/>
    <w:rsid w:val="00503F76"/>
    <w:rsid w:val="00505473"/>
    <w:rsid w:val="00506D94"/>
    <w:rsid w:val="00512105"/>
    <w:rsid w:val="005127AB"/>
    <w:rsid w:val="00521227"/>
    <w:rsid w:val="00536E41"/>
    <w:rsid w:val="00536EFE"/>
    <w:rsid w:val="00544F33"/>
    <w:rsid w:val="005572DD"/>
    <w:rsid w:val="00557FDE"/>
    <w:rsid w:val="005820B2"/>
    <w:rsid w:val="00585BDC"/>
    <w:rsid w:val="005A4B1C"/>
    <w:rsid w:val="005C16C8"/>
    <w:rsid w:val="005C20D4"/>
    <w:rsid w:val="005D20B5"/>
    <w:rsid w:val="005E18DA"/>
    <w:rsid w:val="005F026D"/>
    <w:rsid w:val="005F0C43"/>
    <w:rsid w:val="006064F1"/>
    <w:rsid w:val="00613DB4"/>
    <w:rsid w:val="00616D6B"/>
    <w:rsid w:val="00620CA8"/>
    <w:rsid w:val="0062690B"/>
    <w:rsid w:val="00633FD4"/>
    <w:rsid w:val="006357BD"/>
    <w:rsid w:val="006406D6"/>
    <w:rsid w:val="00641E77"/>
    <w:rsid w:val="00643DC8"/>
    <w:rsid w:val="00643FFC"/>
    <w:rsid w:val="0064569F"/>
    <w:rsid w:val="00652089"/>
    <w:rsid w:val="00656F39"/>
    <w:rsid w:val="006622DF"/>
    <w:rsid w:val="00664962"/>
    <w:rsid w:val="00672EAF"/>
    <w:rsid w:val="00685AE9"/>
    <w:rsid w:val="006860E3"/>
    <w:rsid w:val="00692505"/>
    <w:rsid w:val="006A0FE1"/>
    <w:rsid w:val="006A3ECF"/>
    <w:rsid w:val="006A6769"/>
    <w:rsid w:val="006B2D18"/>
    <w:rsid w:val="006B41B6"/>
    <w:rsid w:val="006B4A94"/>
    <w:rsid w:val="006B6A12"/>
    <w:rsid w:val="006C1C16"/>
    <w:rsid w:val="006C2BC7"/>
    <w:rsid w:val="006C3C2B"/>
    <w:rsid w:val="006C4EA5"/>
    <w:rsid w:val="006C4FFA"/>
    <w:rsid w:val="006F0074"/>
    <w:rsid w:val="006F7704"/>
    <w:rsid w:val="007100A6"/>
    <w:rsid w:val="00714218"/>
    <w:rsid w:val="007242EC"/>
    <w:rsid w:val="00730ECF"/>
    <w:rsid w:val="00735D2F"/>
    <w:rsid w:val="00753FD5"/>
    <w:rsid w:val="0075545A"/>
    <w:rsid w:val="00761453"/>
    <w:rsid w:val="00763537"/>
    <w:rsid w:val="00772803"/>
    <w:rsid w:val="00773049"/>
    <w:rsid w:val="007763E6"/>
    <w:rsid w:val="007770D5"/>
    <w:rsid w:val="007A1329"/>
    <w:rsid w:val="007A320D"/>
    <w:rsid w:val="007B32D1"/>
    <w:rsid w:val="007B673C"/>
    <w:rsid w:val="007C7A23"/>
    <w:rsid w:val="007E0B22"/>
    <w:rsid w:val="007E1B53"/>
    <w:rsid w:val="007E4DD5"/>
    <w:rsid w:val="007F642D"/>
    <w:rsid w:val="008062B4"/>
    <w:rsid w:val="00812653"/>
    <w:rsid w:val="00816C8E"/>
    <w:rsid w:val="00835EF6"/>
    <w:rsid w:val="00843D3B"/>
    <w:rsid w:val="00845997"/>
    <w:rsid w:val="00852541"/>
    <w:rsid w:val="008545DB"/>
    <w:rsid w:val="00857896"/>
    <w:rsid w:val="0086705C"/>
    <w:rsid w:val="00877D56"/>
    <w:rsid w:val="00887662"/>
    <w:rsid w:val="008967CD"/>
    <w:rsid w:val="008A1372"/>
    <w:rsid w:val="008A19C1"/>
    <w:rsid w:val="008A5462"/>
    <w:rsid w:val="008A78FA"/>
    <w:rsid w:val="008B2EF8"/>
    <w:rsid w:val="008B3C81"/>
    <w:rsid w:val="008B4BA2"/>
    <w:rsid w:val="008D5793"/>
    <w:rsid w:val="008D5AD3"/>
    <w:rsid w:val="008E5653"/>
    <w:rsid w:val="008F60ED"/>
    <w:rsid w:val="008F6B40"/>
    <w:rsid w:val="00911804"/>
    <w:rsid w:val="009131E9"/>
    <w:rsid w:val="009151C1"/>
    <w:rsid w:val="009205DB"/>
    <w:rsid w:val="0092087E"/>
    <w:rsid w:val="00924FF1"/>
    <w:rsid w:val="00930174"/>
    <w:rsid w:val="00944E93"/>
    <w:rsid w:val="00945427"/>
    <w:rsid w:val="00946865"/>
    <w:rsid w:val="00946BAD"/>
    <w:rsid w:val="009542EC"/>
    <w:rsid w:val="0096000C"/>
    <w:rsid w:val="009627AD"/>
    <w:rsid w:val="0096780E"/>
    <w:rsid w:val="0098064D"/>
    <w:rsid w:val="009936B1"/>
    <w:rsid w:val="009943B5"/>
    <w:rsid w:val="00996EA9"/>
    <w:rsid w:val="009A49F5"/>
    <w:rsid w:val="009B2CA6"/>
    <w:rsid w:val="009C4414"/>
    <w:rsid w:val="009C62D4"/>
    <w:rsid w:val="009D78DC"/>
    <w:rsid w:val="009E34F6"/>
    <w:rsid w:val="009E615A"/>
    <w:rsid w:val="00A03DBC"/>
    <w:rsid w:val="00A04C99"/>
    <w:rsid w:val="00A06731"/>
    <w:rsid w:val="00A12835"/>
    <w:rsid w:val="00A33A08"/>
    <w:rsid w:val="00A33F42"/>
    <w:rsid w:val="00A366CC"/>
    <w:rsid w:val="00A47EB8"/>
    <w:rsid w:val="00A62205"/>
    <w:rsid w:val="00A62E9E"/>
    <w:rsid w:val="00A702B8"/>
    <w:rsid w:val="00A8221E"/>
    <w:rsid w:val="00A831BF"/>
    <w:rsid w:val="00A858D9"/>
    <w:rsid w:val="00A86BA7"/>
    <w:rsid w:val="00A91F7B"/>
    <w:rsid w:val="00AA7F74"/>
    <w:rsid w:val="00AB06C6"/>
    <w:rsid w:val="00AB2F50"/>
    <w:rsid w:val="00AC0B66"/>
    <w:rsid w:val="00AC1466"/>
    <w:rsid w:val="00AC43F2"/>
    <w:rsid w:val="00AD443F"/>
    <w:rsid w:val="00AD50DA"/>
    <w:rsid w:val="00AD556A"/>
    <w:rsid w:val="00AE477B"/>
    <w:rsid w:val="00AE6771"/>
    <w:rsid w:val="00AF2F4D"/>
    <w:rsid w:val="00B0250E"/>
    <w:rsid w:val="00B049A1"/>
    <w:rsid w:val="00B07C9A"/>
    <w:rsid w:val="00B10755"/>
    <w:rsid w:val="00B24288"/>
    <w:rsid w:val="00B252EE"/>
    <w:rsid w:val="00B3051D"/>
    <w:rsid w:val="00B36B53"/>
    <w:rsid w:val="00B5597F"/>
    <w:rsid w:val="00B60E0F"/>
    <w:rsid w:val="00B6485F"/>
    <w:rsid w:val="00B67A2E"/>
    <w:rsid w:val="00B71624"/>
    <w:rsid w:val="00B73002"/>
    <w:rsid w:val="00B76E16"/>
    <w:rsid w:val="00BA140E"/>
    <w:rsid w:val="00BA443C"/>
    <w:rsid w:val="00BA6CC8"/>
    <w:rsid w:val="00BC290B"/>
    <w:rsid w:val="00BC3E68"/>
    <w:rsid w:val="00BC6E82"/>
    <w:rsid w:val="00BD4BE2"/>
    <w:rsid w:val="00BD4E49"/>
    <w:rsid w:val="00BF023B"/>
    <w:rsid w:val="00BF7ABC"/>
    <w:rsid w:val="00C01155"/>
    <w:rsid w:val="00C0150F"/>
    <w:rsid w:val="00C12843"/>
    <w:rsid w:val="00C13C8C"/>
    <w:rsid w:val="00C15AF4"/>
    <w:rsid w:val="00C234B2"/>
    <w:rsid w:val="00C4151F"/>
    <w:rsid w:val="00C468C3"/>
    <w:rsid w:val="00C50865"/>
    <w:rsid w:val="00C51578"/>
    <w:rsid w:val="00C560B3"/>
    <w:rsid w:val="00CB5E14"/>
    <w:rsid w:val="00CC0D41"/>
    <w:rsid w:val="00CD275F"/>
    <w:rsid w:val="00CE284E"/>
    <w:rsid w:val="00CF1A91"/>
    <w:rsid w:val="00CF24DF"/>
    <w:rsid w:val="00D07089"/>
    <w:rsid w:val="00D21B56"/>
    <w:rsid w:val="00D53F06"/>
    <w:rsid w:val="00D54F24"/>
    <w:rsid w:val="00D55F81"/>
    <w:rsid w:val="00D71D16"/>
    <w:rsid w:val="00D768C6"/>
    <w:rsid w:val="00D823AA"/>
    <w:rsid w:val="00D906B6"/>
    <w:rsid w:val="00D9322C"/>
    <w:rsid w:val="00D96D41"/>
    <w:rsid w:val="00DA155E"/>
    <w:rsid w:val="00DA34BF"/>
    <w:rsid w:val="00DA5A24"/>
    <w:rsid w:val="00DB214F"/>
    <w:rsid w:val="00DB58A8"/>
    <w:rsid w:val="00DC500B"/>
    <w:rsid w:val="00DD2466"/>
    <w:rsid w:val="00DD2761"/>
    <w:rsid w:val="00DD7979"/>
    <w:rsid w:val="00DF66FA"/>
    <w:rsid w:val="00DF73A2"/>
    <w:rsid w:val="00E02230"/>
    <w:rsid w:val="00E064F2"/>
    <w:rsid w:val="00E07061"/>
    <w:rsid w:val="00E1301D"/>
    <w:rsid w:val="00E145B0"/>
    <w:rsid w:val="00E20258"/>
    <w:rsid w:val="00E22861"/>
    <w:rsid w:val="00E33897"/>
    <w:rsid w:val="00E35235"/>
    <w:rsid w:val="00E36ADA"/>
    <w:rsid w:val="00E40E98"/>
    <w:rsid w:val="00E45F84"/>
    <w:rsid w:val="00E4607D"/>
    <w:rsid w:val="00E647F5"/>
    <w:rsid w:val="00E761AC"/>
    <w:rsid w:val="00EA12BD"/>
    <w:rsid w:val="00EA2495"/>
    <w:rsid w:val="00EC0408"/>
    <w:rsid w:val="00EC2669"/>
    <w:rsid w:val="00ED366F"/>
    <w:rsid w:val="00EE1106"/>
    <w:rsid w:val="00EE5129"/>
    <w:rsid w:val="00EE5A5B"/>
    <w:rsid w:val="00EF2342"/>
    <w:rsid w:val="00F13164"/>
    <w:rsid w:val="00F158FA"/>
    <w:rsid w:val="00F42F6A"/>
    <w:rsid w:val="00F52381"/>
    <w:rsid w:val="00F63F67"/>
    <w:rsid w:val="00F674D0"/>
    <w:rsid w:val="00F738CB"/>
    <w:rsid w:val="00F75645"/>
    <w:rsid w:val="00F77B6A"/>
    <w:rsid w:val="00F77BF2"/>
    <w:rsid w:val="00F92543"/>
    <w:rsid w:val="00F97D03"/>
    <w:rsid w:val="00FC1621"/>
    <w:rsid w:val="00FC3047"/>
    <w:rsid w:val="00FC5C04"/>
    <w:rsid w:val="00FD3B6D"/>
    <w:rsid w:val="00FD539F"/>
    <w:rsid w:val="00FE6A01"/>
    <w:rsid w:val="00FE7618"/>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5050B"/>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03F76"/>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ітки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ітки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iPriority w:val="99"/>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і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і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 w:type="paragraph" w:styleId="af4">
    <w:name w:val="Title"/>
    <w:basedOn w:val="a0"/>
    <w:link w:val="af5"/>
    <w:qFormat/>
    <w:rsid w:val="00735D2F"/>
    <w:pPr>
      <w:spacing w:after="0" w:line="240" w:lineRule="auto"/>
      <w:ind w:firstLine="709"/>
      <w:jc w:val="center"/>
    </w:pPr>
    <w:rPr>
      <w:rFonts w:ascii="Times New Roman" w:eastAsia="Times New Roman" w:hAnsi="Times New Roman" w:cs="Times New Roman"/>
      <w:b/>
      <w:sz w:val="28"/>
      <w:szCs w:val="20"/>
      <w:lang w:val="uk-UA" w:eastAsia="ru-RU"/>
    </w:rPr>
  </w:style>
  <w:style w:type="character" w:customStyle="1" w:styleId="af5">
    <w:name w:val="Назва Знак"/>
    <w:basedOn w:val="a1"/>
    <w:link w:val="af4"/>
    <w:rsid w:val="00735D2F"/>
    <w:rPr>
      <w:rFonts w:ascii="Times New Roman" w:eastAsia="Times New Roman" w:hAnsi="Times New Roman" w:cs="Times New Roman"/>
      <w:b/>
      <w:sz w:val="28"/>
      <w:szCs w:val="20"/>
      <w:lang w:val="uk-UA" w:eastAsia="ru-RU"/>
    </w:rPr>
  </w:style>
  <w:style w:type="paragraph" w:customStyle="1" w:styleId="21">
    <w:name w:val="Знак Знак2 Знак"/>
    <w:basedOn w:val="a0"/>
    <w:rsid w:val="00735D2F"/>
    <w:pPr>
      <w:spacing w:after="0" w:line="240" w:lineRule="auto"/>
    </w:pPr>
    <w:rPr>
      <w:rFonts w:ascii="Verdana" w:eastAsia="Times New Roman" w:hAnsi="Verdana" w:cs="Verdana"/>
      <w:sz w:val="20"/>
      <w:szCs w:val="20"/>
      <w:lang w:val="en-US"/>
    </w:rPr>
  </w:style>
  <w:style w:type="character" w:styleId="af6">
    <w:name w:val="Unresolved Mention"/>
    <w:basedOn w:val="a1"/>
    <w:uiPriority w:val="99"/>
    <w:semiHidden/>
    <w:unhideWhenUsed/>
    <w:rsid w:val="008F60ED"/>
    <w:rPr>
      <w:color w:val="605E5C"/>
      <w:shd w:val="clear" w:color="auto" w:fill="E1DFDD"/>
    </w:rPr>
  </w:style>
  <w:style w:type="character" w:customStyle="1" w:styleId="rvts15">
    <w:name w:val="rvts15"/>
    <w:basedOn w:val="a1"/>
    <w:rsid w:val="00763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2.xml><?xml version="1.0" encoding="utf-8"?>
<ds:datastoreItem xmlns:ds="http://schemas.openxmlformats.org/officeDocument/2006/customXml" ds:itemID="{0B31E71D-659C-4206-B3D9-69ED810F4D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7AA12-7E65-4606-BFB1-BAB939CA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8</Pages>
  <Words>3198</Words>
  <Characters>18233</Characters>
  <Application>Microsoft Office Word</Application>
  <DocSecurity>0</DocSecurity>
  <Lines>151</Lines>
  <Paragraphs>42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Любов Плахута</cp:lastModifiedBy>
  <cp:revision>32</cp:revision>
  <cp:lastPrinted>2022-01-11T15:40:00Z</cp:lastPrinted>
  <dcterms:created xsi:type="dcterms:W3CDTF">2022-01-10T17:19:00Z</dcterms:created>
  <dcterms:modified xsi:type="dcterms:W3CDTF">2022-12-16T12:29:00Z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